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auto"/>
          <w:highlight w:val="none"/>
        </w:rPr>
      </w:pPr>
      <w:r>
        <w:rPr>
          <w:rFonts w:hint="eastAsia" w:ascii="仿宋_GB2312" w:eastAsia="仿宋_GB2312"/>
          <w:snapToGrid w:val="0"/>
          <w:color w:val="auto"/>
          <w:spacing w:val="11"/>
          <w:sz w:val="32"/>
          <w:szCs w:val="32"/>
          <w:highlight w:val="none"/>
        </w:rPr>
        <w:t xml:space="preserve"> </w:t>
      </w:r>
    </w:p>
    <w:p>
      <w:pPr>
        <w:spacing w:line="360" w:lineRule="auto"/>
        <w:rPr>
          <w:color w:val="auto"/>
          <w:highlight w:val="none"/>
        </w:rPr>
      </w:pPr>
    </w:p>
    <w:p>
      <w:pPr>
        <w:spacing w:line="360" w:lineRule="auto"/>
        <w:rPr>
          <w:color w:val="auto"/>
          <w:highlight w:val="none"/>
        </w:rPr>
      </w:pPr>
    </w:p>
    <w:p>
      <w:pPr>
        <w:widowControl/>
        <w:spacing w:line="360" w:lineRule="auto"/>
        <w:jc w:val="left"/>
        <w:rPr>
          <w:color w:val="auto"/>
          <w:highlight w:val="none"/>
        </w:rPr>
      </w:pPr>
    </w:p>
    <w:p>
      <w:pPr>
        <w:widowControl/>
        <w:spacing w:line="360" w:lineRule="auto"/>
        <w:jc w:val="center"/>
        <w:rPr>
          <w:rFonts w:ascii="方正小标宋简体" w:eastAsia="方正小标宋简体"/>
          <w:color w:val="auto"/>
          <w:sz w:val="44"/>
          <w:szCs w:val="48"/>
          <w:highlight w:val="none"/>
        </w:rPr>
      </w:pPr>
      <w:r>
        <w:rPr>
          <w:rFonts w:hint="eastAsia" w:ascii="方正小标宋简体" w:eastAsia="方正小标宋简体"/>
          <w:color w:val="auto"/>
          <w:sz w:val="44"/>
          <w:szCs w:val="48"/>
          <w:highlight w:val="none"/>
        </w:rPr>
        <w:t>项目支出类绩效自评报告</w:t>
      </w:r>
    </w:p>
    <w:p>
      <w:pPr>
        <w:widowControl/>
        <w:spacing w:line="360" w:lineRule="auto"/>
        <w:jc w:val="center"/>
        <w:rPr>
          <w:rFonts w:ascii="方正小标宋简体" w:eastAsia="方正小标宋简体"/>
          <w:color w:val="auto"/>
          <w:sz w:val="36"/>
          <w:szCs w:val="40"/>
          <w:highlight w:val="none"/>
        </w:rPr>
      </w:pPr>
    </w:p>
    <w:p>
      <w:pPr>
        <w:widowControl/>
        <w:spacing w:line="360" w:lineRule="auto"/>
        <w:jc w:val="center"/>
        <w:rPr>
          <w:rFonts w:ascii="方正小标宋简体" w:eastAsia="方正小标宋简体"/>
          <w:color w:val="auto"/>
          <w:sz w:val="36"/>
          <w:szCs w:val="40"/>
          <w:highlight w:val="none"/>
        </w:rPr>
      </w:pPr>
    </w:p>
    <w:p>
      <w:pPr>
        <w:widowControl/>
        <w:spacing w:line="360" w:lineRule="auto"/>
        <w:jc w:val="center"/>
        <w:rPr>
          <w:rFonts w:ascii="方正小标宋简体" w:eastAsia="方正小标宋简体"/>
          <w:color w:val="auto"/>
          <w:sz w:val="36"/>
          <w:szCs w:val="40"/>
          <w:highlight w:val="none"/>
        </w:rPr>
      </w:pPr>
    </w:p>
    <w:p>
      <w:pPr>
        <w:widowControl/>
        <w:spacing w:line="360" w:lineRule="auto"/>
        <w:rPr>
          <w:rFonts w:ascii="方正小标宋简体" w:eastAsia="方正小标宋简体"/>
          <w:color w:val="auto"/>
          <w:sz w:val="36"/>
          <w:szCs w:val="40"/>
          <w:highlight w:val="none"/>
        </w:rPr>
      </w:pPr>
    </w:p>
    <w:p>
      <w:pPr>
        <w:widowControl/>
        <w:spacing w:line="360" w:lineRule="auto"/>
        <w:ind w:left="2238" w:leftChars="304" w:hanging="1600" w:hangingChars="500"/>
        <w:rPr>
          <w:rFonts w:ascii="仿宋_GB2312" w:eastAsia="仿宋_GB2312"/>
          <w:color w:val="auto"/>
          <w:sz w:val="32"/>
          <w:szCs w:val="36"/>
          <w:highlight w:val="none"/>
        </w:rPr>
      </w:pPr>
      <w:r>
        <w:rPr>
          <w:rFonts w:hint="eastAsia" w:ascii="仿宋_GB2312" w:eastAsia="仿宋_GB2312"/>
          <w:color w:val="auto"/>
          <w:sz w:val="32"/>
          <w:szCs w:val="36"/>
          <w:highlight w:val="none"/>
        </w:rPr>
        <w:t>项目名称：</w:t>
      </w:r>
      <w:r>
        <w:rPr>
          <w:rFonts w:hint="eastAsia" w:ascii="仿宋_GB2312" w:hAnsi="Times New Roman" w:eastAsia="仿宋_GB2312" w:cs="Times New Roman"/>
          <w:color w:val="auto"/>
          <w:sz w:val="32"/>
          <w:szCs w:val="32"/>
          <w:highlight w:val="none"/>
        </w:rPr>
        <w:t>201</w:t>
      </w:r>
      <w:r>
        <w:rPr>
          <w:rFonts w:ascii="仿宋_GB2312"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年省级乡村振兴战略专项（完善农业支持保护制度）省级资金</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省级项目主管部门：广东省农业农村厅</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填报人姓名：</w:t>
      </w:r>
      <w:r>
        <w:rPr>
          <w:rFonts w:hint="eastAsia" w:ascii="仿宋_GB2312" w:eastAsia="仿宋_GB2312"/>
          <w:color w:val="auto"/>
          <w:sz w:val="32"/>
          <w:szCs w:val="36"/>
          <w:highlight w:val="none"/>
          <w:lang w:eastAsia="zh-CN"/>
        </w:rPr>
        <w:t>陆永松</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联系电话：</w:t>
      </w:r>
      <w:r>
        <w:rPr>
          <w:rFonts w:hint="eastAsia" w:ascii="仿宋_GB2312" w:eastAsia="仿宋_GB2312"/>
          <w:color w:val="auto"/>
          <w:sz w:val="32"/>
          <w:szCs w:val="36"/>
          <w:highlight w:val="none"/>
          <w:lang w:val="en-US" w:eastAsia="zh-CN"/>
        </w:rPr>
        <w:t>02037286689</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填报日期：2019年7月</w:t>
      </w:r>
      <w:r>
        <w:rPr>
          <w:rFonts w:hint="eastAsia" w:ascii="仿宋_GB2312" w:eastAsia="仿宋_GB2312"/>
          <w:color w:val="auto"/>
          <w:sz w:val="32"/>
          <w:szCs w:val="36"/>
          <w:highlight w:val="none"/>
          <w:lang w:val="en-US" w:eastAsia="zh-CN"/>
        </w:rPr>
        <w:t>31</w:t>
      </w:r>
      <w:r>
        <w:rPr>
          <w:rFonts w:hint="eastAsia" w:ascii="仿宋_GB2312" w:eastAsia="仿宋_GB2312"/>
          <w:color w:val="auto"/>
          <w:sz w:val="32"/>
          <w:szCs w:val="36"/>
          <w:highlight w:val="none"/>
        </w:rPr>
        <w:t>日</w:t>
      </w:r>
    </w:p>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sectPr>
          <w:pgSz w:w="11906" w:h="16838"/>
          <w:pgMar w:top="2041" w:right="1418" w:bottom="1418" w:left="1531" w:header="851" w:footer="992" w:gutter="0"/>
          <w:pgNumType w:fmt="numberInDash"/>
          <w:cols w:space="425" w:num="1"/>
          <w:docGrid w:linePitch="435" w:charSpace="0"/>
        </w:sectPr>
      </w:pPr>
    </w:p>
    <w:sdt>
      <w:sdtPr>
        <w:rPr>
          <w:rFonts w:ascii="Calibri" w:hAnsi="Calibri" w:eastAsiaTheme="minorEastAsia" w:cstheme="minorBidi"/>
          <w:color w:val="auto"/>
          <w:kern w:val="2"/>
          <w:sz w:val="21"/>
          <w:szCs w:val="22"/>
          <w:highlight w:val="none"/>
          <w:lang w:val="zh-CN"/>
        </w:rPr>
        <w:id w:val="777151251"/>
      </w:sdtPr>
      <w:sdtEndPr>
        <w:rPr>
          <w:rFonts w:ascii="Calibri" w:hAnsi="Calibri" w:eastAsiaTheme="minorEastAsia" w:cstheme="minorBidi"/>
          <w:b/>
          <w:bCs/>
          <w:color w:val="auto"/>
          <w:kern w:val="2"/>
          <w:sz w:val="21"/>
          <w:szCs w:val="22"/>
          <w:highlight w:val="none"/>
          <w:lang w:val="zh-CN"/>
        </w:rPr>
      </w:sdtEndPr>
      <w:sdtContent>
        <w:p>
          <w:pPr>
            <w:pStyle w:val="37"/>
            <w:spacing w:line="480" w:lineRule="auto"/>
            <w:jc w:val="center"/>
            <w:rPr>
              <w:rFonts w:ascii="黑体" w:hAnsi="黑体" w:eastAsia="黑体"/>
              <w:color w:val="auto"/>
              <w:sz w:val="44"/>
              <w:szCs w:val="44"/>
              <w:highlight w:val="none"/>
            </w:rPr>
          </w:pPr>
          <w:r>
            <w:rPr>
              <w:rFonts w:ascii="黑体" w:hAnsi="黑体" w:eastAsia="黑体"/>
              <w:color w:val="auto"/>
              <w:sz w:val="44"/>
              <w:szCs w:val="44"/>
              <w:highlight w:val="none"/>
              <w:lang w:val="zh-CN"/>
            </w:rPr>
            <w:t>目</w:t>
          </w:r>
          <w:r>
            <w:rPr>
              <w:rFonts w:hint="eastAsia" w:ascii="黑体" w:hAnsi="黑体" w:eastAsia="黑体"/>
              <w:color w:val="auto"/>
              <w:sz w:val="44"/>
              <w:szCs w:val="44"/>
              <w:highlight w:val="none"/>
              <w:lang w:val="zh-CN"/>
            </w:rPr>
            <w:t xml:space="preserve"> </w:t>
          </w:r>
          <w:r>
            <w:rPr>
              <w:rFonts w:ascii="黑体" w:hAnsi="黑体" w:eastAsia="黑体"/>
              <w:color w:val="auto"/>
              <w:sz w:val="44"/>
              <w:szCs w:val="44"/>
              <w:highlight w:val="none"/>
              <w:lang w:val="zh-CN"/>
            </w:rPr>
            <w:t xml:space="preserve"> 录</w:t>
          </w:r>
        </w:p>
        <w:p>
          <w:pPr>
            <w:pStyle w:val="12"/>
            <w:tabs>
              <w:tab w:val="right" w:leader="dot" w:pos="8947"/>
            </w:tabs>
            <w:spacing w:line="480" w:lineRule="auto"/>
            <w:rPr>
              <w:rFonts w:asciiTheme="minorHAnsi" w:hAnsiTheme="minorHAnsi"/>
              <w:color w:val="auto"/>
              <w:sz w:val="32"/>
              <w:szCs w:val="32"/>
              <w:highlight w:val="none"/>
            </w:rPr>
          </w:pPr>
          <w:r>
            <w:rPr>
              <w:color w:val="auto"/>
              <w:sz w:val="32"/>
              <w:szCs w:val="32"/>
              <w:highlight w:val="none"/>
            </w:rPr>
            <w:fldChar w:fldCharType="begin"/>
          </w:r>
          <w:r>
            <w:rPr>
              <w:color w:val="auto"/>
              <w:sz w:val="32"/>
              <w:szCs w:val="32"/>
              <w:highlight w:val="none"/>
            </w:rPr>
            <w:instrText xml:space="preserve"> TOC \o "1-3" \h \z \u </w:instrText>
          </w:r>
          <w:r>
            <w:rPr>
              <w:color w:val="auto"/>
              <w:sz w:val="32"/>
              <w:szCs w:val="32"/>
              <w:highlight w:val="none"/>
            </w:rPr>
            <w:fldChar w:fldCharType="separate"/>
          </w:r>
          <w:r>
            <w:rPr>
              <w:color w:val="auto"/>
              <w:highlight w:val="none"/>
            </w:rPr>
            <w:fldChar w:fldCharType="begin"/>
          </w:r>
          <w:r>
            <w:rPr>
              <w:color w:val="auto"/>
              <w:highlight w:val="none"/>
            </w:rPr>
            <w:instrText xml:space="preserve"> HYPERLINK \l "_Toc15159444" </w:instrText>
          </w:r>
          <w:r>
            <w:rPr>
              <w:color w:val="auto"/>
              <w:highlight w:val="none"/>
            </w:rPr>
            <w:fldChar w:fldCharType="separate"/>
          </w:r>
          <w:r>
            <w:rPr>
              <w:rStyle w:val="18"/>
              <w:rFonts w:ascii="黑体" w:hAnsi="黑体" w:eastAsia="黑体"/>
              <w:color w:val="auto"/>
              <w:sz w:val="32"/>
              <w:szCs w:val="32"/>
              <w:highlight w:val="none"/>
            </w:rPr>
            <w:t>一、项目基本情况及自评结论</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_Toc15159444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- 3 -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"_Toc15159445" </w:instrText>
          </w:r>
          <w:r>
            <w:rPr>
              <w:color w:val="auto"/>
              <w:highlight w:val="none"/>
            </w:rPr>
            <w:fldChar w:fldCharType="separate"/>
          </w:r>
          <w:r>
            <w:rPr>
              <w:rStyle w:val="18"/>
              <w:rFonts w:ascii="楷体_GB2312" w:eastAsia="楷体_GB2312"/>
              <w:color w:val="auto"/>
              <w:sz w:val="32"/>
              <w:szCs w:val="32"/>
              <w:highlight w:val="none"/>
            </w:rPr>
            <w:t>（一）项目资金安排情况</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_Toc15159445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- 3 -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"_Toc15159446" </w:instrText>
          </w:r>
          <w:r>
            <w:rPr>
              <w:color w:val="auto"/>
              <w:highlight w:val="none"/>
            </w:rPr>
            <w:fldChar w:fldCharType="separate"/>
          </w:r>
          <w:r>
            <w:rPr>
              <w:rStyle w:val="18"/>
              <w:rFonts w:ascii="楷体_GB2312" w:eastAsia="楷体_GB2312"/>
              <w:color w:val="auto"/>
              <w:sz w:val="32"/>
              <w:szCs w:val="32"/>
              <w:highlight w:val="none"/>
            </w:rPr>
            <w:t>（二）项目实施主要内容及实施程序</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_Toc15159446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- 6 -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"_Toc15159447" </w:instrText>
          </w:r>
          <w:r>
            <w:rPr>
              <w:color w:val="auto"/>
              <w:highlight w:val="none"/>
            </w:rPr>
            <w:fldChar w:fldCharType="separate"/>
          </w:r>
          <w:r>
            <w:rPr>
              <w:rStyle w:val="18"/>
              <w:rFonts w:ascii="楷体_GB2312" w:eastAsia="楷体_GB2312"/>
              <w:color w:val="auto"/>
              <w:sz w:val="32"/>
              <w:szCs w:val="32"/>
              <w:highlight w:val="none"/>
            </w:rPr>
            <w:t>（三）项目自评等级和分数和评价指标分析</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_Toc15159447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- 9 -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1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"_Toc15159448" </w:instrText>
          </w:r>
          <w:r>
            <w:rPr>
              <w:color w:val="auto"/>
              <w:highlight w:val="none"/>
            </w:rPr>
            <w:fldChar w:fldCharType="separate"/>
          </w:r>
          <w:r>
            <w:rPr>
              <w:rStyle w:val="18"/>
              <w:rFonts w:ascii="黑体" w:hAnsi="黑体" w:eastAsia="黑体"/>
              <w:color w:val="auto"/>
              <w:sz w:val="32"/>
              <w:szCs w:val="32"/>
              <w:highlight w:val="none"/>
            </w:rPr>
            <w:t>二、绩效表现</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_Toc15159448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- 17 -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"_Toc15159449" </w:instrText>
          </w:r>
          <w:r>
            <w:rPr>
              <w:color w:val="auto"/>
              <w:highlight w:val="none"/>
            </w:rPr>
            <w:fldChar w:fldCharType="separate"/>
          </w:r>
          <w:r>
            <w:rPr>
              <w:rStyle w:val="18"/>
              <w:rFonts w:ascii="楷体_GB2312" w:eastAsia="楷体_GB2312"/>
              <w:color w:val="auto"/>
              <w:sz w:val="32"/>
              <w:szCs w:val="32"/>
              <w:highlight w:val="none"/>
            </w:rPr>
            <w:t>（一）资金使用绩效</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_Toc15159449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- 17 -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"_Toc15159450" </w:instrText>
          </w:r>
          <w:r>
            <w:rPr>
              <w:color w:val="auto"/>
              <w:highlight w:val="none"/>
            </w:rPr>
            <w:fldChar w:fldCharType="separate"/>
          </w:r>
          <w:r>
            <w:rPr>
              <w:rStyle w:val="18"/>
              <w:rFonts w:ascii="楷体_GB2312" w:eastAsia="楷体_GB2312"/>
              <w:color w:val="auto"/>
              <w:sz w:val="32"/>
              <w:szCs w:val="32"/>
              <w:highlight w:val="none"/>
            </w:rPr>
            <w:t>（二）存在问题</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_Toc15159450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- 22 -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1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"_Toc15159451" </w:instrText>
          </w:r>
          <w:r>
            <w:rPr>
              <w:color w:val="auto"/>
              <w:highlight w:val="none"/>
            </w:rPr>
            <w:fldChar w:fldCharType="separate"/>
          </w:r>
          <w:r>
            <w:rPr>
              <w:rStyle w:val="18"/>
              <w:rFonts w:ascii="黑体" w:hAnsi="黑体" w:eastAsia="黑体"/>
              <w:color w:val="auto"/>
              <w:sz w:val="32"/>
              <w:szCs w:val="32"/>
              <w:highlight w:val="none"/>
            </w:rPr>
            <w:t>三、改进意见</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_Toc15159451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- 24 -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1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"_Toc15159452" </w:instrText>
          </w:r>
          <w:r>
            <w:rPr>
              <w:color w:val="auto"/>
              <w:highlight w:val="none"/>
            </w:rPr>
            <w:fldChar w:fldCharType="separate"/>
          </w:r>
          <w:r>
            <w:rPr>
              <w:rStyle w:val="18"/>
              <w:rFonts w:ascii="黑体" w:hAnsi="黑体" w:eastAsia="黑体"/>
              <w:color w:val="auto"/>
              <w:sz w:val="32"/>
              <w:szCs w:val="32"/>
              <w:highlight w:val="none"/>
            </w:rPr>
            <w:t>四、其他需要说明的情况</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_Toc15159452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- 26 -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pStyle w:val="12"/>
            <w:tabs>
              <w:tab w:val="right" w:leader="dot" w:pos="8947"/>
            </w:tabs>
            <w:spacing w:line="480" w:lineRule="auto"/>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"_Toc15159453" </w:instrText>
          </w:r>
          <w:r>
            <w:rPr>
              <w:color w:val="auto"/>
              <w:highlight w:val="none"/>
            </w:rPr>
            <w:fldChar w:fldCharType="separate"/>
          </w:r>
          <w:r>
            <w:rPr>
              <w:rStyle w:val="18"/>
              <w:rFonts w:ascii="黑体" w:hAnsi="黑体" w:eastAsia="黑体"/>
              <w:color w:val="auto"/>
              <w:sz w:val="32"/>
              <w:szCs w:val="32"/>
              <w:highlight w:val="none"/>
            </w:rPr>
            <w:t>附件</w:t>
          </w:r>
          <w:r>
            <w:rPr>
              <w:color w:val="auto"/>
              <w:sz w:val="32"/>
              <w:szCs w:val="32"/>
              <w:highlight w:val="none"/>
            </w:rPr>
            <w:tab/>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PAGEREF _Toc15159453 \h </w:instrText>
          </w:r>
          <w:r>
            <w:rPr>
              <w:rFonts w:ascii="仿宋" w:hAnsi="仿宋" w:eastAsia="仿宋"/>
              <w:color w:val="auto"/>
              <w:sz w:val="32"/>
              <w:szCs w:val="32"/>
              <w:highlight w:val="none"/>
            </w:rPr>
            <w:fldChar w:fldCharType="separate"/>
          </w:r>
          <w:r>
            <w:rPr>
              <w:rFonts w:ascii="仿宋" w:hAnsi="仿宋" w:eastAsia="仿宋"/>
              <w:color w:val="auto"/>
              <w:sz w:val="32"/>
              <w:szCs w:val="32"/>
              <w:highlight w:val="none"/>
            </w:rPr>
            <w:t>- 27 -</w:t>
          </w:r>
          <w:r>
            <w:rPr>
              <w:rFonts w:ascii="仿宋" w:hAnsi="仿宋" w:eastAsia="仿宋"/>
              <w:color w:val="auto"/>
              <w:sz w:val="32"/>
              <w:szCs w:val="32"/>
              <w:highlight w:val="none"/>
            </w:rPr>
            <w:fldChar w:fldCharType="end"/>
          </w:r>
          <w:r>
            <w:rPr>
              <w:rFonts w:ascii="仿宋" w:hAnsi="仿宋" w:eastAsia="仿宋"/>
              <w:color w:val="auto"/>
              <w:sz w:val="32"/>
              <w:szCs w:val="32"/>
              <w:highlight w:val="none"/>
            </w:rPr>
            <w:fldChar w:fldCharType="end"/>
          </w:r>
        </w:p>
        <w:p>
          <w:pPr>
            <w:spacing w:line="480" w:lineRule="auto"/>
            <w:rPr>
              <w:color w:val="auto"/>
              <w:highlight w:val="none"/>
            </w:rPr>
          </w:pPr>
          <w:r>
            <w:rPr>
              <w:color w:val="auto"/>
              <w:sz w:val="32"/>
              <w:szCs w:val="32"/>
              <w:highlight w:val="none"/>
              <w:lang w:val="zh-CN"/>
            </w:rPr>
            <w:fldChar w:fldCharType="end"/>
          </w:r>
        </w:p>
      </w:sdtContent>
    </w:sdt>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sectPr>
          <w:footerReference r:id="rId3" w:type="default"/>
          <w:pgSz w:w="11906" w:h="16838"/>
          <w:pgMar w:top="2041" w:right="1418" w:bottom="1418" w:left="1531" w:header="851" w:footer="992" w:gutter="0"/>
          <w:pgNumType w:fmt="numberInDash"/>
          <w:cols w:space="425" w:num="1"/>
          <w:docGrid w:linePitch="312" w:charSpace="0"/>
        </w:sectPr>
      </w:pPr>
    </w:p>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为检验201</w:t>
      </w:r>
      <w:r>
        <w:rPr>
          <w:rFonts w:ascii="仿宋_GB2312"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年省级乡村振兴战略专项（完善农业支持保护制度）省级资金使用绩效，考核专项资金预期绩效目标的实现程度、支出效率和综合效果，全面推进我省乡村振兴战略工作，根据广东省财政厅《关于开展2019年省级财政资金绩效自评工作的通知》（粤财绩函〔2019〕24号）的相关要求，我厅对201</w:t>
      </w:r>
      <w:r>
        <w:rPr>
          <w:rFonts w:ascii="仿宋_GB2312"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年省级乡村振兴战略专项（完善农业支持保护制度）省级资金（以下简称专项资金）使用情况进行绩效评价，评价基准日为2019年3月31日。</w:t>
      </w:r>
    </w:p>
    <w:p>
      <w:pPr>
        <w:spacing w:line="360" w:lineRule="auto"/>
        <w:ind w:firstLine="640" w:firstLineChars="200"/>
        <w:outlineLvl w:val="0"/>
        <w:rPr>
          <w:rFonts w:ascii="黑体" w:hAnsi="黑体" w:eastAsia="黑体"/>
          <w:color w:val="auto"/>
          <w:sz w:val="32"/>
          <w:szCs w:val="32"/>
          <w:highlight w:val="none"/>
        </w:rPr>
      </w:pPr>
      <w:bookmarkStart w:id="0" w:name="_Toc15159444"/>
      <w:r>
        <w:rPr>
          <w:rFonts w:hint="eastAsia" w:ascii="黑体" w:hAnsi="黑体" w:eastAsia="黑体"/>
          <w:color w:val="auto"/>
          <w:sz w:val="32"/>
          <w:szCs w:val="32"/>
          <w:highlight w:val="none"/>
        </w:rPr>
        <w:t>一、</w:t>
      </w:r>
      <w:r>
        <w:rPr>
          <w:rFonts w:ascii="黑体" w:hAnsi="黑体" w:eastAsia="黑体"/>
          <w:color w:val="auto"/>
          <w:sz w:val="32"/>
          <w:szCs w:val="32"/>
          <w:highlight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auto"/>
          <w:sz w:val="32"/>
          <w:szCs w:val="32"/>
          <w:highlight w:val="none"/>
        </w:rPr>
        <w:instrText xml:space="preserve">ADDIN CNKISM.UserStyle</w:instrText>
      </w:r>
      <w:r>
        <w:rPr>
          <w:rFonts w:ascii="黑体" w:hAnsi="黑体" w:eastAsia="黑体"/>
          <w:color w:val="auto"/>
          <w:sz w:val="32"/>
          <w:szCs w:val="32"/>
          <w:highlight w:val="none"/>
        </w:rPr>
        <w:fldChar w:fldCharType="end"/>
      </w:r>
      <w:r>
        <w:rPr>
          <w:rFonts w:hint="eastAsia" w:ascii="黑体" w:hAnsi="黑体" w:eastAsia="黑体"/>
          <w:color w:val="auto"/>
          <w:sz w:val="32"/>
          <w:szCs w:val="32"/>
          <w:highlight w:val="none"/>
        </w:rPr>
        <w:t>项目基本情况及自评结论</w:t>
      </w:r>
      <w:bookmarkEnd w:id="0"/>
    </w:p>
    <w:p>
      <w:pPr>
        <w:spacing w:line="360" w:lineRule="auto"/>
        <w:ind w:firstLine="643" w:firstLineChars="200"/>
        <w:outlineLvl w:val="1"/>
        <w:rPr>
          <w:rFonts w:ascii="楷体_GB2312" w:eastAsia="楷体_GB2312"/>
          <w:b/>
          <w:bCs/>
          <w:color w:val="auto"/>
          <w:sz w:val="32"/>
          <w:szCs w:val="36"/>
          <w:highlight w:val="none"/>
        </w:rPr>
      </w:pPr>
      <w:bookmarkStart w:id="1" w:name="_Toc15159445"/>
      <w:r>
        <w:rPr>
          <w:rFonts w:hint="eastAsia" w:ascii="楷体_GB2312" w:eastAsia="楷体_GB2312"/>
          <w:b/>
          <w:bCs/>
          <w:color w:val="auto"/>
          <w:sz w:val="32"/>
          <w:szCs w:val="36"/>
          <w:highlight w:val="none"/>
        </w:rPr>
        <w:t>（一）项目资金安排情况</w:t>
      </w:r>
      <w:bookmarkEnd w:id="1"/>
    </w:p>
    <w:p>
      <w:pPr>
        <w:spacing w:line="360" w:lineRule="auto"/>
        <w:ind w:firstLine="643" w:firstLineChars="200"/>
        <w:rPr>
          <w:rFonts w:ascii="仿宋_GB2312" w:hAnsi="Times New Roman" w:eastAsia="仿宋_GB2312" w:cs="Times New Roman"/>
          <w:b/>
          <w:bCs/>
          <w:color w:val="auto"/>
          <w:sz w:val="32"/>
          <w:szCs w:val="32"/>
          <w:highlight w:val="none"/>
        </w:rPr>
      </w:pPr>
      <w:bookmarkStart w:id="2" w:name="_Toc520192250"/>
      <w:r>
        <w:rPr>
          <w:rFonts w:hint="eastAsia" w:ascii="仿宋_GB2312" w:hAnsi="Times New Roman" w:eastAsia="仿宋_GB2312" w:cs="Times New Roman"/>
          <w:b/>
          <w:bCs/>
          <w:color w:val="auto"/>
          <w:sz w:val="32"/>
          <w:szCs w:val="32"/>
          <w:highlight w:val="none"/>
        </w:rPr>
        <w:t>1．资金背景。</w:t>
      </w:r>
      <w:bookmarkEnd w:id="2"/>
    </w:p>
    <w:p>
      <w:pPr>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实施乡村振兴战略是党的十九大明确提出的七个战略之一，改善农村民生水平，建设美丽乡村，是统筹推进“五位一体” 总体布局的必然选择。传统的农业生产模式已经无法满足人民日益增长的美好生活需要，农业发展的约束条件越来越复杂，使得现代农业发展遇到前所未有的风险，由此，完善农业支持保护制度，防范农业系统性风险，成为农业现代化进程中的首要任务。</w:t>
      </w:r>
    </w:p>
    <w:p>
      <w:pPr>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2018年广东省政府工作报告中明确提出实施乡村振兴战略，加快农业农村现代化，坚决打好精准脱贫攻坚战。要坚持全省一盘棋的思路，深入实施乡村振兴战略、区域协调发展战略，优化珠三角、东西两翼和粤北山区发展格局，健全城乡融合发展体制机制，加快实现基本公共服务均等化、基础设施通达程度比较均衡、人民生活水平大体相当，加快补齐区域城乡发展不平衡这块最大的短板。</w:t>
      </w:r>
    </w:p>
    <w:p>
      <w:pPr>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实施乡村振兴战略的关键在农民，落脚点在农村，重点在农业。为实施我省乡村振兴战略，完善农业支持保护制度，保障我省完成2018年农业发展和农村工作各项任务，省财政在上年度省级农业发展和农村工作专项资金的基础上，整合设立2018年省级乡村振兴战略专项（完善农业支持保护制度）省级资金。</w:t>
      </w:r>
    </w:p>
    <w:p>
      <w:pPr>
        <w:spacing w:line="360" w:lineRule="auto"/>
        <w:ind w:firstLine="643" w:firstLineChars="200"/>
        <w:rPr>
          <w:rFonts w:ascii="仿宋_GB2312" w:hAnsi="Times New Roman" w:eastAsia="仿宋_GB2312" w:cs="Times New Roman"/>
          <w:b/>
          <w:bCs/>
          <w:color w:val="auto"/>
          <w:sz w:val="32"/>
          <w:szCs w:val="32"/>
          <w:highlight w:val="none"/>
        </w:rPr>
      </w:pPr>
      <w:bookmarkStart w:id="3" w:name="_Toc520192251"/>
      <w:r>
        <w:rPr>
          <w:rFonts w:hint="eastAsia" w:ascii="仿宋_GB2312" w:hAnsi="Times New Roman" w:eastAsia="仿宋_GB2312" w:cs="Times New Roman"/>
          <w:b/>
          <w:bCs/>
          <w:color w:val="auto"/>
          <w:sz w:val="32"/>
          <w:szCs w:val="32"/>
          <w:highlight w:val="none"/>
        </w:rPr>
        <w:t>2．资金概况。</w:t>
      </w:r>
      <w:bookmarkEnd w:id="3"/>
    </w:p>
    <w:p>
      <w:pPr>
        <w:spacing w:line="360" w:lineRule="auto"/>
        <w:ind w:firstLine="640" w:firstLineChars="200"/>
        <w:rPr>
          <w:rFonts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根据农业农村部和省委省政府工作部署以及《广东省省级财政专项资金管理办法》（粤府〔2016〕86号）、《</w:t>
      </w:r>
      <w:r>
        <w:rPr>
          <w:rFonts w:ascii="仿宋_GB2312" w:hAnsi="Times New Roman" w:eastAsia="仿宋_GB2312"/>
          <w:color w:val="auto"/>
          <w:sz w:val="32"/>
          <w:szCs w:val="32"/>
          <w:highlight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hAnsi="Times New Roman" w:eastAsia="仿宋_GB2312"/>
          <w:color w:val="auto"/>
          <w:sz w:val="32"/>
          <w:szCs w:val="32"/>
          <w:highlight w:val="none"/>
        </w:rPr>
        <w:instrText xml:space="preserve">ADDIN CNKISM.UserStyle</w:instrText>
      </w:r>
      <w:r>
        <w:rPr>
          <w:rFonts w:ascii="仿宋_GB2312" w:hAnsi="Times New Roman" w:eastAsia="仿宋_GB2312"/>
          <w:color w:val="auto"/>
          <w:sz w:val="32"/>
          <w:szCs w:val="32"/>
          <w:highlight w:val="none"/>
        </w:rPr>
        <w:fldChar w:fldCharType="end"/>
      </w:r>
      <w:r>
        <w:rPr>
          <w:rFonts w:hint="eastAsia" w:ascii="仿宋_GB2312" w:hAnsi="Times New Roman" w:eastAsia="仿宋_GB2312"/>
          <w:color w:val="auto"/>
          <w:sz w:val="32"/>
          <w:szCs w:val="32"/>
          <w:highlight w:val="none"/>
        </w:rPr>
        <w:t>广东省人民政府关于印发广东省省级财政专项资金管理办法（试行）的通知》（粤府〔2018〕120号）等有关规定，</w:t>
      </w:r>
      <w:bookmarkStart w:id="4" w:name="_Toc520191467"/>
      <w:r>
        <w:rPr>
          <w:rFonts w:hint="eastAsia" w:ascii="仿宋_GB2312" w:hAnsi="Times New Roman" w:eastAsia="仿宋_GB2312"/>
          <w:color w:val="auto"/>
          <w:sz w:val="32"/>
          <w:szCs w:val="32"/>
          <w:highlight w:val="none"/>
        </w:rPr>
        <w:t>对下转移支付市县的专项资金实行“大专项+任务清单”管理模式，采用因素法等方法进行分配。省直单位主要采用项目制方式，通过竞争性分配、专家评审论证、集体研究审核等方法进行分配。</w:t>
      </w:r>
    </w:p>
    <w:p>
      <w:pPr>
        <w:spacing w:line="360" w:lineRule="auto"/>
        <w:ind w:firstLine="640" w:firstLineChars="200"/>
        <w:rPr>
          <w:rFonts w:ascii="仿宋_GB2312" w:hAnsi="Times New Roman" w:eastAsia="仿宋_GB2312"/>
          <w:color w:val="auto"/>
          <w:sz w:val="32"/>
          <w:szCs w:val="32"/>
          <w:highlight w:val="none"/>
        </w:rPr>
      </w:pPr>
      <w:r>
        <w:rPr>
          <w:rFonts w:hint="eastAsia" w:ascii="仿宋_GB2312" w:hAnsi="Times New Roman" w:eastAsia="仿宋_GB2312" w:cs="Times New Roman"/>
          <w:color w:val="auto"/>
          <w:sz w:val="32"/>
          <w:szCs w:val="32"/>
          <w:highlight w:val="none"/>
        </w:rPr>
        <w:t>2018年省财政共安排下达2018年省级乡村振兴战略专项（完善农业支持保护制度）省级资金84892万元。</w:t>
      </w:r>
    </w:p>
    <w:p>
      <w:pPr>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专项资金用途主要是政策性农业保险保费补贴等5个用途（方向）（详见表1-1）。</w:t>
      </w:r>
    </w:p>
    <w:bookmarkEnd w:id="4"/>
    <w:p>
      <w:pPr>
        <w:snapToGrid w:val="0"/>
        <w:ind w:firstLine="640" w:firstLineChars="200"/>
        <w:rPr>
          <w:rFonts w:ascii="仿宋_GB2312" w:hAnsi="Times New Roman" w:eastAsia="仿宋_GB2312" w:cs="Times New Roman"/>
          <w:color w:val="auto"/>
          <w:sz w:val="32"/>
          <w:szCs w:val="32"/>
          <w:highlight w:val="none"/>
        </w:rPr>
      </w:pPr>
    </w:p>
    <w:p>
      <w:pPr>
        <w:snapToGrid w:val="0"/>
        <w:jc w:val="center"/>
        <w:rPr>
          <w:rFonts w:ascii="黑体" w:hAnsi="黑体" w:eastAsia="黑体"/>
          <w:color w:val="auto"/>
          <w:sz w:val="28"/>
          <w:szCs w:val="28"/>
          <w:highlight w:val="none"/>
        </w:rPr>
      </w:pPr>
    </w:p>
    <w:p>
      <w:pPr>
        <w:snapToGrid w:val="0"/>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表1-1. 2018年完善农业支持保护制度专项资金用途情况表</w:t>
      </w:r>
    </w:p>
    <w:tbl>
      <w:tblPr>
        <w:tblStyle w:val="24"/>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609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50" w:type="dxa"/>
            <w:vMerge w:val="restart"/>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b/>
                <w:bCs/>
                <w:color w:val="auto"/>
                <w:sz w:val="24"/>
                <w:szCs w:val="24"/>
                <w:highlight w:val="none"/>
              </w:rPr>
              <w:t>序号</w:t>
            </w:r>
          </w:p>
        </w:tc>
        <w:tc>
          <w:tcPr>
            <w:tcW w:w="6096" w:type="dxa"/>
            <w:vAlign w:val="center"/>
          </w:tcPr>
          <w:p>
            <w:pPr>
              <w:snapToGrid w:val="0"/>
              <w:jc w:val="center"/>
              <w:rPr>
                <w:rFonts w:ascii="仿宋_GB2312" w:hAnsi="仿宋" w:eastAsia="仿宋_GB2312"/>
                <w:color w:val="auto"/>
                <w:sz w:val="24"/>
                <w:szCs w:val="24"/>
                <w:highlight w:val="none"/>
              </w:rPr>
            </w:pPr>
            <w:r>
              <w:rPr>
                <w:rFonts w:hint="eastAsia" w:ascii="仿宋_GB2312" w:hAnsi="等线" w:eastAsia="仿宋_GB2312" w:cs="仿宋_GB2312"/>
                <w:b/>
                <w:color w:val="auto"/>
                <w:kern w:val="0"/>
                <w:sz w:val="24"/>
                <w:szCs w:val="24"/>
                <w:highlight w:val="none"/>
              </w:rPr>
              <w:t>资金用途（方向）</w:t>
            </w:r>
          </w:p>
        </w:tc>
        <w:tc>
          <w:tcPr>
            <w:tcW w:w="1701" w:type="dxa"/>
            <w:vAlign w:val="center"/>
          </w:tcPr>
          <w:p>
            <w:pPr>
              <w:snapToGrid w:val="0"/>
              <w:jc w:val="center"/>
              <w:rPr>
                <w:rFonts w:ascii="仿宋_GB2312" w:hAnsi="仿宋" w:eastAsia="仿宋_GB2312"/>
                <w:color w:val="auto"/>
                <w:sz w:val="24"/>
                <w:szCs w:val="24"/>
                <w:highlight w:val="none"/>
              </w:rPr>
            </w:pPr>
            <w:r>
              <w:rPr>
                <w:rFonts w:hint="eastAsia" w:ascii="仿宋_GB2312" w:hAnsi="等线" w:eastAsia="仿宋_GB2312" w:cs="仿宋_GB2312"/>
                <w:b/>
                <w:color w:val="auto"/>
                <w:kern w:val="0"/>
                <w:sz w:val="24"/>
                <w:szCs w:val="24"/>
                <w:highlight w:val="none"/>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850" w:type="dxa"/>
            <w:vMerge w:val="continue"/>
            <w:vAlign w:val="center"/>
          </w:tcPr>
          <w:p>
            <w:pPr>
              <w:snapToGrid w:val="0"/>
              <w:jc w:val="center"/>
              <w:rPr>
                <w:rFonts w:ascii="仿宋_GB2312" w:hAnsi="等线" w:eastAsia="仿宋_GB2312" w:cs="仿宋_GB2312"/>
                <w:color w:val="auto"/>
                <w:kern w:val="0"/>
                <w:sz w:val="24"/>
                <w:szCs w:val="24"/>
                <w:highlight w:val="none"/>
              </w:rPr>
            </w:pPr>
          </w:p>
        </w:tc>
        <w:tc>
          <w:tcPr>
            <w:tcW w:w="6096" w:type="dxa"/>
            <w:vAlign w:val="center"/>
          </w:tcPr>
          <w:p>
            <w:pPr>
              <w:snapToGrid w:val="0"/>
              <w:jc w:val="center"/>
              <w:rPr>
                <w:rFonts w:ascii="仿宋_GB2312" w:hAnsi="等线" w:eastAsia="仿宋_GB2312" w:cs="仿宋_GB2312"/>
                <w:b/>
                <w:bCs/>
                <w:color w:val="auto"/>
                <w:kern w:val="0"/>
                <w:sz w:val="24"/>
                <w:szCs w:val="24"/>
                <w:highlight w:val="none"/>
              </w:rPr>
            </w:pPr>
            <w:r>
              <w:rPr>
                <w:rFonts w:hint="eastAsia" w:ascii="仿宋_GB2312" w:hAnsi="等线" w:eastAsia="仿宋_GB2312" w:cs="仿宋_GB2312"/>
                <w:b/>
                <w:bCs/>
                <w:color w:val="auto"/>
                <w:kern w:val="0"/>
                <w:sz w:val="24"/>
                <w:szCs w:val="24"/>
                <w:highlight w:val="none"/>
              </w:rPr>
              <w:t>合  计</w:t>
            </w:r>
          </w:p>
        </w:tc>
        <w:tc>
          <w:tcPr>
            <w:tcW w:w="1701" w:type="dxa"/>
            <w:vAlign w:val="center"/>
          </w:tcPr>
          <w:p>
            <w:pPr>
              <w:snapToGrid w:val="0"/>
              <w:jc w:val="center"/>
              <w:rPr>
                <w:rFonts w:ascii="仿宋_GB2312" w:hAnsi="仿宋" w:eastAsia="仿宋_GB2312"/>
                <w:b/>
                <w:bCs/>
                <w:color w:val="auto"/>
                <w:sz w:val="24"/>
                <w:szCs w:val="24"/>
                <w:highlight w:val="none"/>
              </w:rPr>
            </w:pPr>
            <w:r>
              <w:rPr>
                <w:rFonts w:hint="eastAsia" w:ascii="仿宋_GB2312" w:hAnsi="仿宋" w:eastAsia="仿宋_GB2312"/>
                <w:b/>
                <w:bCs/>
                <w:color w:val="auto"/>
                <w:sz w:val="24"/>
                <w:szCs w:val="24"/>
                <w:highlight w:val="none"/>
              </w:rPr>
              <w:t>84892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850"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1</w:t>
            </w:r>
          </w:p>
        </w:tc>
        <w:tc>
          <w:tcPr>
            <w:tcW w:w="6096" w:type="dxa"/>
            <w:vAlign w:val="center"/>
          </w:tcPr>
          <w:p>
            <w:pPr>
              <w:snapToGrid w:val="0"/>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政策性农业保险保费补贴</w:t>
            </w:r>
          </w:p>
        </w:tc>
        <w:tc>
          <w:tcPr>
            <w:tcW w:w="1701"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55442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850"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2</w:t>
            </w:r>
          </w:p>
        </w:tc>
        <w:tc>
          <w:tcPr>
            <w:tcW w:w="6096" w:type="dxa"/>
            <w:vAlign w:val="center"/>
          </w:tcPr>
          <w:p>
            <w:pPr>
              <w:snapToGrid w:val="0"/>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动物疫病防控</w:t>
            </w:r>
          </w:p>
        </w:tc>
        <w:tc>
          <w:tcPr>
            <w:tcW w:w="1701"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19150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850"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3</w:t>
            </w:r>
          </w:p>
        </w:tc>
        <w:tc>
          <w:tcPr>
            <w:tcW w:w="6096" w:type="dxa"/>
            <w:vAlign w:val="center"/>
          </w:tcPr>
          <w:p>
            <w:pPr>
              <w:snapToGrid w:val="0"/>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农产品质量安全体系建设</w:t>
            </w:r>
          </w:p>
        </w:tc>
        <w:tc>
          <w:tcPr>
            <w:tcW w:w="1701"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850"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4</w:t>
            </w:r>
          </w:p>
        </w:tc>
        <w:tc>
          <w:tcPr>
            <w:tcW w:w="6096" w:type="dxa"/>
            <w:vAlign w:val="center"/>
          </w:tcPr>
          <w:p>
            <w:pPr>
              <w:snapToGrid w:val="0"/>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世界银行贷款广东农业面源污染治理项目</w:t>
            </w:r>
          </w:p>
        </w:tc>
        <w:tc>
          <w:tcPr>
            <w:tcW w:w="1701"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850"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5</w:t>
            </w:r>
          </w:p>
        </w:tc>
        <w:tc>
          <w:tcPr>
            <w:tcW w:w="6096" w:type="dxa"/>
            <w:vAlign w:val="center"/>
          </w:tcPr>
          <w:p>
            <w:pPr>
              <w:snapToGrid w:val="0"/>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农业综合执法体系建设和农业救灾与粮食应急种子储备</w:t>
            </w:r>
          </w:p>
        </w:tc>
        <w:tc>
          <w:tcPr>
            <w:tcW w:w="1701"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2000</w:t>
            </w:r>
          </w:p>
        </w:tc>
      </w:tr>
    </w:tbl>
    <w:p>
      <w:pPr>
        <w:snapToGrid w:val="0"/>
        <w:rPr>
          <w:rFonts w:ascii="仿宋_GB2312" w:hAnsi="仿宋"/>
          <w:color w:val="auto"/>
          <w:sz w:val="28"/>
          <w:szCs w:val="28"/>
          <w:highlight w:val="none"/>
        </w:rPr>
      </w:pPr>
    </w:p>
    <w:p>
      <w:pPr>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专项资金支持范围涉及全省除深圳市以外的20个地级以上市和省直有关单位（详见表1-2）。</w:t>
      </w:r>
    </w:p>
    <w:p>
      <w:pPr>
        <w:snapToGrid w:val="0"/>
        <w:jc w:val="center"/>
        <w:rPr>
          <w:rFonts w:ascii="黑体" w:hAnsi="黑体" w:eastAsia="黑体"/>
          <w:color w:val="auto"/>
          <w:sz w:val="28"/>
          <w:szCs w:val="28"/>
          <w:highlight w:val="none"/>
        </w:rPr>
      </w:pPr>
    </w:p>
    <w:p>
      <w:pPr>
        <w:snapToGrid w:val="0"/>
        <w:ind w:right="960"/>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 xml:space="preserve">     表1-2. 2018年完善农业支持保护制度专项资金分配情况表</w:t>
      </w:r>
    </w:p>
    <w:p>
      <w:pPr>
        <w:snapToGrid w:val="0"/>
        <w:ind w:right="960"/>
        <w:jc w:val="right"/>
        <w:rPr>
          <w:rFonts w:ascii="黑体" w:hAnsi="黑体" w:eastAsia="黑体"/>
          <w:color w:val="auto"/>
          <w:sz w:val="24"/>
          <w:szCs w:val="24"/>
          <w:highlight w:val="none"/>
        </w:rPr>
      </w:pPr>
      <w:r>
        <w:rPr>
          <w:rFonts w:hint="eastAsia" w:ascii="黑体" w:hAnsi="黑体" w:eastAsia="黑体"/>
          <w:color w:val="auto"/>
          <w:sz w:val="24"/>
          <w:szCs w:val="24"/>
          <w:highlight w:val="none"/>
        </w:rPr>
        <w:t xml:space="preserve">  单位：万元</w:t>
      </w:r>
    </w:p>
    <w:tbl>
      <w:tblPr>
        <w:tblStyle w:val="23"/>
        <w:tblW w:w="7782" w:type="dxa"/>
        <w:jc w:val="center"/>
        <w:tblInd w:w="0" w:type="dxa"/>
        <w:tblLayout w:type="fixed"/>
        <w:tblCellMar>
          <w:top w:w="0" w:type="dxa"/>
          <w:left w:w="108" w:type="dxa"/>
          <w:bottom w:w="0" w:type="dxa"/>
          <w:right w:w="108" w:type="dxa"/>
        </w:tblCellMar>
      </w:tblPr>
      <w:tblGrid>
        <w:gridCol w:w="966"/>
        <w:gridCol w:w="1920"/>
        <w:gridCol w:w="1632"/>
        <w:gridCol w:w="1632"/>
        <w:gridCol w:w="1632"/>
      </w:tblGrid>
      <w:tr>
        <w:tblPrEx>
          <w:tblLayout w:type="fixed"/>
          <w:tblCellMar>
            <w:top w:w="0" w:type="dxa"/>
            <w:left w:w="108" w:type="dxa"/>
            <w:bottom w:w="0" w:type="dxa"/>
            <w:right w:w="108" w:type="dxa"/>
          </w:tblCellMar>
        </w:tblPrEx>
        <w:trPr>
          <w:trHeight w:val="300" w:hRule="atLeast"/>
          <w:tblHeader/>
          <w:jc w:val="center"/>
        </w:trPr>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序号</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地级以上市</w:t>
            </w:r>
          </w:p>
        </w:tc>
        <w:tc>
          <w:tcPr>
            <w:tcW w:w="16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合计</w:t>
            </w:r>
          </w:p>
        </w:tc>
        <w:tc>
          <w:tcPr>
            <w:tcW w:w="16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约束性任务</w:t>
            </w:r>
          </w:p>
        </w:tc>
        <w:tc>
          <w:tcPr>
            <w:tcW w:w="16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指导性任务</w:t>
            </w:r>
          </w:p>
        </w:tc>
      </w:tr>
      <w:tr>
        <w:tblPrEx>
          <w:tblLayout w:type="fixed"/>
          <w:tblCellMar>
            <w:top w:w="0" w:type="dxa"/>
            <w:left w:w="108" w:type="dxa"/>
            <w:bottom w:w="0" w:type="dxa"/>
            <w:right w:w="108" w:type="dxa"/>
          </w:tblCellMar>
        </w:tblPrEx>
        <w:trPr>
          <w:trHeight w:val="300" w:hRule="atLeast"/>
          <w:jc w:val="center"/>
        </w:trPr>
        <w:tc>
          <w:tcPr>
            <w:tcW w:w="288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合计</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b/>
                <w:bCs/>
                <w:color w:val="auto"/>
                <w:kern w:val="0"/>
                <w:sz w:val="24"/>
                <w:szCs w:val="24"/>
                <w:highlight w:val="none"/>
              </w:rPr>
            </w:pPr>
            <w:r>
              <w:rPr>
                <w:rFonts w:hint="default" w:ascii="仿宋_GB2312" w:hAnsi="宋体" w:eastAsia="仿宋_GB2312" w:cs="仿宋_GB2312"/>
                <w:b/>
                <w:bCs/>
                <w:i w:val="0"/>
                <w:color w:val="auto"/>
                <w:kern w:val="0"/>
                <w:sz w:val="24"/>
                <w:szCs w:val="24"/>
                <w:highlight w:val="none"/>
                <w:u w:val="none"/>
                <w:lang w:val="en-US" w:eastAsia="zh-CN" w:bidi="ar"/>
              </w:rPr>
              <w:t>84892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b/>
                <w:bCs/>
                <w:color w:val="auto"/>
                <w:kern w:val="0"/>
                <w:sz w:val="24"/>
                <w:szCs w:val="24"/>
                <w:highlight w:val="none"/>
              </w:rPr>
            </w:pPr>
            <w:r>
              <w:rPr>
                <w:rFonts w:hint="default" w:ascii="仿宋_GB2312" w:hAnsi="宋体" w:eastAsia="仿宋_GB2312" w:cs="仿宋_GB2312"/>
                <w:b/>
                <w:bCs/>
                <w:i w:val="0"/>
                <w:color w:val="auto"/>
                <w:kern w:val="0"/>
                <w:sz w:val="24"/>
                <w:szCs w:val="24"/>
                <w:highlight w:val="none"/>
                <w:u w:val="none"/>
                <w:lang w:val="en-US" w:eastAsia="zh-CN" w:bidi="ar"/>
              </w:rPr>
              <w:t>68153.52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b/>
                <w:bCs/>
                <w:color w:val="auto"/>
                <w:kern w:val="0"/>
                <w:sz w:val="24"/>
                <w:szCs w:val="24"/>
                <w:highlight w:val="none"/>
              </w:rPr>
            </w:pPr>
            <w:r>
              <w:rPr>
                <w:rFonts w:hint="default" w:ascii="仿宋_GB2312" w:hAnsi="宋体" w:eastAsia="仿宋_GB2312" w:cs="仿宋_GB2312"/>
                <w:b/>
                <w:bCs/>
                <w:i w:val="0"/>
                <w:color w:val="auto"/>
                <w:kern w:val="0"/>
                <w:sz w:val="24"/>
                <w:szCs w:val="24"/>
                <w:highlight w:val="none"/>
                <w:u w:val="none"/>
                <w:lang w:val="en-US" w:eastAsia="zh-CN" w:bidi="ar"/>
              </w:rPr>
              <w:t>16738.48</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广州市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787</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407</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380</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珠海市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86</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23</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63</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汕头市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1745</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1197</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548</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佛山市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432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149</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283</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韶关市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3390</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2684</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706</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河源市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3018</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2323</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695</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7</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梅州市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5487.76</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4192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1295.76</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惠州市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4622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3559</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1063</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9</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汕尾市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2630</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2111</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519</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东莞市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125</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77</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48</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11</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中山市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126</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94</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12</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江门市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4404.15</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3095</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1309.15</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13</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阳江市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4508</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3590</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918</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14</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湛江市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8950</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7353</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1597</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15</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茂名市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13415.57</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11189</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2226.57</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肇庆市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6202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4781</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1421</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17</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清远市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4912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3804</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1108</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18</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潮州市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1375</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860</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515</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19</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揭阳市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3376</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2690</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686</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云浮市</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7188</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5925</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1263</w:t>
            </w:r>
          </w:p>
        </w:tc>
      </w:tr>
      <w:tr>
        <w:tblPrEx>
          <w:tblLayout w:type="fixed"/>
          <w:tblCellMar>
            <w:top w:w="0" w:type="dxa"/>
            <w:left w:w="108" w:type="dxa"/>
            <w:bottom w:w="0" w:type="dxa"/>
            <w:right w:w="108" w:type="dxa"/>
          </w:tblCellMar>
        </w:tblPrEx>
        <w:trPr>
          <w:trHeight w:val="300" w:hRule="atLeast"/>
          <w:jc w:val="center"/>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21</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省直单位</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8112.52</w:t>
            </w:r>
          </w:p>
        </w:tc>
        <w:tc>
          <w:tcPr>
            <w:tcW w:w="16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auto"/>
                <w:kern w:val="0"/>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8112.52</w:t>
            </w:r>
          </w:p>
        </w:tc>
        <w:tc>
          <w:tcPr>
            <w:tcW w:w="163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4"/>
                <w:szCs w:val="24"/>
                <w:highlight w:val="none"/>
              </w:rPr>
            </w:pPr>
          </w:p>
        </w:tc>
      </w:tr>
    </w:tbl>
    <w:p>
      <w:pPr>
        <w:spacing w:line="360" w:lineRule="auto"/>
        <w:ind w:firstLine="643" w:firstLineChars="200"/>
        <w:outlineLvl w:val="1"/>
        <w:rPr>
          <w:rFonts w:hint="eastAsia" w:ascii="楷体_GB2312" w:eastAsia="楷体_GB2312"/>
          <w:b/>
          <w:bCs/>
          <w:color w:val="auto"/>
          <w:sz w:val="32"/>
          <w:szCs w:val="36"/>
          <w:highlight w:val="none"/>
        </w:rPr>
      </w:pPr>
      <w:bookmarkStart w:id="5" w:name="_Toc15159446"/>
    </w:p>
    <w:p>
      <w:pPr>
        <w:spacing w:line="360" w:lineRule="auto"/>
        <w:ind w:firstLine="643" w:firstLineChars="200"/>
        <w:outlineLvl w:val="1"/>
        <w:rPr>
          <w:rFonts w:ascii="楷体_GB2312" w:eastAsia="楷体_GB2312"/>
          <w:b/>
          <w:bCs/>
          <w:color w:val="auto"/>
          <w:sz w:val="32"/>
          <w:szCs w:val="36"/>
          <w:highlight w:val="none"/>
        </w:rPr>
      </w:pPr>
      <w:r>
        <w:rPr>
          <w:rFonts w:hint="eastAsia" w:ascii="楷体_GB2312" w:eastAsia="楷体_GB2312"/>
          <w:b/>
          <w:bCs/>
          <w:color w:val="auto"/>
          <w:sz w:val="32"/>
          <w:szCs w:val="36"/>
          <w:highlight w:val="none"/>
        </w:rPr>
        <w:t>（二）项目实施主要内容及实施程序</w:t>
      </w:r>
      <w:bookmarkEnd w:id="5"/>
    </w:p>
    <w:p>
      <w:pPr>
        <w:spacing w:line="360" w:lineRule="auto"/>
        <w:ind w:firstLine="643" w:firstLineChars="200"/>
        <w:rPr>
          <w:rFonts w:ascii="仿宋_GB2312" w:hAnsi="Times New Roman" w:eastAsia="仿宋_GB2312" w:cs="Times New Roman"/>
          <w:b/>
          <w:bCs/>
          <w:color w:val="auto"/>
          <w:sz w:val="32"/>
          <w:szCs w:val="32"/>
          <w:highlight w:val="none"/>
        </w:rPr>
      </w:pPr>
      <w:bookmarkStart w:id="6" w:name="_Toc520191468"/>
      <w:r>
        <w:rPr>
          <w:rFonts w:hint="eastAsia" w:ascii="仿宋_GB2312" w:hAnsi="Times New Roman" w:eastAsia="仿宋_GB2312" w:cs="Times New Roman"/>
          <w:b/>
          <w:bCs/>
          <w:color w:val="auto"/>
          <w:sz w:val="32"/>
          <w:szCs w:val="32"/>
          <w:highlight w:val="none"/>
        </w:rPr>
        <w:t>1．项目实施主要内容。</w:t>
      </w:r>
    </w:p>
    <w:bookmarkEnd w:id="6"/>
    <w:p>
      <w:pPr>
        <w:spacing w:line="360" w:lineRule="auto"/>
        <w:ind w:firstLine="640" w:firstLineChars="200"/>
        <w:rPr>
          <w:rFonts w:ascii="仿宋_GB2312" w:hAnsi="Times New Roman" w:eastAsia="仿宋_GB2312"/>
          <w:color w:val="auto"/>
          <w:sz w:val="32"/>
          <w:highlight w:val="none"/>
        </w:rPr>
      </w:pPr>
      <w:r>
        <w:rPr>
          <w:rFonts w:hint="eastAsia" w:ascii="仿宋_GB2312" w:eastAsia="仿宋_GB2312"/>
          <w:color w:val="auto"/>
          <w:sz w:val="32"/>
          <w:szCs w:val="36"/>
          <w:highlight w:val="none"/>
        </w:rPr>
        <w:t>（1）政策性农业保险保费补贴。</w:t>
      </w:r>
      <w:r>
        <w:rPr>
          <w:rFonts w:ascii="仿宋_GB2312" w:hAnsi="Times New Roman" w:eastAsia="仿宋_GB2312"/>
          <w:color w:val="auto"/>
          <w:sz w:val="32"/>
          <w:highlight w:val="none"/>
        </w:rPr>
        <w:t>通过保费补贴等政策扶持，</w:t>
      </w:r>
      <w:r>
        <w:rPr>
          <w:rFonts w:hint="eastAsia" w:ascii="仿宋_GB2312" w:hAnsi="Times New Roman" w:eastAsia="仿宋_GB2312"/>
          <w:color w:val="auto"/>
          <w:sz w:val="32"/>
          <w:highlight w:val="none"/>
        </w:rPr>
        <w:t>用于</w:t>
      </w:r>
      <w:r>
        <w:rPr>
          <w:rFonts w:ascii="仿宋_GB2312" w:hAnsi="Times New Roman" w:eastAsia="仿宋_GB2312"/>
          <w:color w:val="auto"/>
          <w:sz w:val="32"/>
          <w:highlight w:val="none"/>
        </w:rPr>
        <w:t>对种植业、养殖业</w:t>
      </w:r>
      <w:r>
        <w:rPr>
          <w:rFonts w:hint="eastAsia" w:ascii="仿宋_GB2312" w:hAnsi="Times New Roman" w:eastAsia="仿宋_GB2312"/>
          <w:color w:val="auto"/>
          <w:sz w:val="32"/>
          <w:highlight w:val="none"/>
        </w:rPr>
        <w:t>、海洋渔业</w:t>
      </w:r>
      <w:r>
        <w:rPr>
          <w:rFonts w:ascii="仿宋_GB2312" w:hAnsi="Times New Roman" w:eastAsia="仿宋_GB2312"/>
          <w:color w:val="auto"/>
          <w:sz w:val="32"/>
          <w:highlight w:val="none"/>
        </w:rPr>
        <w:t>因遭受自然灾害和意外事故造成的经济损失提供直接物化成本保险。</w:t>
      </w:r>
      <w:r>
        <w:rPr>
          <w:rFonts w:hint="eastAsia" w:ascii="仿宋_GB2312" w:hAnsi="Times New Roman" w:eastAsia="仿宋_GB2312"/>
          <w:color w:val="auto"/>
          <w:sz w:val="32"/>
          <w:highlight w:val="none"/>
        </w:rPr>
        <w:t>即对列入专项资金补贴项目的险种，分别按照不同的保险费率、确定一定的单位保费定额，所需保险费用由中央和省、地市、县级财政给予一定补贴。</w:t>
      </w:r>
    </w:p>
    <w:p>
      <w:pPr>
        <w:spacing w:line="360" w:lineRule="auto"/>
        <w:ind w:firstLine="640" w:firstLineChars="200"/>
        <w:rPr>
          <w:rFonts w:ascii="仿宋_GB2312" w:hAnsi="Times New Roman" w:eastAsia="仿宋_GB2312"/>
          <w:color w:val="auto"/>
          <w:sz w:val="32"/>
          <w:highlight w:val="none"/>
        </w:rPr>
      </w:pPr>
      <w:r>
        <w:rPr>
          <w:rFonts w:hint="eastAsia" w:ascii="仿宋_GB2312" w:eastAsia="仿宋_GB2312"/>
          <w:color w:val="auto"/>
          <w:sz w:val="32"/>
          <w:szCs w:val="36"/>
          <w:highlight w:val="none"/>
        </w:rPr>
        <w:t>（2）动</w:t>
      </w:r>
      <w:r>
        <w:rPr>
          <w:rFonts w:hint="eastAsia" w:ascii="仿宋_GB2312" w:hAnsi="Times New Roman" w:eastAsia="仿宋_GB2312"/>
          <w:color w:val="auto"/>
          <w:sz w:val="32"/>
          <w:highlight w:val="none"/>
        </w:rPr>
        <w:t>物疫病防控。主要用于我省禽流感等强制免疫疫苗购买省级经费配套及疫苗储藏运输调拨；重大动物疫病扑杀补助省级配套、养殖环节病死畜禽无害化处理配套经费；狂犬病疫苗购置及注射补助；</w:t>
      </w:r>
      <w:r>
        <w:rPr>
          <w:rFonts w:ascii="仿宋_GB2312" w:hAnsi="Times New Roman" w:eastAsia="仿宋_GB2312"/>
          <w:color w:val="auto"/>
          <w:sz w:val="32"/>
          <w:highlight w:val="none"/>
        </w:rPr>
        <w:t>重大动物疫情以及新发动物疫情的监测预警和流行病学调查经费补助</w:t>
      </w:r>
      <w:r>
        <w:rPr>
          <w:rFonts w:hint="eastAsia" w:ascii="仿宋_GB2312" w:hAnsi="Times New Roman" w:eastAsia="仿宋_GB2312"/>
          <w:color w:val="auto"/>
          <w:sz w:val="32"/>
          <w:highlight w:val="none"/>
        </w:rPr>
        <w:t>，以及其他动物疫病防控工作经费的支出。</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（3）农产品质量安全体系建设。</w:t>
      </w:r>
      <w:r>
        <w:rPr>
          <w:rFonts w:hint="eastAsia" w:ascii="仿宋_GB2312" w:hAnsi="仿宋_GB2312" w:eastAsia="仿宋_GB2312" w:cs="仿宋_GB2312"/>
          <w:color w:val="auto"/>
          <w:sz w:val="32"/>
          <w:szCs w:val="32"/>
          <w:highlight w:val="none"/>
        </w:rPr>
        <w:t>主要用于我省各类农业监测项目的经费支出，各类质量安全监测结果的分析，以及农产品质量安全事故应急处置及地市创建核查工作经费，也用于支付对</w:t>
      </w:r>
      <w:r>
        <w:rPr>
          <w:rFonts w:ascii="仿宋_GB2312" w:hAnsi="仿宋_GB2312" w:eastAsia="仿宋_GB2312" w:cs="仿宋_GB2312"/>
          <w:color w:val="auto"/>
          <w:sz w:val="32"/>
          <w:szCs w:val="32"/>
          <w:highlight w:val="none"/>
        </w:rPr>
        <w:t>全省农产品质量安全检测</w:t>
      </w:r>
      <w:r>
        <w:rPr>
          <w:rFonts w:hint="eastAsia" w:ascii="仿宋_GB2312" w:hAnsi="仿宋_GB2312" w:eastAsia="仿宋_GB2312" w:cs="仿宋_GB2312"/>
          <w:color w:val="auto"/>
          <w:sz w:val="32"/>
          <w:szCs w:val="32"/>
          <w:highlight w:val="none"/>
        </w:rPr>
        <w:t>机构开展</w:t>
      </w:r>
      <w:r>
        <w:rPr>
          <w:rFonts w:ascii="仿宋_GB2312" w:hAnsi="仿宋_GB2312" w:eastAsia="仿宋_GB2312" w:cs="仿宋_GB2312"/>
          <w:color w:val="auto"/>
          <w:sz w:val="32"/>
          <w:szCs w:val="32"/>
          <w:highlight w:val="none"/>
        </w:rPr>
        <w:t>能力验证</w:t>
      </w:r>
      <w:r>
        <w:rPr>
          <w:rFonts w:hint="eastAsia" w:ascii="仿宋_GB2312" w:hAnsi="仿宋_GB2312" w:eastAsia="仿宋_GB2312" w:cs="仿宋_GB2312"/>
          <w:color w:val="auto"/>
          <w:sz w:val="32"/>
          <w:szCs w:val="32"/>
          <w:highlight w:val="none"/>
        </w:rPr>
        <w:t>的有关费用</w:t>
      </w:r>
      <w:r>
        <w:rPr>
          <w:rFonts w:ascii="仿宋_GB2312" w:hAnsi="仿宋_GB2312" w:eastAsia="仿宋_GB2312" w:cs="仿宋_GB2312"/>
          <w:color w:val="auto"/>
          <w:sz w:val="32"/>
          <w:szCs w:val="32"/>
          <w:highlight w:val="none"/>
        </w:rPr>
        <w:t>。</w:t>
      </w:r>
    </w:p>
    <w:p>
      <w:pPr>
        <w:spacing w:line="360" w:lineRule="auto"/>
        <w:ind w:firstLine="640" w:firstLineChars="200"/>
        <w:rPr>
          <w:rFonts w:hint="eastAsia" w:ascii="仿宋_GB2312" w:eastAsia="仿宋_GB2312"/>
          <w:color w:val="auto"/>
          <w:sz w:val="32"/>
          <w:szCs w:val="36"/>
          <w:highlight w:val="none"/>
        </w:rPr>
      </w:pPr>
      <w:r>
        <w:rPr>
          <w:rFonts w:hint="eastAsia" w:ascii="仿宋_GB2312" w:eastAsia="仿宋_GB2312"/>
          <w:color w:val="auto"/>
          <w:sz w:val="32"/>
          <w:szCs w:val="36"/>
          <w:highlight w:val="none"/>
        </w:rPr>
        <w:t>（4）世界银行贷款广东农业面源污染治理项目。主要用于我省发展绿色农业，解决种植业、养殖业所面临的污染防治问题。进一步建设环境友好型种植业示范工程，减少农药、化肥使用量，降低污染物排放量；推进养殖场牲畜废弃物治理，提倡科学养殖、生态健康养殖，实现养殖业绿色发展。</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（5）农业综合执法体系建设和农业救灾与粮食应急种子储备。主要用于我省农业综合执法体系建设过程中的相关投入，以及</w:t>
      </w:r>
      <w:r>
        <w:rPr>
          <w:rFonts w:hint="eastAsia" w:ascii="仿宋" w:hAnsi="仿宋" w:eastAsia="仿宋"/>
          <w:color w:val="auto"/>
          <w:sz w:val="32"/>
          <w:highlight w:val="none"/>
        </w:rPr>
        <w:t>省级粮食应急种子储备工作</w:t>
      </w:r>
      <w:r>
        <w:rPr>
          <w:rFonts w:hint="eastAsia" w:ascii="仿宋" w:hAnsi="仿宋" w:eastAsia="仿宋"/>
          <w:color w:val="auto"/>
          <w:sz w:val="32"/>
          <w:szCs w:val="32"/>
          <w:highlight w:val="none"/>
        </w:rPr>
        <w:t>和</w:t>
      </w:r>
      <w:r>
        <w:rPr>
          <w:rFonts w:hint="eastAsia" w:ascii="仿宋" w:hAnsi="仿宋" w:eastAsia="仿宋"/>
          <w:color w:val="auto"/>
          <w:sz w:val="32"/>
          <w:highlight w:val="none"/>
        </w:rPr>
        <w:t>国家救灾备荒种子储备工作的各项支出，落实储备种子管理工作，</w:t>
      </w:r>
      <w:r>
        <w:rPr>
          <w:rFonts w:hint="eastAsia" w:ascii="仿宋" w:hAnsi="仿宋" w:eastAsia="仿宋"/>
          <w:color w:val="auto"/>
          <w:sz w:val="32"/>
          <w:szCs w:val="32"/>
          <w:highlight w:val="none"/>
        </w:rPr>
        <w:t>保障灾后恢复农业生产。</w:t>
      </w:r>
    </w:p>
    <w:p>
      <w:pPr>
        <w:spacing w:line="360" w:lineRule="auto"/>
        <w:ind w:firstLine="643" w:firstLineChars="200"/>
        <w:rPr>
          <w:rFonts w:ascii="仿宋_GB2312" w:hAnsi="Times New Roman" w:eastAsia="仿宋_GB2312" w:cs="Times New Roman"/>
          <w:b/>
          <w:bCs/>
          <w:color w:val="auto"/>
          <w:sz w:val="32"/>
          <w:szCs w:val="32"/>
          <w:highlight w:val="none"/>
        </w:rPr>
      </w:pPr>
      <w:r>
        <w:rPr>
          <w:rFonts w:hint="eastAsia" w:ascii="仿宋_GB2312" w:hAnsi="Times New Roman" w:eastAsia="仿宋_GB2312" w:cs="Times New Roman"/>
          <w:b/>
          <w:bCs/>
          <w:color w:val="auto"/>
          <w:sz w:val="32"/>
          <w:szCs w:val="32"/>
          <w:highlight w:val="none"/>
        </w:rPr>
        <w:t>2．项目实施程序。</w:t>
      </w:r>
    </w:p>
    <w:p>
      <w:pPr>
        <w:spacing w:line="360" w:lineRule="auto"/>
        <w:ind w:firstLine="640" w:firstLineChars="200"/>
        <w:rPr>
          <w:rFonts w:hint="eastAsia" w:ascii="仿宋_GB2312" w:hAnsi="仿宋" w:eastAsia="仿宋_GB2312"/>
          <w:color w:val="auto"/>
          <w:sz w:val="32"/>
          <w:highlight w:val="none"/>
        </w:rPr>
      </w:pPr>
      <w:r>
        <w:rPr>
          <w:rFonts w:hint="eastAsia" w:ascii="仿宋_GB2312" w:hAnsi="仿宋" w:eastAsia="仿宋_GB2312"/>
          <w:color w:val="auto"/>
          <w:sz w:val="32"/>
          <w:highlight w:val="none"/>
        </w:rPr>
        <w:t>根据2018年我省实施乡村振兴战略和农业农村工作的规划布局，按照预算法和省级专项资金管理办法，从完善我省农业支持保护制度的实际工作需要出发，我厅在上年度</w:t>
      </w:r>
      <w:r>
        <w:rPr>
          <w:rFonts w:hint="eastAsia" w:ascii="仿宋_GB2312" w:hAnsi="Times New Roman" w:eastAsia="仿宋_GB2312" w:cs="Times New Roman"/>
          <w:color w:val="auto"/>
          <w:sz w:val="32"/>
          <w:szCs w:val="32"/>
          <w:highlight w:val="none"/>
        </w:rPr>
        <w:t>省级农业发展和农村工作专项资金的基础上，</w:t>
      </w:r>
      <w:r>
        <w:rPr>
          <w:rFonts w:hint="eastAsia" w:ascii="仿宋_GB2312" w:hAnsi="仿宋" w:eastAsia="仿宋_GB2312"/>
          <w:color w:val="auto"/>
          <w:sz w:val="32"/>
          <w:highlight w:val="none"/>
        </w:rPr>
        <w:t>将“2018年省级乡村振兴战略专项（完善农业支持保护制度）省级资金”纳入专项资金目录清单，经厅党组会议集体审议，报分管省领导审核批准，报送省财政厅复核后报分管财政的副省长核呈省长审批，列入2018年省级财政预算草案报省人民代表大会批准年度预算后，我厅拟定2018年省级乡村振兴战略专项（完善农业支持保护制度）省级资金分配方案，经公示无异议后，报送省财政厅，由省财政厅将专项资金预算指标下达有关地市（对下转移支付）和省直单位，我厅同步下达任务清单（包括约束性任务、指导性任务清单），对下转移支付的专项资金实行“大专项+任务清单”管理模式，有关地市和县（市、区）逐级将预算指标和任务清单分解下达到县（市、区）和有关项目承担单位。</w:t>
      </w:r>
    </w:p>
    <w:p>
      <w:pPr>
        <w:spacing w:line="360" w:lineRule="auto"/>
        <w:ind w:firstLine="640" w:firstLineChars="200"/>
        <w:rPr>
          <w:rFonts w:hint="eastAsia" w:ascii="仿宋_GB2312" w:hAnsi="仿宋" w:eastAsia="仿宋_GB2312"/>
          <w:color w:val="auto"/>
          <w:sz w:val="32"/>
          <w:highlight w:val="none"/>
        </w:rPr>
      </w:pPr>
      <w:r>
        <w:rPr>
          <w:rFonts w:hint="eastAsia" w:ascii="仿宋_GB2312" w:hAnsi="仿宋" w:eastAsia="仿宋_GB2312"/>
          <w:color w:val="auto"/>
          <w:sz w:val="32"/>
          <w:highlight w:val="none"/>
        </w:rPr>
        <w:t>专项资金下达后，市县项目承担单位应按照专项资金有关管理办法加快项目组织实施，按照规定的开支范围加快支出进度。省直单位承担的项目均是约束性任务，需按照省财政厅下达的预算指标和我厅下达的任务清单组织项目实施工作。</w:t>
      </w:r>
    </w:p>
    <w:p>
      <w:pPr>
        <w:pStyle w:val="13"/>
        <w:widowControl/>
        <w:spacing w:beforeAutospacing="0" w:afterAutospacing="0" w:line="360" w:lineRule="auto"/>
        <w:ind w:firstLine="640" w:firstLineChars="200"/>
        <w:jc w:val="both"/>
        <w:rPr>
          <w:rFonts w:hint="eastAsia" w:ascii="仿宋_GB2312" w:eastAsia="仿宋_GB2312" w:hAnsiTheme="minorHAnsi" w:cstheme="minorBidi"/>
          <w:color w:val="auto"/>
          <w:kern w:val="2"/>
          <w:sz w:val="32"/>
          <w:szCs w:val="36"/>
          <w:highlight w:val="none"/>
        </w:rPr>
      </w:pPr>
      <w:r>
        <w:rPr>
          <w:rFonts w:hint="eastAsia" w:ascii="仿宋_GB2312" w:eastAsia="仿宋_GB2312" w:hAnsiTheme="minorHAnsi" w:cstheme="minorBidi"/>
          <w:color w:val="auto"/>
          <w:kern w:val="2"/>
          <w:sz w:val="32"/>
          <w:szCs w:val="36"/>
          <w:highlight w:val="none"/>
        </w:rPr>
        <w:t>项目实施完毕后，省农业农村厅、地市农业农村主管部门和项目承担单位按照“谁审批具体项目，谁验收考评”的原则，自主或委托第三方专业机构组织项目验收或考评，并及时将验收或考评结果报同级财政部门备案。</w:t>
      </w:r>
    </w:p>
    <w:p>
      <w:pPr>
        <w:pStyle w:val="13"/>
        <w:widowControl/>
        <w:spacing w:beforeAutospacing="0" w:afterAutospacing="0" w:line="360" w:lineRule="auto"/>
        <w:ind w:firstLine="640" w:firstLineChars="200"/>
        <w:jc w:val="both"/>
        <w:rPr>
          <w:rFonts w:hint="eastAsia" w:ascii="仿宋_GB2312" w:eastAsia="仿宋_GB2312" w:hAnsiTheme="minorHAnsi" w:cstheme="minorBidi"/>
          <w:color w:val="auto"/>
          <w:kern w:val="2"/>
          <w:sz w:val="32"/>
          <w:szCs w:val="36"/>
          <w:highlight w:val="none"/>
        </w:rPr>
      </w:pPr>
      <w:r>
        <w:rPr>
          <w:rFonts w:hint="eastAsia" w:ascii="仿宋_GB2312" w:eastAsia="仿宋_GB2312" w:hAnsiTheme="minorHAnsi" w:cstheme="minorBidi"/>
          <w:color w:val="auto"/>
          <w:kern w:val="2"/>
          <w:sz w:val="32"/>
          <w:szCs w:val="36"/>
          <w:highlight w:val="none"/>
        </w:rPr>
        <w:t>预算年度终了及专项资金预算执行完毕，由市县主管部门和项目承担单位开展专项资金使用情况绩效自评，我厅对部分项目或市县开展绩效评价，形成自评报告报省财政厅备案，省财政厅根据工作安排组织重点绩效评价。专项资金的分配、执行和结果等全过程信息按照“谁制定、谁分配、谁使用、谁公开”的原则向社会公开，我厅是专项资金信息公开公示的责任主体，项目承担单位要及时以适当方式公开财政资金使用情况。下放项目审批权限的专项资金，由市县业务主管部门、项目承担单位参照省级做法，对管理过程产生的相关信息进行公开公示。</w:t>
      </w:r>
    </w:p>
    <w:p>
      <w:pPr>
        <w:pStyle w:val="13"/>
        <w:widowControl/>
        <w:spacing w:beforeAutospacing="0" w:afterAutospacing="0" w:line="360" w:lineRule="auto"/>
        <w:ind w:firstLine="640" w:firstLineChars="200"/>
        <w:jc w:val="both"/>
        <w:rPr>
          <w:rFonts w:hint="eastAsia" w:ascii="仿宋_GB2312" w:eastAsia="仿宋_GB2312" w:hAnsiTheme="minorHAnsi" w:cstheme="minorBidi"/>
          <w:color w:val="auto"/>
          <w:kern w:val="2"/>
          <w:sz w:val="32"/>
          <w:szCs w:val="36"/>
          <w:highlight w:val="none"/>
        </w:rPr>
      </w:pPr>
      <w:r>
        <w:rPr>
          <w:rFonts w:hint="eastAsia" w:ascii="仿宋_GB2312" w:eastAsia="仿宋_GB2312" w:hAnsiTheme="minorHAnsi" w:cstheme="minorBidi"/>
          <w:color w:val="auto"/>
          <w:kern w:val="2"/>
          <w:sz w:val="32"/>
          <w:szCs w:val="36"/>
          <w:highlight w:val="none"/>
        </w:rPr>
        <w:t>我厅负责对下达省直单位和市县的专项资金执行情况承担指导和监管责任。市县承担省级下达专项资金的预算执行、绩效目标监控、任务清单实施的主体责任，确保完成省业务主管部门下达的任务清单和绩效目标。项目承担单位对项目实施和资金使用负责，严格执行专项资金预算，具体组织项目实施，加强财务管理，接受验收考评、监督检查和绩效评价。</w:t>
      </w:r>
    </w:p>
    <w:p>
      <w:pPr>
        <w:spacing w:line="360" w:lineRule="auto"/>
        <w:ind w:firstLine="643" w:firstLineChars="200"/>
        <w:outlineLvl w:val="1"/>
        <w:rPr>
          <w:rFonts w:ascii="楷体_GB2312" w:eastAsia="楷体_GB2312"/>
          <w:b/>
          <w:bCs/>
          <w:color w:val="auto"/>
          <w:sz w:val="32"/>
          <w:szCs w:val="36"/>
          <w:highlight w:val="none"/>
        </w:rPr>
      </w:pPr>
      <w:bookmarkStart w:id="7" w:name="_Toc15159447"/>
      <w:r>
        <w:rPr>
          <w:rFonts w:hint="eastAsia" w:ascii="楷体_GB2312" w:eastAsia="楷体_GB2312"/>
          <w:b/>
          <w:bCs/>
          <w:color w:val="auto"/>
          <w:sz w:val="32"/>
          <w:szCs w:val="36"/>
          <w:highlight w:val="none"/>
        </w:rPr>
        <w:t>（三）项目自评等级、分数和评价指标分析</w:t>
      </w:r>
      <w:bookmarkEnd w:id="7"/>
    </w:p>
    <w:p>
      <w:pPr>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综合分析201</w:t>
      </w:r>
      <w:r>
        <w:rPr>
          <w:rFonts w:ascii="仿宋_GB2312"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年省级乡村振兴战略专项（完善农业支持保护制度）省级资金项目的投入、过程、产出和效益，专项资金项目取得了较好成效，但也存在一些问题。2018年专项资金使用绩效自评分数为92.20分，绩效等级为“优”（一级指标自评得分情况见表1-3，详细评分情况详见表附件）。</w:t>
      </w:r>
    </w:p>
    <w:p>
      <w:pPr>
        <w:pStyle w:val="2"/>
        <w:rPr>
          <w:color w:val="auto"/>
          <w:highlight w:val="none"/>
        </w:rPr>
      </w:pPr>
    </w:p>
    <w:p>
      <w:pPr>
        <w:rPr>
          <w:color w:val="auto"/>
          <w:highlight w:val="none"/>
        </w:rPr>
      </w:pPr>
    </w:p>
    <w:p>
      <w:pPr>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表1-3</w:t>
      </w:r>
      <w:r>
        <w:rPr>
          <w:rFonts w:ascii="黑体" w:hAnsi="黑体" w:eastAsia="黑体"/>
          <w:color w:val="auto"/>
          <w:sz w:val="28"/>
          <w:szCs w:val="28"/>
          <w:highlight w:val="none"/>
        </w:rPr>
        <w:t xml:space="preserve"> </w:t>
      </w:r>
      <w:r>
        <w:rPr>
          <w:rFonts w:hint="eastAsia" w:ascii="黑体" w:hAnsi="黑体" w:eastAsia="黑体"/>
          <w:color w:val="auto"/>
          <w:sz w:val="28"/>
          <w:szCs w:val="28"/>
          <w:highlight w:val="none"/>
        </w:rPr>
        <w:t>一级指标自评得分情况表</w:t>
      </w:r>
    </w:p>
    <w:tbl>
      <w:tblPr>
        <w:tblStyle w:val="24"/>
        <w:tblW w:w="838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835"/>
        <w:gridCol w:w="1931"/>
        <w:gridCol w:w="19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Borders>
              <w:left w:val="single" w:color="auto" w:sz="4" w:space="0"/>
            </w:tcBorders>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一级指标（评价因素）</w:t>
            </w:r>
          </w:p>
        </w:tc>
        <w:tc>
          <w:tcPr>
            <w:tcW w:w="1835" w:type="dxa"/>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分值</w:t>
            </w:r>
          </w:p>
        </w:tc>
        <w:tc>
          <w:tcPr>
            <w:tcW w:w="1931" w:type="dxa"/>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自评得分</w:t>
            </w:r>
          </w:p>
        </w:tc>
        <w:tc>
          <w:tcPr>
            <w:tcW w:w="1933" w:type="dxa"/>
            <w:tcBorders>
              <w:right w:val="single" w:color="auto" w:sz="4" w:space="0"/>
            </w:tcBorders>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得分率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Borders>
              <w:left w:val="single" w:color="auto" w:sz="4" w:space="0"/>
            </w:tcBorders>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总得分</w:t>
            </w:r>
          </w:p>
        </w:tc>
        <w:tc>
          <w:tcPr>
            <w:tcW w:w="1835" w:type="dxa"/>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100</w:t>
            </w:r>
          </w:p>
        </w:tc>
        <w:tc>
          <w:tcPr>
            <w:tcW w:w="1931" w:type="dxa"/>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92.20</w:t>
            </w:r>
          </w:p>
        </w:tc>
        <w:tc>
          <w:tcPr>
            <w:tcW w:w="1933" w:type="dxa"/>
            <w:tcBorders>
              <w:right w:val="single" w:color="auto" w:sz="4" w:space="0"/>
            </w:tcBorders>
          </w:tcPr>
          <w:p>
            <w:pPr>
              <w:widowControl/>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92.20%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Borders>
              <w:left w:val="single" w:color="auto" w:sz="4" w:space="0"/>
            </w:tcBorders>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一、投入</w:t>
            </w:r>
          </w:p>
        </w:tc>
        <w:tc>
          <w:tcPr>
            <w:tcW w:w="1835"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w:t>
            </w:r>
          </w:p>
        </w:tc>
        <w:tc>
          <w:tcPr>
            <w:tcW w:w="1931"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19.15</w:t>
            </w:r>
          </w:p>
        </w:tc>
        <w:tc>
          <w:tcPr>
            <w:tcW w:w="1933" w:type="dxa"/>
            <w:tcBorders>
              <w:right w:val="single" w:color="auto" w:sz="4" w:space="0"/>
            </w:tcBorders>
            <w:vAlign w:val="center"/>
          </w:tcPr>
          <w:p>
            <w:pPr>
              <w:widowControl/>
              <w:jc w:val="center"/>
              <w:rPr>
                <w:rFonts w:ascii="仿宋_GB2312" w:hAnsi="仿宋_GB2312" w:eastAsia="仿宋_GB2312" w:cs="仿宋_GB2312"/>
                <w:color w:val="auto"/>
                <w:sz w:val="24"/>
                <w:szCs w:val="24"/>
                <w:highlight w:val="none"/>
              </w:rPr>
            </w:pPr>
            <w:r>
              <w:rPr>
                <w:rFonts w:hint="eastAsia" w:ascii="仿宋_GB2312" w:hAnsi="宋体" w:eastAsia="仿宋_GB2312" w:cs="宋体"/>
                <w:color w:val="auto"/>
                <w:kern w:val="0"/>
                <w:sz w:val="24"/>
                <w:szCs w:val="24"/>
                <w:highlight w:val="none"/>
              </w:rPr>
              <w:t>95.75%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Borders>
              <w:left w:val="single" w:color="auto" w:sz="4" w:space="0"/>
            </w:tcBorders>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二、过程</w:t>
            </w:r>
          </w:p>
        </w:tc>
        <w:tc>
          <w:tcPr>
            <w:tcW w:w="1835"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w:t>
            </w:r>
          </w:p>
        </w:tc>
        <w:tc>
          <w:tcPr>
            <w:tcW w:w="1931"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17.90</w:t>
            </w:r>
          </w:p>
        </w:tc>
        <w:tc>
          <w:tcPr>
            <w:tcW w:w="1933" w:type="dxa"/>
            <w:tcBorders>
              <w:right w:val="single" w:color="auto" w:sz="4" w:space="0"/>
            </w:tcBorders>
            <w:vAlign w:val="center"/>
          </w:tcPr>
          <w:p>
            <w:pPr>
              <w:widowControl/>
              <w:jc w:val="center"/>
              <w:rPr>
                <w:rFonts w:ascii="仿宋_GB2312" w:hAnsi="仿宋_GB2312" w:eastAsia="仿宋_GB2312" w:cs="仿宋_GB2312"/>
                <w:color w:val="auto"/>
                <w:sz w:val="24"/>
                <w:szCs w:val="24"/>
                <w:highlight w:val="none"/>
              </w:rPr>
            </w:pPr>
            <w:r>
              <w:rPr>
                <w:rFonts w:hint="eastAsia" w:ascii="仿宋_GB2312" w:hAnsi="宋体" w:eastAsia="仿宋_GB2312" w:cs="宋体"/>
                <w:color w:val="auto"/>
                <w:kern w:val="0"/>
                <w:sz w:val="24"/>
                <w:szCs w:val="24"/>
                <w:highlight w:val="none"/>
              </w:rPr>
              <w:t>89.50%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Borders>
              <w:left w:val="single" w:color="auto" w:sz="4" w:space="0"/>
            </w:tcBorders>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三、产出</w:t>
            </w:r>
          </w:p>
        </w:tc>
        <w:tc>
          <w:tcPr>
            <w:tcW w:w="1835"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w:t>
            </w:r>
          </w:p>
        </w:tc>
        <w:tc>
          <w:tcPr>
            <w:tcW w:w="1931"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27.50</w:t>
            </w:r>
          </w:p>
        </w:tc>
        <w:tc>
          <w:tcPr>
            <w:tcW w:w="1933" w:type="dxa"/>
            <w:tcBorders>
              <w:right w:val="single" w:color="auto" w:sz="4" w:space="0"/>
            </w:tcBorders>
            <w:vAlign w:val="center"/>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91.67%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Borders>
              <w:left w:val="single" w:color="auto" w:sz="4" w:space="0"/>
            </w:tcBorders>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四、效益</w:t>
            </w:r>
          </w:p>
        </w:tc>
        <w:tc>
          <w:tcPr>
            <w:tcW w:w="1835"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w:t>
            </w:r>
          </w:p>
        </w:tc>
        <w:tc>
          <w:tcPr>
            <w:tcW w:w="1931" w:type="dxa"/>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27.65</w:t>
            </w:r>
          </w:p>
        </w:tc>
        <w:tc>
          <w:tcPr>
            <w:tcW w:w="1933" w:type="dxa"/>
            <w:tcBorders>
              <w:right w:val="single" w:color="auto" w:sz="4" w:space="0"/>
            </w:tcBorders>
            <w:vAlign w:val="center"/>
          </w:tcPr>
          <w:p>
            <w:pPr>
              <w:widowControl/>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92.17%</w:t>
            </w:r>
          </w:p>
        </w:tc>
      </w:tr>
    </w:tbl>
    <w:p>
      <w:pPr>
        <w:spacing w:line="360" w:lineRule="auto"/>
        <w:ind w:firstLine="562" w:firstLineChars="200"/>
        <w:rPr>
          <w:rFonts w:ascii="仿宋_GB2312" w:hAnsi="Times New Roman" w:eastAsia="仿宋_GB2312" w:cs="Times New Roman"/>
          <w:b/>
          <w:bCs/>
          <w:color w:val="auto"/>
          <w:sz w:val="28"/>
          <w:szCs w:val="28"/>
          <w:highlight w:val="none"/>
        </w:rPr>
      </w:pPr>
      <w:bookmarkStart w:id="8" w:name="_Hlk14905695"/>
      <w:bookmarkStart w:id="9" w:name="_Hlk14911726"/>
    </w:p>
    <w:p>
      <w:pPr>
        <w:spacing w:line="360" w:lineRule="auto"/>
        <w:ind w:firstLine="643" w:firstLineChars="200"/>
        <w:rPr>
          <w:rFonts w:ascii="仿宋_GB2312" w:hAnsi="Times New Roman" w:eastAsia="仿宋_GB2312" w:cs="Times New Roman"/>
          <w:b/>
          <w:bCs/>
          <w:color w:val="auto"/>
          <w:sz w:val="32"/>
          <w:szCs w:val="32"/>
          <w:highlight w:val="none"/>
        </w:rPr>
      </w:pPr>
      <w:r>
        <w:rPr>
          <w:rFonts w:hint="eastAsia" w:ascii="仿宋_GB2312" w:hAnsi="Times New Roman" w:eastAsia="仿宋_GB2312" w:cs="Times New Roman"/>
          <w:b/>
          <w:bCs/>
          <w:color w:val="auto"/>
          <w:sz w:val="32"/>
          <w:szCs w:val="32"/>
          <w:highlight w:val="none"/>
        </w:rPr>
        <w:t>专项资金三级指标分析如下：</w:t>
      </w:r>
    </w:p>
    <w:p>
      <w:pPr>
        <w:spacing w:line="360" w:lineRule="auto"/>
        <w:ind w:firstLine="643"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rPr>
        <w:t>1．论证决策。</w:t>
      </w:r>
      <w:r>
        <w:rPr>
          <w:rFonts w:hint="eastAsia" w:ascii="仿宋_GB2312" w:hAnsi="仿宋_GB2312" w:eastAsia="仿宋_GB2312" w:cs="仿宋_GB2312"/>
          <w:color w:val="auto"/>
          <w:sz w:val="32"/>
          <w:szCs w:val="32"/>
          <w:highlight w:val="none"/>
        </w:rPr>
        <w:t>指标分值4分，评价得分4分，得分率为100%。根据《国务院关于探索建立涉农资金统筹整合长效机制的意见》（国发〔2017〕54号）、《中共广东省委办公厅 广东省人民政府办公厅印发〈关于深化省级预算编制执行监督管理改革的意见〉》（粤办发〔2018〕17号）、《广东省人民政府关于印发广东省省级财政专项资金管理试行办法的通知》（粤府〔2016〕86号）等文件和2018年我省农业农村工作的规划布局，经过集体会议研究审议等规定程序，我厅拟定了专项资金年度使用总体计划，经省财政厅审核后报省领导批准，列入2018年省级财政预算草案报省人大审批后，将专项资金预算指标下达有关省直单位和有关地市（对下转移支付）。专项资金重点支持方向主要是乡村振兴战略实施过程中，进一步完善我省农业支持保护制度，涉及政策性农业保险保费补贴、动物疫病防控、农产品质量安全体系建设、世界银行贷款广东农业面源污染治理项目、农业综合执法体系建设和农业救灾与粮食应急种子储备五个方面。资金投向合理，符合相关</w:t>
      </w:r>
      <w:r>
        <w:rPr>
          <w:rFonts w:ascii="仿宋_GB2312" w:hAnsi="仿宋_GB2312" w:eastAsia="仿宋_GB2312" w:cs="仿宋_GB2312"/>
          <w:color w:val="auto"/>
          <w:sz w:val="32"/>
          <w:szCs w:val="32"/>
          <w:highlight w:val="none"/>
        </w:rPr>
        <w:t>文件精神和</w:t>
      </w:r>
      <w:r>
        <w:rPr>
          <w:rFonts w:hint="eastAsia" w:ascii="仿宋_GB2312" w:hAnsi="仿宋_GB2312" w:eastAsia="仿宋_GB2312" w:cs="仿宋_GB2312"/>
          <w:color w:val="auto"/>
          <w:sz w:val="32"/>
          <w:szCs w:val="32"/>
          <w:highlight w:val="none"/>
        </w:rPr>
        <w:t>公共财政扶持方向。</w:t>
      </w:r>
    </w:p>
    <w:p>
      <w:pPr>
        <w:snapToGrid w:val="0"/>
        <w:spacing w:line="360" w:lineRule="auto"/>
        <w:ind w:firstLine="643" w:firstLineChars="200"/>
        <w:rPr>
          <w:rFonts w:ascii="仿宋_GB2312" w:eastAsia="仿宋_GB2312"/>
          <w:color w:val="auto"/>
          <w:sz w:val="32"/>
          <w:szCs w:val="32"/>
          <w:highlight w:val="none"/>
        </w:rPr>
      </w:pPr>
      <w:r>
        <w:rPr>
          <w:rFonts w:hint="eastAsia" w:ascii="仿宋_GB2312" w:hAnsi="Times New Roman" w:eastAsia="仿宋_GB2312" w:cs="Times New Roman"/>
          <w:b/>
          <w:bCs/>
          <w:color w:val="auto"/>
          <w:sz w:val="32"/>
          <w:szCs w:val="32"/>
          <w:highlight w:val="none"/>
        </w:rPr>
        <w:t>2．目标设置。</w:t>
      </w:r>
      <w:r>
        <w:rPr>
          <w:rFonts w:hint="eastAsia" w:ascii="仿宋_GB2312" w:eastAsia="仿宋_GB2312"/>
          <w:color w:val="auto"/>
          <w:sz w:val="32"/>
          <w:szCs w:val="32"/>
          <w:highlight w:val="none"/>
        </w:rPr>
        <w:t>指标分值6分，评价得分5.4分，得分率为9</w:t>
      </w:r>
      <w:r>
        <w:rPr>
          <w:rFonts w:ascii="仿宋_GB2312" w:eastAsia="仿宋_GB2312"/>
          <w:color w:val="auto"/>
          <w:sz w:val="32"/>
          <w:szCs w:val="32"/>
          <w:highlight w:val="none"/>
        </w:rPr>
        <w:t>0</w:t>
      </w:r>
      <w:r>
        <w:rPr>
          <w:rFonts w:hint="eastAsia" w:ascii="仿宋_GB2312" w:eastAsia="仿宋_GB2312"/>
          <w:color w:val="auto"/>
          <w:sz w:val="32"/>
          <w:szCs w:val="32"/>
          <w:highlight w:val="none"/>
        </w:rPr>
        <w:t>%。我厅对照完善农业支持保护制度、加快推进我省乡村振兴的目标任务，设置了专项资金整体绩效目标：推进我省政策性农业保险扩面提标增品、水稻保险承保覆盖率达到80%以上；支持农产品质量安全有关监督检测、技术支持等体系建设，降低重大动物疫病和人畜共患病的发病率，禽流感、口蹄疫群体免疫密度达到</w:t>
      </w:r>
      <w:r>
        <w:rPr>
          <w:rFonts w:ascii="仿宋_GB2312" w:eastAsia="仿宋_GB2312"/>
          <w:color w:val="auto"/>
          <w:sz w:val="32"/>
          <w:szCs w:val="32"/>
          <w:highlight w:val="none"/>
        </w:rPr>
        <w:t>90%以上</w:t>
      </w:r>
      <w:r>
        <w:rPr>
          <w:rFonts w:hint="eastAsia" w:ascii="仿宋_GB2312" w:eastAsia="仿宋_GB2312"/>
          <w:color w:val="auto"/>
          <w:sz w:val="32"/>
          <w:szCs w:val="32"/>
          <w:highlight w:val="none"/>
        </w:rPr>
        <w:t>；</w:t>
      </w:r>
      <w:r>
        <w:rPr>
          <w:rFonts w:ascii="仿宋_GB2312" w:eastAsia="仿宋_GB2312"/>
          <w:color w:val="auto"/>
          <w:sz w:val="32"/>
          <w:szCs w:val="32"/>
          <w:highlight w:val="none"/>
        </w:rPr>
        <w:t>COD污染减排22500吨</w:t>
      </w:r>
      <w:r>
        <w:rPr>
          <w:rFonts w:hint="eastAsia" w:ascii="仿宋_GB2312" w:eastAsia="仿宋_GB2312"/>
          <w:color w:val="auto"/>
          <w:sz w:val="32"/>
          <w:szCs w:val="32"/>
          <w:highlight w:val="none"/>
        </w:rPr>
        <w:t>等。绩效目标设置完整明确，包含总目标和阶段性目标；综合考虑了我省农业发展现状，结合不同区域农业支持保护制度建设情况，目标设置比较合理，目标参数清晰，符合“可量化、可评估”的要求。但部分市县农业农村主管部门和项目承担单位在结合本地实际、细化专项资金绩效目标方面有待提高。2018年专项资金实施</w:t>
      </w:r>
      <w:r>
        <w:rPr>
          <w:rFonts w:hint="eastAsia" w:ascii="仿宋_GB2312" w:hAnsi="Times New Roman" w:eastAsia="仿宋_GB2312"/>
          <w:color w:val="auto"/>
          <w:sz w:val="32"/>
          <w:szCs w:val="32"/>
          <w:highlight w:val="none"/>
        </w:rPr>
        <w:t>“大专项+任务清单”管理方式，部分市县农业农村主管部门未及时适应“大专项+任务清单”管理方式，未能及时按省财政厅下达的专项资金预算指标和我厅下达的任务清单，结合本地实际分解细化绩效目标</w:t>
      </w:r>
      <w:r>
        <w:rPr>
          <w:rFonts w:hint="eastAsia" w:ascii="仿宋_GB2312" w:eastAsia="仿宋_GB2312"/>
          <w:color w:val="auto"/>
          <w:sz w:val="32"/>
          <w:szCs w:val="32"/>
          <w:highlight w:val="none"/>
        </w:rPr>
        <w:t>，</w:t>
      </w:r>
      <w:r>
        <w:rPr>
          <w:rFonts w:hint="eastAsia" w:ascii="仿宋_GB2312" w:hAnsi="Times New Roman" w:eastAsia="仿宋_GB2312"/>
          <w:color w:val="auto"/>
          <w:sz w:val="32"/>
          <w:szCs w:val="32"/>
          <w:highlight w:val="none"/>
        </w:rPr>
        <w:t>不利于业务主管部门对专项资金实施绩效监控和绩效评价</w:t>
      </w:r>
      <w:r>
        <w:rPr>
          <w:rFonts w:hint="eastAsia" w:ascii="仿宋_GB2312" w:eastAsia="仿宋_GB2312"/>
          <w:color w:val="auto"/>
          <w:sz w:val="32"/>
          <w:szCs w:val="32"/>
          <w:highlight w:val="none"/>
        </w:rPr>
        <w:t>。扣0.6分。</w:t>
      </w:r>
    </w:p>
    <w:p>
      <w:pPr>
        <w:pStyle w:val="13"/>
        <w:spacing w:beforeAutospacing="0" w:afterAutospacing="0" w:line="360" w:lineRule="auto"/>
        <w:ind w:firstLine="643" w:firstLineChars="200"/>
        <w:jc w:val="both"/>
        <w:rPr>
          <w:rFonts w:ascii="仿宋_GB2312" w:hAnsi="宋体" w:eastAsia="仿宋_GB2312" w:cs="宋体"/>
          <w:color w:val="auto"/>
          <w:sz w:val="32"/>
          <w:szCs w:val="32"/>
          <w:highlight w:val="none"/>
        </w:rPr>
      </w:pPr>
      <w:r>
        <w:rPr>
          <w:rFonts w:hint="eastAsia" w:ascii="仿宋_GB2312" w:hAnsi="Times New Roman" w:eastAsia="仿宋_GB2312"/>
          <w:b/>
          <w:bCs/>
          <w:color w:val="auto"/>
          <w:sz w:val="32"/>
          <w:szCs w:val="32"/>
          <w:highlight w:val="none"/>
        </w:rPr>
        <w:t>3．保障措施。</w:t>
      </w:r>
      <w:r>
        <w:rPr>
          <w:rFonts w:hint="eastAsia" w:ascii="仿宋_GB2312" w:eastAsia="仿宋_GB2312"/>
          <w:color w:val="auto"/>
          <w:sz w:val="32"/>
          <w:szCs w:val="32"/>
          <w:highlight w:val="none"/>
        </w:rPr>
        <w:t>指标分值2分，评价得分1.9分，得分率为95%。专项资金使用单位资金管理及项目实施的保障机制健全，人员分工和管理责任基本落实到位，计划安排较为合理。</w:t>
      </w:r>
      <w:r>
        <w:rPr>
          <w:rFonts w:hint="eastAsia" w:ascii="仿宋_GB2312" w:hAnsi="仿宋_GB2312" w:eastAsia="仿宋_GB2312" w:cs="仿宋_GB2312"/>
          <w:color w:val="auto"/>
          <w:sz w:val="32"/>
          <w:szCs w:val="32"/>
          <w:highlight w:val="none"/>
        </w:rPr>
        <w:t>专项资金按《广东省人民政府关于印发广东省省级财政专项资金管理试行办法的通知》（粤府〔2016〕86号）、《广东省人民政府关于印发广东省省级财政专项资金管理办法（试行）的通知》（粤府〔2018〕120号）、《广东省人民政府关于印发广东省涉农资金统筹整合实施方案（试行）的通知》（粤府〔2018〕123号）、《关于印发&lt;广东省农业厅省级农业项目管理试行办法&gt;的通知》（粤农〔2016〕191号）等有关文件规定设立、分配、使用和管理，总体上</w:t>
      </w:r>
      <w:r>
        <w:rPr>
          <w:rFonts w:hint="eastAsia" w:ascii="仿宋_GB2312" w:eastAsia="仿宋_GB2312"/>
          <w:color w:val="auto"/>
          <w:sz w:val="32"/>
          <w:szCs w:val="32"/>
          <w:highlight w:val="none"/>
        </w:rPr>
        <w:t>项目工作进度计划安排基本合理。但部分市县由于对专项资金</w:t>
      </w:r>
      <w:r>
        <w:rPr>
          <w:rFonts w:hint="eastAsia" w:ascii="仿宋_GB2312" w:hAnsi="Times New Roman" w:eastAsia="仿宋_GB2312"/>
          <w:color w:val="auto"/>
          <w:sz w:val="32"/>
          <w:szCs w:val="32"/>
          <w:highlight w:val="none"/>
        </w:rPr>
        <w:t>“大专项+任务清单”</w:t>
      </w:r>
      <w:r>
        <w:rPr>
          <w:rFonts w:hint="eastAsia" w:ascii="仿宋_GB2312" w:eastAsia="仿宋_GB2312"/>
          <w:color w:val="auto"/>
          <w:sz w:val="32"/>
          <w:szCs w:val="32"/>
          <w:highlight w:val="none"/>
        </w:rPr>
        <w:t>管理办法的理解领会不够到位，部分项目计划安排合理性有待进一步提升</w:t>
      </w:r>
      <w:r>
        <w:rPr>
          <w:rFonts w:hint="eastAsia" w:ascii="仿宋_GB2312" w:hAnsi="宋体" w:eastAsia="仿宋_GB2312" w:cs="宋体"/>
          <w:color w:val="auto"/>
          <w:sz w:val="32"/>
          <w:szCs w:val="32"/>
          <w:highlight w:val="none"/>
        </w:rPr>
        <w:t>。扣0.1分。</w:t>
      </w:r>
    </w:p>
    <w:p>
      <w:pPr>
        <w:snapToGrid w:val="0"/>
        <w:spacing w:line="360" w:lineRule="auto"/>
        <w:ind w:firstLine="643" w:firstLineChars="200"/>
        <w:rPr>
          <w:rFonts w:ascii="仿宋_GB2312" w:hAnsi="仿宋" w:eastAsia="仿宋_GB2312" w:cs="仿宋"/>
          <w:color w:val="auto"/>
          <w:kern w:val="0"/>
          <w:sz w:val="32"/>
          <w:szCs w:val="32"/>
          <w:highlight w:val="none"/>
        </w:rPr>
      </w:pPr>
      <w:bookmarkStart w:id="10" w:name="_Toc11918603"/>
      <w:r>
        <w:rPr>
          <w:rFonts w:hint="eastAsia" w:ascii="仿宋_GB2312" w:hAnsi="Times New Roman" w:eastAsia="仿宋_GB2312"/>
          <w:b/>
          <w:bCs/>
          <w:color w:val="auto"/>
          <w:sz w:val="32"/>
          <w:szCs w:val="32"/>
          <w:highlight w:val="none"/>
        </w:rPr>
        <w:t>4．</w:t>
      </w:r>
      <w:r>
        <w:rPr>
          <w:rFonts w:hint="eastAsia" w:ascii="仿宋_GB2312" w:hAnsi="Times New Roman" w:eastAsia="仿宋_GB2312" w:cs="Times New Roman"/>
          <w:b/>
          <w:bCs/>
          <w:color w:val="auto"/>
          <w:sz w:val="32"/>
          <w:szCs w:val="32"/>
          <w:highlight w:val="none"/>
        </w:rPr>
        <w:t>资金到位</w:t>
      </w:r>
      <w:bookmarkEnd w:id="10"/>
      <w:r>
        <w:rPr>
          <w:rFonts w:hint="eastAsia" w:ascii="仿宋_GB2312" w:hAnsi="Times New Roman" w:eastAsia="仿宋_GB2312" w:cs="Times New Roman"/>
          <w:b/>
          <w:bCs/>
          <w:color w:val="auto"/>
          <w:sz w:val="32"/>
          <w:szCs w:val="32"/>
          <w:highlight w:val="none"/>
        </w:rPr>
        <w:t>。</w:t>
      </w:r>
      <w:r>
        <w:rPr>
          <w:rFonts w:hint="eastAsia" w:ascii="仿宋_GB2312" w:hAnsi="仿宋" w:eastAsia="仿宋_GB2312" w:cs="仿宋"/>
          <w:color w:val="auto"/>
          <w:kern w:val="0"/>
          <w:sz w:val="32"/>
          <w:szCs w:val="32"/>
          <w:highlight w:val="none"/>
        </w:rPr>
        <w:t>指标分值5分，评价得分5分，得分率为100%。省财政厅已按规定程序将专项资金预算指标下达有关地市（对下转移支付）和有关省直单位，有关地市也按规定将专项资金预算指标转分配下达县级和有关项目承担单位，专项资金已足额到位。</w:t>
      </w:r>
    </w:p>
    <w:p>
      <w:pPr>
        <w:pStyle w:val="2"/>
        <w:rPr>
          <w:color w:val="auto"/>
          <w:highlight w:val="none"/>
        </w:rPr>
      </w:pPr>
    </w:p>
    <w:p>
      <w:pPr>
        <w:snapToGrid w:val="0"/>
        <w:jc w:val="center"/>
        <w:rPr>
          <w:rFonts w:ascii="黑体" w:hAnsi="黑体" w:eastAsia="黑体" w:cs="仿宋"/>
          <w:color w:val="auto"/>
          <w:kern w:val="0"/>
          <w:sz w:val="28"/>
          <w:szCs w:val="28"/>
          <w:highlight w:val="none"/>
        </w:rPr>
      </w:pPr>
      <w:r>
        <w:rPr>
          <w:rFonts w:hint="eastAsia" w:ascii="黑体" w:hAnsi="黑体" w:eastAsia="黑体" w:cs="仿宋"/>
          <w:color w:val="auto"/>
          <w:kern w:val="0"/>
          <w:sz w:val="28"/>
          <w:szCs w:val="28"/>
          <w:highlight w:val="none"/>
        </w:rPr>
        <w:t>表1-4</w:t>
      </w:r>
      <w:r>
        <w:rPr>
          <w:rFonts w:ascii="黑体" w:hAnsi="黑体" w:eastAsia="黑体" w:cs="仿宋"/>
          <w:color w:val="auto"/>
          <w:kern w:val="0"/>
          <w:sz w:val="28"/>
          <w:szCs w:val="28"/>
          <w:highlight w:val="none"/>
        </w:rPr>
        <w:t xml:space="preserve">  </w:t>
      </w:r>
      <w:r>
        <w:rPr>
          <w:rFonts w:hint="eastAsia" w:ascii="黑体" w:hAnsi="黑体" w:eastAsia="黑体" w:cs="仿宋"/>
          <w:color w:val="auto"/>
          <w:kern w:val="0"/>
          <w:sz w:val="28"/>
          <w:szCs w:val="28"/>
          <w:highlight w:val="none"/>
        </w:rPr>
        <w:t>专项</w:t>
      </w:r>
      <w:r>
        <w:rPr>
          <w:rFonts w:ascii="黑体" w:hAnsi="黑体" w:eastAsia="黑体" w:cs="仿宋"/>
          <w:color w:val="auto"/>
          <w:kern w:val="0"/>
          <w:sz w:val="28"/>
          <w:szCs w:val="28"/>
          <w:highlight w:val="none"/>
        </w:rPr>
        <w:t>资金</w:t>
      </w:r>
      <w:r>
        <w:rPr>
          <w:rFonts w:hint="eastAsia" w:ascii="黑体" w:hAnsi="黑体" w:eastAsia="黑体" w:cs="仿宋"/>
          <w:color w:val="auto"/>
          <w:kern w:val="0"/>
          <w:sz w:val="28"/>
          <w:szCs w:val="28"/>
          <w:highlight w:val="none"/>
        </w:rPr>
        <w:t>预算指标下达情况表</w:t>
      </w:r>
    </w:p>
    <w:p>
      <w:pPr>
        <w:snapToGrid w:val="0"/>
        <w:jc w:val="right"/>
        <w:rPr>
          <w:rFonts w:ascii="黑体" w:hAnsi="黑体" w:eastAsia="黑体" w:cs="仿宋"/>
          <w:color w:val="auto"/>
          <w:kern w:val="0"/>
          <w:sz w:val="24"/>
          <w:szCs w:val="24"/>
          <w:highlight w:val="none"/>
        </w:rPr>
      </w:pPr>
      <w:r>
        <w:rPr>
          <w:rFonts w:hint="eastAsia" w:ascii="黑体" w:hAnsi="黑体" w:eastAsia="黑体" w:cs="仿宋"/>
          <w:color w:val="auto"/>
          <w:kern w:val="0"/>
          <w:sz w:val="24"/>
          <w:szCs w:val="24"/>
          <w:highlight w:val="none"/>
        </w:rPr>
        <w:t>单位：万元</w:t>
      </w:r>
    </w:p>
    <w:tbl>
      <w:tblPr>
        <w:tblStyle w:val="24"/>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5528"/>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4" w:type="dxa"/>
            <w:vAlign w:val="center"/>
          </w:tcPr>
          <w:p>
            <w:pPr>
              <w:snapToGrid w:val="0"/>
              <w:jc w:val="center"/>
              <w:rPr>
                <w:rFonts w:ascii="仿宋_GB2312" w:hAnsi="仿宋" w:eastAsia="仿宋_GB2312" w:cs="仿宋"/>
                <w:b/>
                <w:bCs/>
                <w:color w:val="auto"/>
                <w:kern w:val="0"/>
                <w:sz w:val="24"/>
                <w:szCs w:val="24"/>
                <w:highlight w:val="none"/>
              </w:rPr>
            </w:pPr>
            <w:r>
              <w:rPr>
                <w:rFonts w:hint="eastAsia" w:ascii="仿宋_GB2312" w:hAnsi="仿宋" w:eastAsia="仿宋_GB2312" w:cs="仿宋"/>
                <w:b/>
                <w:bCs/>
                <w:color w:val="auto"/>
                <w:kern w:val="0"/>
                <w:sz w:val="24"/>
                <w:szCs w:val="24"/>
                <w:highlight w:val="none"/>
              </w:rPr>
              <w:t>序号</w:t>
            </w:r>
          </w:p>
        </w:tc>
        <w:tc>
          <w:tcPr>
            <w:tcW w:w="1843" w:type="dxa"/>
            <w:vAlign w:val="center"/>
          </w:tcPr>
          <w:p>
            <w:pPr>
              <w:snapToGrid w:val="0"/>
              <w:jc w:val="center"/>
              <w:rPr>
                <w:rFonts w:ascii="仿宋_GB2312" w:hAnsi="仿宋" w:eastAsia="仿宋_GB2312" w:cs="仿宋"/>
                <w:b/>
                <w:bCs/>
                <w:color w:val="auto"/>
                <w:kern w:val="0"/>
                <w:sz w:val="24"/>
                <w:szCs w:val="24"/>
                <w:highlight w:val="none"/>
              </w:rPr>
            </w:pPr>
            <w:r>
              <w:rPr>
                <w:rFonts w:hint="eastAsia" w:ascii="仿宋_GB2312" w:hAnsi="仿宋" w:eastAsia="仿宋_GB2312" w:cs="仿宋"/>
                <w:b/>
                <w:bCs/>
                <w:color w:val="auto"/>
                <w:kern w:val="0"/>
                <w:sz w:val="24"/>
                <w:szCs w:val="24"/>
                <w:highlight w:val="none"/>
              </w:rPr>
              <w:t>文号</w:t>
            </w:r>
          </w:p>
        </w:tc>
        <w:tc>
          <w:tcPr>
            <w:tcW w:w="5528" w:type="dxa"/>
            <w:vAlign w:val="center"/>
          </w:tcPr>
          <w:p>
            <w:pPr>
              <w:snapToGrid w:val="0"/>
              <w:jc w:val="center"/>
              <w:rPr>
                <w:rFonts w:ascii="仿宋_GB2312" w:hAnsi="仿宋" w:eastAsia="仿宋_GB2312" w:cs="仿宋"/>
                <w:b/>
                <w:bCs/>
                <w:color w:val="auto"/>
                <w:kern w:val="0"/>
                <w:sz w:val="24"/>
                <w:szCs w:val="24"/>
                <w:highlight w:val="none"/>
              </w:rPr>
            </w:pPr>
            <w:r>
              <w:rPr>
                <w:rFonts w:hint="eastAsia" w:ascii="仿宋_GB2312" w:hAnsi="仿宋" w:eastAsia="仿宋_GB2312" w:cs="仿宋"/>
                <w:b/>
                <w:bCs/>
                <w:color w:val="auto"/>
                <w:kern w:val="0"/>
                <w:sz w:val="24"/>
                <w:szCs w:val="24"/>
                <w:highlight w:val="none"/>
              </w:rPr>
              <w:t>下达预算指标文件摘要</w:t>
            </w:r>
          </w:p>
        </w:tc>
        <w:tc>
          <w:tcPr>
            <w:tcW w:w="872" w:type="dxa"/>
            <w:vAlign w:val="center"/>
          </w:tcPr>
          <w:p>
            <w:pPr>
              <w:snapToGrid w:val="0"/>
              <w:jc w:val="center"/>
              <w:rPr>
                <w:rFonts w:ascii="仿宋_GB2312" w:hAnsi="仿宋" w:eastAsia="仿宋_GB2312" w:cs="仿宋"/>
                <w:b/>
                <w:bCs/>
                <w:color w:val="auto"/>
                <w:kern w:val="0"/>
                <w:sz w:val="24"/>
                <w:szCs w:val="24"/>
                <w:highlight w:val="none"/>
              </w:rPr>
            </w:pPr>
            <w:r>
              <w:rPr>
                <w:rFonts w:hint="eastAsia" w:ascii="仿宋_GB2312" w:hAnsi="仿宋" w:eastAsia="仿宋_GB2312" w:cs="仿宋"/>
                <w:b/>
                <w:bCs/>
                <w:color w:val="auto"/>
                <w:kern w:val="0"/>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1</w:t>
            </w:r>
          </w:p>
        </w:tc>
        <w:tc>
          <w:tcPr>
            <w:tcW w:w="1843"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ascii="仿宋_GB2312" w:hAnsi="仿宋" w:eastAsia="仿宋_GB2312" w:cs="仿宋"/>
                <w:color w:val="auto"/>
                <w:kern w:val="0"/>
                <w:sz w:val="24"/>
                <w:szCs w:val="24"/>
                <w:highlight w:val="none"/>
              </w:rPr>
              <w:t>40号</w:t>
            </w:r>
          </w:p>
        </w:tc>
        <w:tc>
          <w:tcPr>
            <w:tcW w:w="5528"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2018年省级乡村振兴战略专项（完善农业支持保护制度）省级资金（第一批）</w:t>
            </w:r>
          </w:p>
        </w:tc>
        <w:tc>
          <w:tcPr>
            <w:tcW w:w="87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2</w:t>
            </w:r>
          </w:p>
        </w:tc>
        <w:tc>
          <w:tcPr>
            <w:tcW w:w="1843"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135</w:t>
            </w:r>
            <w:r>
              <w:rPr>
                <w:rFonts w:ascii="仿宋_GB2312" w:hAnsi="仿宋" w:eastAsia="仿宋_GB2312" w:cs="仿宋"/>
                <w:color w:val="auto"/>
                <w:kern w:val="0"/>
                <w:sz w:val="24"/>
                <w:szCs w:val="24"/>
                <w:highlight w:val="none"/>
              </w:rPr>
              <w:t>号</w:t>
            </w:r>
          </w:p>
        </w:tc>
        <w:tc>
          <w:tcPr>
            <w:tcW w:w="5528"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2018年省级乡村振兴战略专项（完善农业支持保护制度）省级资金（第</w:t>
            </w:r>
            <w:r>
              <w:rPr>
                <w:rFonts w:hint="eastAsia" w:ascii="仿宋_GB2312" w:hAnsi="仿宋" w:eastAsia="仿宋_GB2312" w:cs="仿宋"/>
                <w:color w:val="auto"/>
                <w:kern w:val="0"/>
                <w:sz w:val="24"/>
                <w:szCs w:val="24"/>
                <w:highlight w:val="none"/>
              </w:rPr>
              <w:t>二</w:t>
            </w:r>
            <w:r>
              <w:rPr>
                <w:rFonts w:ascii="仿宋_GB2312" w:hAnsi="仿宋" w:eastAsia="仿宋_GB2312" w:cs="仿宋"/>
                <w:color w:val="auto"/>
                <w:kern w:val="0"/>
                <w:sz w:val="24"/>
                <w:szCs w:val="24"/>
                <w:highlight w:val="none"/>
              </w:rPr>
              <w:t>批）</w:t>
            </w:r>
            <w:r>
              <w:rPr>
                <w:rFonts w:hint="eastAsia" w:ascii="仿宋_GB2312" w:hAnsi="仿宋" w:eastAsia="仿宋_GB2312" w:cs="仿宋"/>
                <w:color w:val="auto"/>
                <w:kern w:val="0"/>
                <w:sz w:val="24"/>
                <w:szCs w:val="24"/>
                <w:highlight w:val="none"/>
              </w:rPr>
              <w:t xml:space="preserve"> </w:t>
            </w:r>
          </w:p>
        </w:tc>
        <w:tc>
          <w:tcPr>
            <w:tcW w:w="87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3</w:t>
            </w:r>
          </w:p>
        </w:tc>
        <w:tc>
          <w:tcPr>
            <w:tcW w:w="1843"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82</w:t>
            </w:r>
            <w:r>
              <w:rPr>
                <w:rFonts w:ascii="仿宋_GB2312" w:hAnsi="仿宋" w:eastAsia="仿宋_GB2312" w:cs="仿宋"/>
                <w:color w:val="auto"/>
                <w:kern w:val="0"/>
                <w:sz w:val="24"/>
                <w:szCs w:val="24"/>
                <w:highlight w:val="none"/>
              </w:rPr>
              <w:t>号</w:t>
            </w:r>
          </w:p>
        </w:tc>
        <w:tc>
          <w:tcPr>
            <w:tcW w:w="5528"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乡村振兴战略专项</w:t>
            </w:r>
            <w:r>
              <w:rPr>
                <w:rFonts w:hint="eastAsia" w:ascii="仿宋_GB2312" w:hAnsi="仿宋" w:eastAsia="仿宋_GB2312" w:cs="仿宋"/>
                <w:color w:val="auto"/>
                <w:kern w:val="0"/>
                <w:sz w:val="24"/>
                <w:szCs w:val="24"/>
                <w:highlight w:val="none"/>
              </w:rPr>
              <w:t>资金</w:t>
            </w:r>
            <w:r>
              <w:rPr>
                <w:rFonts w:ascii="仿宋_GB2312" w:hAnsi="仿宋" w:eastAsia="仿宋_GB2312" w:cs="仿宋"/>
                <w:color w:val="auto"/>
                <w:kern w:val="0"/>
                <w:sz w:val="24"/>
                <w:szCs w:val="24"/>
                <w:highlight w:val="none"/>
              </w:rPr>
              <w:t>（完善农业支持保护制度）</w:t>
            </w:r>
            <w:r>
              <w:rPr>
                <w:rFonts w:hint="eastAsia" w:ascii="仿宋_GB2312" w:hAnsi="仿宋" w:eastAsia="仿宋_GB2312" w:cs="仿宋"/>
                <w:color w:val="auto"/>
                <w:kern w:val="0"/>
                <w:sz w:val="24"/>
                <w:szCs w:val="24"/>
                <w:highlight w:val="none"/>
              </w:rPr>
              <w:t>世行贷款广东农业面源污染治理项目2018年省级财政配套资金</w:t>
            </w:r>
          </w:p>
        </w:tc>
        <w:tc>
          <w:tcPr>
            <w:tcW w:w="87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4</w:t>
            </w:r>
          </w:p>
        </w:tc>
        <w:tc>
          <w:tcPr>
            <w:tcW w:w="1843"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269</w:t>
            </w:r>
            <w:r>
              <w:rPr>
                <w:rFonts w:ascii="仿宋_GB2312" w:hAnsi="仿宋" w:eastAsia="仿宋_GB2312" w:cs="仿宋"/>
                <w:color w:val="auto"/>
                <w:kern w:val="0"/>
                <w:sz w:val="24"/>
                <w:szCs w:val="24"/>
                <w:highlight w:val="none"/>
              </w:rPr>
              <w:t>号</w:t>
            </w:r>
          </w:p>
        </w:tc>
        <w:tc>
          <w:tcPr>
            <w:tcW w:w="5528"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2018年省级乡村振兴战略专项资金（省级粮食应急种子储备）</w:t>
            </w:r>
          </w:p>
        </w:tc>
        <w:tc>
          <w:tcPr>
            <w:tcW w:w="87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5</w:t>
            </w:r>
          </w:p>
        </w:tc>
        <w:tc>
          <w:tcPr>
            <w:tcW w:w="1843"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110</w:t>
            </w:r>
            <w:r>
              <w:rPr>
                <w:rFonts w:ascii="仿宋_GB2312" w:hAnsi="仿宋" w:eastAsia="仿宋_GB2312" w:cs="仿宋"/>
                <w:color w:val="auto"/>
                <w:kern w:val="0"/>
                <w:sz w:val="24"/>
                <w:szCs w:val="24"/>
                <w:highlight w:val="none"/>
              </w:rPr>
              <w:t>号</w:t>
            </w:r>
          </w:p>
        </w:tc>
        <w:tc>
          <w:tcPr>
            <w:tcW w:w="5528"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2018 年省级乡村振兴战略专项（完</w:t>
            </w:r>
            <w:r>
              <w:rPr>
                <w:rFonts w:hint="eastAsia" w:ascii="仿宋_GB2312" w:hAnsi="仿宋" w:eastAsia="仿宋_GB2312" w:cs="仿宋"/>
                <w:color w:val="auto"/>
                <w:kern w:val="0"/>
                <w:sz w:val="24"/>
                <w:szCs w:val="24"/>
                <w:highlight w:val="none"/>
              </w:rPr>
              <w:t>善农业支持保护制度）对下转移支付资金（第一批）</w:t>
            </w:r>
          </w:p>
        </w:tc>
        <w:tc>
          <w:tcPr>
            <w:tcW w:w="87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75644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jc w:val="center"/>
              <w:rPr>
                <w:rFonts w:hint="eastAsia" w:ascii="仿宋_GB2312" w:hAnsi="仿宋" w:eastAsia="仿宋_GB2312" w:cs="仿宋"/>
                <w:color w:val="auto"/>
                <w:kern w:val="0"/>
                <w:sz w:val="24"/>
                <w:szCs w:val="24"/>
                <w:highlight w:val="none"/>
                <w:lang w:val="en-US" w:eastAsia="zh-CN"/>
              </w:rPr>
            </w:pPr>
            <w:r>
              <w:rPr>
                <w:rFonts w:hint="eastAsia" w:ascii="仿宋_GB2312" w:hAnsi="仿宋" w:eastAsia="仿宋_GB2312" w:cs="仿宋"/>
                <w:color w:val="auto"/>
                <w:kern w:val="0"/>
                <w:sz w:val="24"/>
                <w:szCs w:val="24"/>
                <w:highlight w:val="none"/>
                <w:lang w:val="en-US" w:eastAsia="zh-CN"/>
              </w:rPr>
              <w:t>6</w:t>
            </w:r>
          </w:p>
        </w:tc>
        <w:tc>
          <w:tcPr>
            <w:tcW w:w="1843"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2</w:t>
            </w:r>
            <w:r>
              <w:rPr>
                <w:rFonts w:hint="eastAsia" w:ascii="仿宋_GB2312" w:hAnsi="仿宋" w:eastAsia="仿宋_GB2312" w:cs="仿宋"/>
                <w:color w:val="auto"/>
                <w:kern w:val="0"/>
                <w:sz w:val="24"/>
                <w:szCs w:val="24"/>
                <w:highlight w:val="none"/>
                <w:lang w:val="en-US" w:eastAsia="zh-CN"/>
              </w:rPr>
              <w:t>26</w:t>
            </w:r>
            <w:r>
              <w:rPr>
                <w:rFonts w:ascii="仿宋_GB2312" w:hAnsi="仿宋" w:eastAsia="仿宋_GB2312" w:cs="仿宋"/>
                <w:color w:val="auto"/>
                <w:kern w:val="0"/>
                <w:sz w:val="24"/>
                <w:szCs w:val="24"/>
                <w:highlight w:val="none"/>
              </w:rPr>
              <w:t>号</w:t>
            </w:r>
          </w:p>
        </w:tc>
        <w:tc>
          <w:tcPr>
            <w:tcW w:w="5528" w:type="dxa"/>
            <w:vAlign w:val="center"/>
          </w:tcPr>
          <w:p>
            <w:pPr>
              <w:snapToGrid w:val="0"/>
              <w:jc w:val="center"/>
              <w:rPr>
                <w:rFonts w:hint="default" w:ascii="仿宋_GB2312" w:hAnsi="仿宋" w:eastAsia="仿宋_GB2312" w:cs="仿宋"/>
                <w:color w:val="auto"/>
                <w:kern w:val="0"/>
                <w:sz w:val="24"/>
                <w:szCs w:val="24"/>
                <w:highlight w:val="none"/>
                <w:lang w:val="en-US" w:eastAsia="zh-CN"/>
              </w:rPr>
            </w:pPr>
            <w:r>
              <w:rPr>
                <w:rFonts w:hint="eastAsia" w:ascii="仿宋_GB2312" w:hAnsi="仿宋" w:eastAsia="仿宋_GB2312" w:cs="仿宋"/>
                <w:color w:val="auto"/>
                <w:kern w:val="0"/>
                <w:sz w:val="24"/>
                <w:szCs w:val="24"/>
                <w:highlight w:val="none"/>
                <w:lang w:eastAsia="zh-CN"/>
              </w:rPr>
              <w:t>关于下达</w:t>
            </w:r>
            <w:r>
              <w:rPr>
                <w:rFonts w:hint="eastAsia" w:ascii="仿宋_GB2312" w:hAnsi="仿宋" w:eastAsia="仿宋_GB2312" w:cs="仿宋"/>
                <w:color w:val="auto"/>
                <w:kern w:val="0"/>
                <w:sz w:val="24"/>
                <w:szCs w:val="24"/>
                <w:highlight w:val="none"/>
                <w:lang w:val="en-US" w:eastAsia="zh-CN"/>
              </w:rPr>
              <w:t>2018年中央和省级农业生产救灾资金的通知</w:t>
            </w:r>
          </w:p>
        </w:tc>
        <w:tc>
          <w:tcPr>
            <w:tcW w:w="872" w:type="dxa"/>
            <w:vAlign w:val="center"/>
          </w:tcPr>
          <w:p>
            <w:pPr>
              <w:snapToGrid w:val="0"/>
              <w:jc w:val="center"/>
              <w:rPr>
                <w:rFonts w:hint="default" w:ascii="仿宋_GB2312" w:hAnsi="仿宋" w:eastAsia="仿宋_GB2312" w:cs="仿宋"/>
                <w:color w:val="auto"/>
                <w:kern w:val="0"/>
                <w:sz w:val="24"/>
                <w:szCs w:val="24"/>
                <w:highlight w:val="none"/>
                <w:lang w:val="en-US" w:eastAsia="zh-CN"/>
              </w:rPr>
            </w:pPr>
            <w:r>
              <w:rPr>
                <w:rFonts w:hint="eastAsia" w:ascii="仿宋_GB2312" w:hAnsi="仿宋" w:eastAsia="仿宋_GB2312" w:cs="仿宋"/>
                <w:color w:val="auto"/>
                <w:kern w:val="0"/>
                <w:sz w:val="24"/>
                <w:szCs w:val="24"/>
                <w:highlight w:val="none"/>
                <w:lang w:val="en-US" w:eastAsia="zh-CN"/>
              </w:rPr>
              <w:t>500</w:t>
            </w:r>
          </w:p>
        </w:tc>
      </w:tr>
    </w:tbl>
    <w:p>
      <w:pPr>
        <w:snapToGrid w:val="0"/>
        <w:spacing w:line="360" w:lineRule="auto"/>
        <w:ind w:firstLine="643" w:firstLineChars="200"/>
        <w:rPr>
          <w:rFonts w:ascii="仿宋_GB2312" w:hAnsi="Times New Roman" w:eastAsia="仿宋_GB2312" w:cs="Times New Roman"/>
          <w:b/>
          <w:bCs/>
          <w:color w:val="auto"/>
          <w:sz w:val="32"/>
          <w:szCs w:val="32"/>
          <w:highlight w:val="none"/>
        </w:rPr>
      </w:pPr>
      <w:bookmarkStart w:id="11" w:name="_Toc11918604"/>
    </w:p>
    <w:p>
      <w:pPr>
        <w:snapToGrid w:val="0"/>
        <w:spacing w:line="360" w:lineRule="auto"/>
        <w:ind w:firstLine="643" w:firstLineChars="200"/>
        <w:rPr>
          <w:rFonts w:ascii="仿宋_GB2312" w:hAnsi="仿宋" w:eastAsia="仿宋_GB2312" w:cs="仿宋"/>
          <w:color w:val="auto"/>
          <w:kern w:val="0"/>
          <w:sz w:val="32"/>
          <w:szCs w:val="32"/>
          <w:highlight w:val="none"/>
        </w:rPr>
      </w:pPr>
      <w:r>
        <w:rPr>
          <w:rFonts w:hint="eastAsia" w:ascii="仿宋_GB2312" w:hAnsi="Times New Roman" w:eastAsia="仿宋_GB2312" w:cs="Times New Roman"/>
          <w:b/>
          <w:bCs/>
          <w:color w:val="auto"/>
          <w:sz w:val="32"/>
          <w:szCs w:val="32"/>
          <w:highlight w:val="none"/>
        </w:rPr>
        <w:t>5．资金分配</w:t>
      </w:r>
      <w:bookmarkEnd w:id="11"/>
      <w:r>
        <w:rPr>
          <w:rFonts w:hint="eastAsia" w:ascii="仿宋_GB2312" w:hAnsi="Times New Roman" w:eastAsia="仿宋_GB2312" w:cs="Times New Roman"/>
          <w:b/>
          <w:bCs/>
          <w:color w:val="auto"/>
          <w:sz w:val="32"/>
          <w:szCs w:val="32"/>
          <w:highlight w:val="none"/>
        </w:rPr>
        <w:t>。</w:t>
      </w:r>
      <w:r>
        <w:rPr>
          <w:rFonts w:hint="eastAsia" w:ascii="仿宋_GB2312" w:hAnsi="仿宋" w:eastAsia="仿宋_GB2312" w:cs="仿宋"/>
          <w:color w:val="auto"/>
          <w:kern w:val="0"/>
          <w:sz w:val="32"/>
          <w:szCs w:val="32"/>
          <w:highlight w:val="none"/>
        </w:rPr>
        <w:t>指标分值3分，评价得分2.85分，得分率为95%。我厅根据省人大批准的预算草案，按照专项资金总体使用计划，拟定专项资金分配方案，报省财政厅审核后，由省财政厅下达预算指标。同时，我厅向有关地市下达了专项资金任务清单（包括约束性任务和指导性任务）。专项资金的分配原则主要是按照国家和省</w:t>
      </w:r>
      <w:r>
        <w:rPr>
          <w:rFonts w:hint="eastAsia" w:ascii="仿宋_GB2312" w:hAnsi="Times New Roman" w:eastAsia="仿宋_GB2312" w:cs="Times New Roman"/>
          <w:color w:val="auto"/>
          <w:sz w:val="32"/>
          <w:szCs w:val="32"/>
          <w:highlight w:val="none"/>
        </w:rPr>
        <w:t>乡村振兴战略的大政策，</w:t>
      </w:r>
      <w:r>
        <w:rPr>
          <w:rFonts w:hint="eastAsia" w:ascii="仿宋_GB2312" w:hAnsi="仿宋" w:eastAsia="仿宋_GB2312" w:cs="仿宋"/>
          <w:color w:val="auto"/>
          <w:kern w:val="0"/>
          <w:sz w:val="32"/>
          <w:szCs w:val="32"/>
          <w:highlight w:val="none"/>
        </w:rPr>
        <w:t>根据2018年我省农业农村工作</w:t>
      </w:r>
      <w:r>
        <w:rPr>
          <w:rFonts w:hint="eastAsia" w:ascii="仿宋_GB2312" w:hAnsi="Times New Roman" w:eastAsia="仿宋_GB2312" w:cs="Times New Roman"/>
          <w:color w:val="auto"/>
          <w:sz w:val="32"/>
          <w:szCs w:val="32"/>
          <w:highlight w:val="none"/>
        </w:rPr>
        <w:t>完善农业支持保护制度</w:t>
      </w:r>
      <w:r>
        <w:rPr>
          <w:rFonts w:hint="eastAsia" w:ascii="仿宋_GB2312" w:hAnsi="仿宋" w:eastAsia="仿宋_GB2312" w:cs="仿宋"/>
          <w:color w:val="auto"/>
          <w:kern w:val="0"/>
          <w:sz w:val="32"/>
          <w:szCs w:val="32"/>
          <w:highlight w:val="none"/>
        </w:rPr>
        <w:t>的重点方向，结合专项资金支持领域的实际情况，资金分配基本明确合理，扶持类型、扶持对象和主要用途符合相关规定，较好地支持了完善农业支持保护制度各项工作的开展，有利于绩效目标的实现。但是在</w:t>
      </w:r>
      <w:r>
        <w:rPr>
          <w:rFonts w:hint="eastAsia" w:ascii="仿宋_GB2312" w:hAnsi="Times New Roman" w:eastAsia="仿宋_GB2312"/>
          <w:color w:val="auto"/>
          <w:sz w:val="32"/>
          <w:szCs w:val="32"/>
          <w:highlight w:val="none"/>
        </w:rPr>
        <w:t>“大专项+任务清单”管理方式下，</w:t>
      </w:r>
      <w:r>
        <w:rPr>
          <w:rFonts w:hint="eastAsia" w:ascii="仿宋_GB2312" w:hAnsi="仿宋" w:eastAsia="仿宋_GB2312" w:cs="仿宋"/>
          <w:color w:val="auto"/>
          <w:kern w:val="0"/>
          <w:sz w:val="32"/>
          <w:szCs w:val="32"/>
          <w:highlight w:val="none"/>
        </w:rPr>
        <w:t>部分地市存在项目库管理薄弱，项目储备不足，资金分配不及时的问题</w:t>
      </w:r>
      <w:bookmarkStart w:id="12" w:name="_Toc11918606"/>
      <w:r>
        <w:rPr>
          <w:rFonts w:hint="eastAsia" w:ascii="仿宋_GB2312" w:hAnsi="仿宋" w:eastAsia="仿宋_GB2312" w:cs="仿宋"/>
          <w:color w:val="auto"/>
          <w:kern w:val="0"/>
          <w:sz w:val="32"/>
          <w:szCs w:val="32"/>
          <w:highlight w:val="none"/>
        </w:rPr>
        <w:t>。扣0.15分。</w:t>
      </w:r>
    </w:p>
    <w:p>
      <w:pPr>
        <w:snapToGrid w:val="0"/>
        <w:spacing w:line="360" w:lineRule="auto"/>
        <w:ind w:firstLine="643" w:firstLineChars="200"/>
        <w:rPr>
          <w:rFonts w:ascii="仿宋_GB2312" w:hAnsi="黑体" w:eastAsia="仿宋_GB2312"/>
          <w:color w:val="auto"/>
          <w:sz w:val="32"/>
          <w:szCs w:val="32"/>
          <w:highlight w:val="none"/>
        </w:rPr>
      </w:pPr>
      <w:r>
        <w:rPr>
          <w:rFonts w:hint="eastAsia" w:ascii="仿宋_GB2312" w:hAnsi="Times New Roman" w:eastAsia="仿宋_GB2312" w:cs="Times New Roman"/>
          <w:b/>
          <w:bCs/>
          <w:color w:val="auto"/>
          <w:sz w:val="32"/>
          <w:szCs w:val="32"/>
          <w:highlight w:val="none"/>
        </w:rPr>
        <w:t>6．资金支付</w:t>
      </w:r>
      <w:bookmarkEnd w:id="12"/>
      <w:r>
        <w:rPr>
          <w:rFonts w:hint="eastAsia" w:ascii="仿宋_GB2312" w:hAnsi="Times New Roman" w:eastAsia="仿宋_GB2312" w:cs="Times New Roman"/>
          <w:b/>
          <w:bCs/>
          <w:color w:val="auto"/>
          <w:sz w:val="32"/>
          <w:szCs w:val="32"/>
          <w:highlight w:val="none"/>
        </w:rPr>
        <w:t>。</w:t>
      </w:r>
      <w:r>
        <w:rPr>
          <w:rFonts w:hint="eastAsia" w:ascii="仿宋_GB2312" w:hAnsi="仿宋" w:eastAsia="仿宋_GB2312" w:cs="仿宋"/>
          <w:color w:val="auto"/>
          <w:kern w:val="0"/>
          <w:sz w:val="32"/>
          <w:szCs w:val="32"/>
          <w:highlight w:val="none"/>
        </w:rPr>
        <w:t>指标分值6分，评价得分5.1分，得分率为85%。根据已报送自评材料的地市和省直项目承担单位基础信息资料，截至2019年3月31日，5个方向专项资金</w:t>
      </w:r>
      <w:bookmarkStart w:id="13" w:name="_Toc24308"/>
      <w:r>
        <w:rPr>
          <w:rFonts w:hint="eastAsia" w:ascii="仿宋_GB2312" w:hAnsi="仿宋" w:eastAsia="仿宋_GB2312" w:cs="仿宋"/>
          <w:color w:val="auto"/>
          <w:kern w:val="0"/>
          <w:sz w:val="32"/>
          <w:szCs w:val="32"/>
          <w:highlight w:val="none"/>
        </w:rPr>
        <w:t>基本上按项目进度支付资金。如省级农业保险</w:t>
      </w:r>
      <w:r>
        <w:rPr>
          <w:rFonts w:hint="eastAsia" w:ascii="仿宋_GB2312" w:eastAsia="仿宋_GB2312"/>
          <w:color w:val="auto"/>
          <w:sz w:val="32"/>
          <w:highlight w:val="none"/>
        </w:rPr>
        <w:t>保费</w:t>
      </w:r>
      <w:r>
        <w:rPr>
          <w:rFonts w:ascii="仿宋_GB2312" w:eastAsia="仿宋_GB2312"/>
          <w:color w:val="auto"/>
          <w:sz w:val="32"/>
          <w:highlight w:val="none"/>
        </w:rPr>
        <w:t>补贴</w:t>
      </w:r>
      <w:r>
        <w:rPr>
          <w:rFonts w:hint="eastAsia" w:ascii="仿宋_GB2312" w:eastAsia="仿宋_GB2312"/>
          <w:color w:val="auto"/>
          <w:sz w:val="32"/>
          <w:highlight w:val="none"/>
        </w:rPr>
        <w:t>支出率为72.56%，支出率较低的主要原因是部分险种因承保机构招标流程耗时较长（部分地市临近年底才完成承保机构招标）、部分低风险地区农户参保积极性不高、少数地区对涉农</w:t>
      </w:r>
      <w:r>
        <w:rPr>
          <w:rFonts w:hint="eastAsia" w:ascii="仿宋_GB2312" w:hAnsi="仿宋" w:eastAsia="仿宋_GB2312"/>
          <w:color w:val="auto"/>
          <w:sz w:val="32"/>
          <w:highlight w:val="none"/>
        </w:rPr>
        <w:t>保险工作的推进力度不够等。扣0.9分。</w:t>
      </w:r>
    </w:p>
    <w:p>
      <w:pPr>
        <w:spacing w:line="360" w:lineRule="auto"/>
        <w:ind w:firstLine="643" w:firstLineChars="200"/>
        <w:rPr>
          <w:rFonts w:ascii="仿宋_GB2312" w:hAnsi="黑体" w:eastAsia="仿宋_GB2312"/>
          <w:color w:val="auto"/>
          <w:sz w:val="32"/>
          <w:szCs w:val="32"/>
          <w:highlight w:val="none"/>
        </w:rPr>
      </w:pPr>
      <w:bookmarkStart w:id="14" w:name="_Toc11918607"/>
      <w:r>
        <w:rPr>
          <w:rFonts w:hint="eastAsia" w:ascii="仿宋_GB2312" w:hAnsi="仿宋" w:eastAsia="仿宋_GB2312" w:cs="仿宋"/>
          <w:b/>
          <w:bCs/>
          <w:color w:val="auto"/>
          <w:kern w:val="0"/>
          <w:sz w:val="32"/>
          <w:szCs w:val="32"/>
          <w:highlight w:val="none"/>
        </w:rPr>
        <w:t>7．支出规范性</w:t>
      </w:r>
      <w:bookmarkEnd w:id="13"/>
      <w:bookmarkEnd w:id="14"/>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6分，评价得分5.7分，得分率为95%。市县和省直项目承担单位在使用专项资金过程中，基本上能够按照有关专项资金管理办法和财务制度规定管理、使用专项资金。规范执行会计核算制度得满分，按规定设专账核算，支出凭证基本符合规定。但少数项目承担单位在会计核算方面存在不足，如未设明细账核算专项资金项目支出等。扣0.3分。</w:t>
      </w:r>
    </w:p>
    <w:p>
      <w:pPr>
        <w:spacing w:line="360" w:lineRule="auto"/>
        <w:ind w:firstLine="643" w:firstLineChars="200"/>
        <w:rPr>
          <w:rFonts w:ascii="仿宋_GB2312" w:hAnsi="Times New Roman" w:eastAsia="仿宋_GB2312"/>
          <w:color w:val="auto"/>
          <w:sz w:val="32"/>
          <w:szCs w:val="32"/>
          <w:highlight w:val="none"/>
        </w:rPr>
      </w:pPr>
      <w:bookmarkStart w:id="15" w:name="_Toc11918608"/>
      <w:r>
        <w:rPr>
          <w:rFonts w:hint="eastAsia" w:ascii="仿宋_GB2312" w:hAnsi="仿宋" w:eastAsia="仿宋_GB2312" w:cs="仿宋"/>
          <w:b/>
          <w:bCs/>
          <w:color w:val="auto"/>
          <w:kern w:val="0"/>
          <w:sz w:val="32"/>
          <w:szCs w:val="32"/>
          <w:highlight w:val="none"/>
        </w:rPr>
        <w:t>8．实施程序</w:t>
      </w:r>
      <w:bookmarkEnd w:id="15"/>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指标分值4分，评价得分3.5分，得分率为87.5%。</w:t>
      </w:r>
      <w:r>
        <w:rPr>
          <w:rFonts w:hint="eastAsia" w:ascii="仿宋_GB2312" w:hAnsi="Times New Roman" w:eastAsia="仿宋_GB2312"/>
          <w:color w:val="auto"/>
          <w:sz w:val="32"/>
          <w:szCs w:val="32"/>
          <w:highlight w:val="none"/>
        </w:rPr>
        <w:t>专项资金项目实施过程总体上比较规范</w:t>
      </w:r>
      <w:r>
        <w:rPr>
          <w:rFonts w:ascii="仿宋_GB2312" w:hAnsi="Times New Roman" w:eastAsia="仿宋_GB2312"/>
          <w:color w:val="auto"/>
          <w:sz w:val="32"/>
          <w:szCs w:val="32"/>
          <w:highlight w:val="none"/>
        </w:rPr>
        <w:t>,</w:t>
      </w:r>
      <w:r>
        <w:rPr>
          <w:rFonts w:hint="eastAsia" w:ascii="仿宋_GB2312" w:hAnsi="Times New Roman" w:eastAsia="仿宋_GB2312"/>
          <w:color w:val="auto"/>
          <w:sz w:val="32"/>
          <w:szCs w:val="32"/>
          <w:highlight w:val="none"/>
        </w:rPr>
        <w:t>大部分地市收到省财政厅下达的预算指标和我厅下达的任务清单后，能够按要求及时认真做好本地项目实施方案的编制工作，把各项</w:t>
      </w:r>
      <w:r>
        <w:rPr>
          <w:rFonts w:hint="eastAsia" w:ascii="仿宋_GB2312" w:eastAsia="仿宋_GB2312" w:hAnsiTheme="minorHAnsi"/>
          <w:color w:val="auto"/>
          <w:sz w:val="32"/>
          <w:szCs w:val="36"/>
          <w:highlight w:val="none"/>
        </w:rPr>
        <w:t>约束性任务和指导性任务</w:t>
      </w:r>
      <w:r>
        <w:rPr>
          <w:rFonts w:hint="eastAsia" w:ascii="仿宋_GB2312" w:hAnsi="Times New Roman" w:eastAsia="仿宋_GB2312"/>
          <w:color w:val="auto"/>
          <w:sz w:val="32"/>
          <w:szCs w:val="32"/>
          <w:highlight w:val="none"/>
        </w:rPr>
        <w:t>分解落实到项目承担单位。在项目实施过程中，项目承担单位基本上能够按规定执行有关招投标、项目调整、完成验收申请等规定。完成建设内容的项目，有关市县主管部门和省直单位能够按管理权限做好项目的结项验收。存在问题是部分地市未按要求及时制定本地项目实施方案并报我厅备案。</w:t>
      </w:r>
      <w:bookmarkStart w:id="16" w:name="_Toc11918609"/>
      <w:r>
        <w:rPr>
          <w:rFonts w:hint="eastAsia" w:ascii="仿宋_GB2312" w:hAnsi="Times New Roman" w:eastAsia="仿宋_GB2312"/>
          <w:color w:val="auto"/>
          <w:sz w:val="32"/>
          <w:szCs w:val="32"/>
          <w:highlight w:val="none"/>
        </w:rPr>
        <w:t>扣0.5分。</w:t>
      </w:r>
    </w:p>
    <w:p>
      <w:pPr>
        <w:spacing w:line="360" w:lineRule="auto"/>
        <w:ind w:firstLine="643" w:firstLineChars="200"/>
        <w:rPr>
          <w:rFonts w:ascii="仿宋_GB2312" w:hAnsi="仿宋"/>
          <w:color w:val="auto"/>
          <w:szCs w:val="32"/>
          <w:highlight w:val="none"/>
          <w:shd w:val="clear" w:color="auto" w:fill="FFFFFF"/>
        </w:rPr>
      </w:pPr>
      <w:r>
        <w:rPr>
          <w:rFonts w:hint="eastAsia" w:ascii="仿宋_GB2312" w:hAnsi="仿宋" w:eastAsia="仿宋_GB2312" w:cs="仿宋"/>
          <w:b/>
          <w:bCs/>
          <w:color w:val="auto"/>
          <w:kern w:val="0"/>
          <w:sz w:val="32"/>
          <w:szCs w:val="32"/>
          <w:highlight w:val="none"/>
        </w:rPr>
        <w:t>9．管理情况</w:t>
      </w:r>
      <w:bookmarkEnd w:id="16"/>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指标分值4分，</w:t>
      </w:r>
      <w:r>
        <w:rPr>
          <w:rFonts w:hint="eastAsia" w:ascii="仿宋_GB2312" w:hAnsi="Times New Roman" w:eastAsia="仿宋_GB2312"/>
          <w:color w:val="auto"/>
          <w:sz w:val="32"/>
          <w:szCs w:val="32"/>
          <w:highlight w:val="none"/>
        </w:rPr>
        <w:t>评价得分3.6分，得分率为90%。专项资金管理机制比较完善，大部分市县和项目承担单位的管理制度比较健全，并且各项管理制度的落实情况较好。但各级业务主管部门在考核市县和项目承担单位完成“约束性任务”方面仍需要加强。扣0.4分。</w:t>
      </w:r>
    </w:p>
    <w:p>
      <w:pPr>
        <w:pStyle w:val="33"/>
        <w:outlineLvl w:val="9"/>
        <w:rPr>
          <w:color w:val="auto"/>
          <w:highlight w:val="none"/>
        </w:rPr>
      </w:pPr>
      <w:bookmarkStart w:id="17" w:name="_Toc11918611"/>
      <w:bookmarkStart w:id="18" w:name="_Toc11916707"/>
      <w:r>
        <w:rPr>
          <w:rFonts w:hint="eastAsia" w:hAnsi="仿宋" w:cs="仿宋"/>
          <w:b/>
          <w:bCs/>
          <w:color w:val="auto"/>
          <w:kern w:val="0"/>
          <w:highlight w:val="none"/>
        </w:rPr>
        <w:t>10．预算控制。</w:t>
      </w:r>
      <w:r>
        <w:rPr>
          <w:rFonts w:hint="eastAsia"/>
          <w:color w:val="auto"/>
          <w:highlight w:val="none"/>
        </w:rPr>
        <w:t>指标分值3分，评价得分3分，得分率为100%。</w:t>
      </w:r>
      <w:bookmarkEnd w:id="17"/>
      <w:bookmarkEnd w:id="18"/>
      <w:r>
        <w:rPr>
          <w:rFonts w:hint="eastAsia"/>
          <w:color w:val="auto"/>
          <w:highlight w:val="none"/>
        </w:rPr>
        <w:t>总体上专项资金预算执行进度与事项完成进度基本匹配，实际支出未超过预算计划。</w:t>
      </w:r>
    </w:p>
    <w:p>
      <w:pPr>
        <w:pStyle w:val="33"/>
        <w:outlineLvl w:val="9"/>
        <w:rPr>
          <w:color w:val="auto"/>
          <w:highlight w:val="none"/>
        </w:rPr>
      </w:pPr>
      <w:bookmarkStart w:id="19" w:name="_Toc11918612"/>
      <w:bookmarkStart w:id="20" w:name="_Toc11916708"/>
      <w:r>
        <w:rPr>
          <w:rFonts w:hint="eastAsia" w:hAnsi="仿宋" w:cs="仿宋"/>
          <w:b/>
          <w:bCs/>
          <w:color w:val="auto"/>
          <w:kern w:val="0"/>
          <w:highlight w:val="none"/>
        </w:rPr>
        <w:t>11．成本控制。</w:t>
      </w:r>
      <w:r>
        <w:rPr>
          <w:rFonts w:hint="eastAsia"/>
          <w:color w:val="auto"/>
          <w:highlight w:val="none"/>
        </w:rPr>
        <w:t>指标分值</w:t>
      </w:r>
      <w:r>
        <w:rPr>
          <w:color w:val="auto"/>
          <w:highlight w:val="none"/>
        </w:rPr>
        <w:t>2</w:t>
      </w:r>
      <w:r>
        <w:rPr>
          <w:rFonts w:hint="eastAsia"/>
          <w:color w:val="auto"/>
          <w:highlight w:val="none"/>
        </w:rPr>
        <w:t>分，评价得分</w:t>
      </w:r>
      <w:r>
        <w:rPr>
          <w:color w:val="auto"/>
          <w:highlight w:val="none"/>
        </w:rPr>
        <w:t>2</w:t>
      </w:r>
      <w:r>
        <w:rPr>
          <w:rFonts w:hint="eastAsia"/>
          <w:color w:val="auto"/>
          <w:highlight w:val="none"/>
        </w:rPr>
        <w:t>分，得分率为</w:t>
      </w:r>
      <w:r>
        <w:rPr>
          <w:color w:val="auto"/>
          <w:highlight w:val="none"/>
        </w:rPr>
        <w:t>100</w:t>
      </w:r>
      <w:r>
        <w:rPr>
          <w:rFonts w:hint="eastAsia"/>
          <w:color w:val="auto"/>
          <w:highlight w:val="none"/>
        </w:rPr>
        <w:t>%。专项资金项目成本支出基本</w:t>
      </w:r>
      <w:r>
        <w:rPr>
          <w:color w:val="auto"/>
          <w:highlight w:val="none"/>
        </w:rPr>
        <w:t>控制</w:t>
      </w:r>
      <w:r>
        <w:rPr>
          <w:rFonts w:hint="eastAsia"/>
          <w:color w:val="auto"/>
          <w:highlight w:val="none"/>
        </w:rPr>
        <w:t>在合理范围，总体上呈投入较低与产出效益较高的状态。</w:t>
      </w:r>
      <w:bookmarkEnd w:id="19"/>
      <w:bookmarkEnd w:id="20"/>
      <w:r>
        <w:rPr>
          <w:rFonts w:hint="eastAsia"/>
          <w:color w:val="auto"/>
          <w:highlight w:val="none"/>
        </w:rPr>
        <w:t>例如我省是畜禽养殖大省，生猪出栏量全国第六、家禽养殖量全国第二，相较我省畜禽饲养量、消费量和防控工作任务量，我省与其他畜禽养殖大省相比，同类财政支出较低但效果最好。</w:t>
      </w:r>
    </w:p>
    <w:p>
      <w:pPr>
        <w:snapToGrid w:val="0"/>
        <w:spacing w:line="360" w:lineRule="auto"/>
        <w:ind w:firstLine="643" w:firstLineChars="200"/>
        <w:rPr>
          <w:rFonts w:ascii="仿宋_GB2312" w:hAnsi="黑体" w:eastAsia="仿宋_GB2312"/>
          <w:color w:val="auto"/>
          <w:sz w:val="32"/>
          <w:szCs w:val="32"/>
          <w:highlight w:val="none"/>
        </w:rPr>
      </w:pPr>
      <w:bookmarkStart w:id="21" w:name="_Toc11918613"/>
      <w:r>
        <w:rPr>
          <w:rFonts w:hint="eastAsia" w:ascii="仿宋_GB2312" w:hAnsi="仿宋" w:eastAsia="仿宋_GB2312" w:cs="仿宋"/>
          <w:b/>
          <w:bCs/>
          <w:color w:val="auto"/>
          <w:kern w:val="0"/>
          <w:sz w:val="32"/>
          <w:szCs w:val="32"/>
          <w:highlight w:val="none"/>
        </w:rPr>
        <w:t>12．完成进度</w:t>
      </w:r>
      <w:bookmarkEnd w:id="21"/>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15分，评价得分13.5分，得分率为90%。总体而言，大部分完善农业支持保护制度建设项目都能够依照工作计划实施推进，项目建设有条不紊，按质保量完成既定目标。有效实现了我省农业生产稳中有增、农业供给侧改革深</w:t>
      </w:r>
      <w:r>
        <w:rPr>
          <w:rFonts w:ascii="仿宋_GB2312" w:hAnsi="黑体" w:eastAsia="仿宋_GB2312"/>
          <w:color w:val="auto"/>
          <w:sz w:val="32"/>
          <w:szCs w:val="32"/>
          <w:highlight w:val="none"/>
        </w:rPr>
        <w:t>入推进，业态创新促进农业提质增效，充分发挥了专项资金的应有作用。</w:t>
      </w:r>
      <w:r>
        <w:rPr>
          <w:rFonts w:hint="eastAsia" w:ascii="仿宋_GB2312" w:hAnsi="黑体" w:eastAsia="仿宋_GB2312"/>
          <w:color w:val="auto"/>
          <w:sz w:val="32"/>
          <w:szCs w:val="32"/>
          <w:highlight w:val="none"/>
        </w:rPr>
        <w:t>不足之处是个别专项资金的项目完成率不高，</w:t>
      </w:r>
      <w:r>
        <w:rPr>
          <w:rFonts w:ascii="仿宋_GB2312" w:hAnsi="黑体" w:eastAsia="仿宋_GB2312"/>
          <w:color w:val="auto"/>
          <w:sz w:val="32"/>
          <w:szCs w:val="32"/>
          <w:highlight w:val="none"/>
        </w:rPr>
        <w:t>少数项目建设进度未达计划，或实施方案对进度计划不够详细，未对其进度时间做出具体规划。</w:t>
      </w:r>
      <w:r>
        <w:rPr>
          <w:rFonts w:hint="eastAsia" w:ascii="仿宋_GB2312" w:hAnsi="黑体" w:eastAsia="仿宋_GB2312"/>
          <w:color w:val="auto"/>
          <w:sz w:val="32"/>
          <w:szCs w:val="32"/>
          <w:highlight w:val="none"/>
        </w:rPr>
        <w:t>扣1.5分。</w:t>
      </w:r>
    </w:p>
    <w:p>
      <w:pPr>
        <w:snapToGrid w:val="0"/>
        <w:spacing w:line="360" w:lineRule="auto"/>
        <w:ind w:firstLine="643" w:firstLineChars="200"/>
        <w:rPr>
          <w:rFonts w:ascii="仿宋_GB2312" w:hAnsi="黑体" w:eastAsia="仿宋_GB2312"/>
          <w:color w:val="auto"/>
          <w:sz w:val="32"/>
          <w:szCs w:val="32"/>
          <w:highlight w:val="none"/>
        </w:rPr>
      </w:pPr>
      <w:bookmarkStart w:id="22" w:name="_Toc11918614"/>
      <w:r>
        <w:rPr>
          <w:rFonts w:hint="eastAsia" w:ascii="仿宋_GB2312" w:hAnsi="仿宋" w:eastAsia="仿宋_GB2312" w:cs="仿宋"/>
          <w:b/>
          <w:bCs/>
          <w:color w:val="auto"/>
          <w:kern w:val="0"/>
          <w:sz w:val="32"/>
          <w:szCs w:val="32"/>
          <w:highlight w:val="none"/>
        </w:rPr>
        <w:t>13．完成质量</w:t>
      </w:r>
      <w:bookmarkEnd w:id="22"/>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10分，评价得分9分，得分率为90%。各级业务主管部门和有关省直单位能按计划推进各项工作任务的实施，较好的完成目标任务，大部分项目完成质量达到既定标准，绩效指标基本达成。但也有少数项目未能按预定的时效和质量要求通过验收。扣1分。</w:t>
      </w:r>
    </w:p>
    <w:p>
      <w:pPr>
        <w:spacing w:line="360" w:lineRule="auto"/>
        <w:ind w:firstLine="643" w:firstLineChars="200"/>
        <w:rPr>
          <w:rFonts w:ascii="仿宋_GB2312" w:hAnsi="黑体" w:eastAsia="仿宋_GB2312"/>
          <w:color w:val="auto"/>
          <w:sz w:val="32"/>
          <w:szCs w:val="32"/>
          <w:highlight w:val="none"/>
        </w:rPr>
      </w:pPr>
      <w:bookmarkStart w:id="23" w:name="_Toc11918616"/>
      <w:r>
        <w:rPr>
          <w:rFonts w:hint="eastAsia" w:ascii="仿宋_GB2312" w:hAnsi="仿宋" w:eastAsia="仿宋_GB2312" w:cs="仿宋"/>
          <w:b/>
          <w:bCs/>
          <w:color w:val="auto"/>
          <w:kern w:val="0"/>
          <w:sz w:val="32"/>
          <w:szCs w:val="32"/>
          <w:highlight w:val="none"/>
        </w:rPr>
        <w:t>14．经济效益</w:t>
      </w:r>
      <w:bookmarkEnd w:id="23"/>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指标分值7分，评价得分6.3分，得分率为90%。在专项资金的支持下，</w:t>
      </w:r>
      <w:r>
        <w:rPr>
          <w:rFonts w:ascii="仿宋_GB2312" w:hAnsi="黑体" w:eastAsia="仿宋_GB2312"/>
          <w:color w:val="auto"/>
          <w:sz w:val="32"/>
          <w:szCs w:val="32"/>
          <w:highlight w:val="none"/>
        </w:rPr>
        <w:t>201</w:t>
      </w:r>
      <w:r>
        <w:rPr>
          <w:rFonts w:hint="eastAsia" w:ascii="仿宋_GB2312" w:hAnsi="黑体" w:eastAsia="仿宋_GB2312"/>
          <w:color w:val="auto"/>
          <w:sz w:val="32"/>
          <w:szCs w:val="32"/>
          <w:highlight w:val="none"/>
        </w:rPr>
        <w:t>8</w:t>
      </w:r>
      <w:r>
        <w:rPr>
          <w:rFonts w:ascii="仿宋_GB2312" w:hAnsi="黑体" w:eastAsia="仿宋_GB2312"/>
          <w:color w:val="auto"/>
          <w:sz w:val="32"/>
          <w:szCs w:val="32"/>
          <w:highlight w:val="none"/>
        </w:rPr>
        <w:t>年我省</w:t>
      </w:r>
      <w:r>
        <w:rPr>
          <w:rFonts w:hint="eastAsia" w:ascii="仿宋_GB2312" w:hAnsi="黑体" w:eastAsia="仿宋_GB2312"/>
          <w:color w:val="auto"/>
          <w:sz w:val="32"/>
          <w:szCs w:val="32"/>
          <w:highlight w:val="none"/>
        </w:rPr>
        <w:t>完善农业支持保护制度相关工</w:t>
      </w:r>
      <w:r>
        <w:rPr>
          <w:rFonts w:ascii="仿宋_GB2312" w:hAnsi="黑体" w:eastAsia="仿宋_GB2312"/>
          <w:color w:val="auto"/>
          <w:sz w:val="32"/>
          <w:szCs w:val="32"/>
          <w:highlight w:val="none"/>
        </w:rPr>
        <w:t>作扎实推进，取得了一定成效。专项资金项目的实施推进了</w:t>
      </w:r>
      <w:r>
        <w:rPr>
          <w:rFonts w:hint="eastAsia" w:ascii="仿宋_GB2312" w:hAnsi="黑体" w:eastAsia="仿宋_GB2312"/>
          <w:color w:val="auto"/>
          <w:sz w:val="32"/>
          <w:szCs w:val="32"/>
          <w:highlight w:val="none"/>
        </w:rPr>
        <w:t>我省政策性农业保险的发展，水稻生猪水果类承保率有明显提高；广东农业面源污染治理项目，</w:t>
      </w:r>
      <w:r>
        <w:rPr>
          <w:rFonts w:ascii="仿宋_GB2312" w:hAnsi="黑体" w:eastAsia="仿宋_GB2312"/>
          <w:color w:val="auto"/>
          <w:sz w:val="32"/>
          <w:szCs w:val="32"/>
          <w:highlight w:val="none"/>
        </w:rPr>
        <w:t>传统养殖场废弃物处理系统产生沼气用于发电</w:t>
      </w:r>
      <w:r>
        <w:rPr>
          <w:rFonts w:hint="eastAsia" w:ascii="仿宋_GB2312" w:hAnsi="黑体" w:eastAsia="仿宋_GB2312"/>
          <w:color w:val="auto"/>
          <w:sz w:val="32"/>
          <w:szCs w:val="32"/>
          <w:highlight w:val="none"/>
        </w:rPr>
        <w:t>；动物疫病防控有效应对了非洲猪瘟疫情和自然灾害的不利影响；</w:t>
      </w:r>
      <w:r>
        <w:rPr>
          <w:rFonts w:ascii="仿宋_GB2312" w:hAnsi="黑体" w:eastAsia="仿宋_GB2312"/>
          <w:color w:val="auto"/>
          <w:sz w:val="32"/>
          <w:szCs w:val="32"/>
          <w:highlight w:val="none"/>
        </w:rPr>
        <w:t>201</w:t>
      </w:r>
      <w:r>
        <w:rPr>
          <w:rFonts w:hint="eastAsia" w:ascii="仿宋_GB2312" w:hAnsi="黑体" w:eastAsia="仿宋_GB2312"/>
          <w:color w:val="auto"/>
          <w:sz w:val="32"/>
          <w:szCs w:val="32"/>
          <w:highlight w:val="none"/>
        </w:rPr>
        <w:t>8</w:t>
      </w:r>
      <w:r>
        <w:rPr>
          <w:rFonts w:ascii="仿宋_GB2312" w:hAnsi="黑体" w:eastAsia="仿宋_GB2312"/>
          <w:color w:val="auto"/>
          <w:sz w:val="32"/>
          <w:szCs w:val="32"/>
          <w:highlight w:val="none"/>
        </w:rPr>
        <w:t>年</w:t>
      </w:r>
      <w:r>
        <w:rPr>
          <w:rFonts w:hint="eastAsia" w:ascii="仿宋_GB2312" w:hAnsi="黑体" w:eastAsia="仿宋_GB2312"/>
          <w:color w:val="auto"/>
          <w:sz w:val="32"/>
          <w:szCs w:val="32"/>
          <w:highlight w:val="none"/>
        </w:rPr>
        <w:t>全省粮食总产量</w:t>
      </w:r>
      <w:r>
        <w:rPr>
          <w:rFonts w:ascii="仿宋_GB2312" w:hAnsi="黑体" w:eastAsia="仿宋_GB2312"/>
          <w:color w:val="auto"/>
          <w:sz w:val="32"/>
          <w:szCs w:val="32"/>
          <w:highlight w:val="none"/>
        </w:rPr>
        <w:t>1193万吨，</w:t>
      </w:r>
      <w:r>
        <w:rPr>
          <w:rFonts w:hint="eastAsia" w:ascii="仿宋_GB2312" w:hAnsi="黑体" w:eastAsia="仿宋_GB2312"/>
          <w:color w:val="auto"/>
          <w:sz w:val="32"/>
          <w:szCs w:val="32"/>
          <w:highlight w:val="none"/>
        </w:rPr>
        <w:t>全省农村居民人均可支配收入</w:t>
      </w:r>
      <w:r>
        <w:rPr>
          <w:rFonts w:ascii="仿宋_GB2312" w:hAnsi="黑体" w:eastAsia="仿宋_GB2312"/>
          <w:color w:val="auto"/>
          <w:sz w:val="32"/>
          <w:szCs w:val="32"/>
          <w:highlight w:val="none"/>
        </w:rPr>
        <w:t>17168元，名义增长8.8%，实际增长6.8%</w:t>
      </w:r>
      <w:r>
        <w:rPr>
          <w:rFonts w:hint="eastAsia" w:ascii="仿宋_GB2312" w:hAnsi="黑体" w:eastAsia="仿宋_GB2312"/>
          <w:color w:val="auto"/>
          <w:sz w:val="32"/>
          <w:szCs w:val="32"/>
          <w:highlight w:val="none"/>
        </w:rPr>
        <w:t>，取得了</w:t>
      </w:r>
      <w:r>
        <w:rPr>
          <w:rFonts w:ascii="仿宋_GB2312" w:hAnsi="黑体" w:eastAsia="仿宋_GB2312"/>
          <w:color w:val="auto"/>
          <w:sz w:val="32"/>
          <w:szCs w:val="32"/>
          <w:highlight w:val="none"/>
        </w:rPr>
        <w:t>良好的经济效益。</w:t>
      </w:r>
      <w:r>
        <w:rPr>
          <w:rFonts w:hint="eastAsia" w:ascii="仿宋_GB2312" w:hAnsi="黑体" w:eastAsia="仿宋_GB2312"/>
          <w:color w:val="auto"/>
          <w:sz w:val="32"/>
          <w:szCs w:val="32"/>
          <w:highlight w:val="none"/>
        </w:rPr>
        <w:t>存在的问题是专项资金虽然在一定程度上带动了农民增收，但从长远来看农民持续较快增收的难度较大</w:t>
      </w:r>
      <w:r>
        <w:rPr>
          <w:rFonts w:ascii="仿宋_GB2312" w:hAnsi="黑体" w:eastAsia="仿宋_GB2312"/>
          <w:color w:val="auto"/>
          <w:sz w:val="32"/>
          <w:szCs w:val="32"/>
          <w:highlight w:val="none"/>
        </w:rPr>
        <w:t>。</w:t>
      </w:r>
      <w:r>
        <w:rPr>
          <w:rFonts w:hint="eastAsia" w:ascii="仿宋_GB2312" w:hAnsi="黑体" w:eastAsia="仿宋_GB2312"/>
          <w:color w:val="auto"/>
          <w:sz w:val="32"/>
          <w:szCs w:val="32"/>
          <w:highlight w:val="none"/>
        </w:rPr>
        <w:t>扣0.7分。</w:t>
      </w:r>
    </w:p>
    <w:p>
      <w:pPr>
        <w:spacing w:line="360" w:lineRule="auto"/>
        <w:ind w:firstLine="643" w:firstLineChars="200"/>
        <w:rPr>
          <w:rFonts w:ascii="仿宋_GB2312" w:eastAsia="仿宋_GB2312"/>
          <w:color w:val="auto"/>
          <w:sz w:val="32"/>
          <w:szCs w:val="32"/>
          <w:highlight w:val="none"/>
        </w:rPr>
      </w:pPr>
      <w:r>
        <w:rPr>
          <w:rFonts w:hint="eastAsia" w:ascii="仿宋_GB2312" w:hAnsi="仿宋" w:eastAsia="仿宋_GB2312" w:cs="仿宋"/>
          <w:b/>
          <w:bCs/>
          <w:color w:val="auto"/>
          <w:kern w:val="0"/>
          <w:sz w:val="32"/>
          <w:szCs w:val="32"/>
          <w:highlight w:val="none"/>
        </w:rPr>
        <w:t>15．社会效益。</w:t>
      </w:r>
      <w:r>
        <w:rPr>
          <w:rFonts w:hint="eastAsia" w:ascii="仿宋_GB2312" w:hAnsi="黑体" w:eastAsia="仿宋_GB2312"/>
          <w:color w:val="auto"/>
          <w:sz w:val="32"/>
          <w:szCs w:val="32"/>
          <w:highlight w:val="none"/>
        </w:rPr>
        <w:t>指标分值7分，评价得分6.3分，得分率为90%。专项资金的投入加深了我省农业保险深度，提高农业抗灾能力，提高灾后恢复粮食生产的能力，助推农</w:t>
      </w:r>
      <w:r>
        <w:rPr>
          <w:rFonts w:hint="eastAsia" w:ascii="仿宋_GB2312" w:eastAsia="仿宋_GB2312"/>
          <w:color w:val="auto"/>
          <w:sz w:val="32"/>
          <w:szCs w:val="32"/>
          <w:highlight w:val="none"/>
        </w:rPr>
        <w:t>民增收农业增效，改善了农村生产生活环境，农民关心的问题得到有效解决，热情高涨，有利于各项农业农村工作的开展，</w:t>
      </w:r>
      <w:r>
        <w:rPr>
          <w:rFonts w:hint="eastAsia" w:ascii="仿宋_GB2312" w:hAnsi="黑体" w:eastAsia="仿宋_GB2312"/>
          <w:color w:val="auto"/>
          <w:sz w:val="32"/>
          <w:szCs w:val="32"/>
          <w:highlight w:val="none"/>
        </w:rPr>
        <w:t>具备良好的社会效益。</w:t>
      </w:r>
      <w:bookmarkStart w:id="24" w:name="_Hlk14912117"/>
      <w:r>
        <w:rPr>
          <w:rFonts w:hint="eastAsia" w:ascii="仿宋_GB2312" w:hAnsi="黑体" w:eastAsia="仿宋_GB2312" w:cs="Times New Roman"/>
          <w:color w:val="auto"/>
          <w:sz w:val="32"/>
          <w:szCs w:val="32"/>
          <w:highlight w:val="none"/>
        </w:rPr>
        <w:t>但我省农业结构性矛盾突出的问题仍然存在。扣0.7分。</w:t>
      </w:r>
    </w:p>
    <w:bookmarkEnd w:id="24"/>
    <w:p>
      <w:pPr>
        <w:snapToGrid w:val="0"/>
        <w:spacing w:line="360" w:lineRule="auto"/>
        <w:ind w:firstLine="643" w:firstLineChars="200"/>
        <w:rPr>
          <w:rFonts w:ascii="仿宋_GB2312" w:hAnsi="黑体" w:eastAsia="仿宋_GB2312"/>
          <w:color w:val="auto"/>
          <w:sz w:val="32"/>
          <w:szCs w:val="32"/>
          <w:highlight w:val="none"/>
        </w:rPr>
      </w:pPr>
      <w:r>
        <w:rPr>
          <w:rFonts w:hint="eastAsia" w:ascii="仿宋_GB2312" w:hAnsi="仿宋" w:eastAsia="仿宋_GB2312" w:cs="仿宋"/>
          <w:b/>
          <w:bCs/>
          <w:color w:val="auto"/>
          <w:kern w:val="0"/>
          <w:sz w:val="32"/>
          <w:szCs w:val="32"/>
          <w:highlight w:val="none"/>
        </w:rPr>
        <w:t>16．生态效益。</w:t>
      </w:r>
      <w:r>
        <w:rPr>
          <w:rFonts w:hint="eastAsia" w:ascii="仿宋_GB2312" w:hAnsi="黑体" w:eastAsia="仿宋_GB2312"/>
          <w:color w:val="auto"/>
          <w:sz w:val="32"/>
          <w:szCs w:val="32"/>
          <w:highlight w:val="none"/>
        </w:rPr>
        <w:t>指标分值6分，评价得分5.4分，得分率为90%。专项资金的投入，使得我省禽流感、口蹄疫群体免疫密度达到</w:t>
      </w:r>
      <w:r>
        <w:rPr>
          <w:rFonts w:ascii="仿宋_GB2312" w:hAnsi="黑体" w:eastAsia="仿宋_GB2312"/>
          <w:color w:val="auto"/>
          <w:sz w:val="32"/>
          <w:szCs w:val="32"/>
          <w:highlight w:val="none"/>
        </w:rPr>
        <w:t>90%以上</w:t>
      </w:r>
      <w:r>
        <w:rPr>
          <w:rFonts w:hint="eastAsia" w:ascii="仿宋_GB2312" w:hAnsi="黑体" w:eastAsia="仿宋_GB2312"/>
          <w:color w:val="auto"/>
          <w:sz w:val="32"/>
          <w:szCs w:val="32"/>
          <w:highlight w:val="none"/>
        </w:rPr>
        <w:t>，防控重大动物疫病，降低重大动物疫病和人畜共患病的发病率，提高畜禽养殖废弃物处理和病死畜禽无害化处理能力，改善了广东农业面源污染状况，2018年实现COD污染减排39356吨，BOD减排1.4万吨，氨氮减排2375吨，总磷减排584吨。利于我省生态环境的良性发展，符合科学发展观。</w:t>
      </w:r>
      <w:bookmarkStart w:id="25" w:name="_Toc11918617"/>
      <w:bookmarkStart w:id="26" w:name="_Toc11918618"/>
      <w:r>
        <w:rPr>
          <w:rFonts w:hint="eastAsia" w:ascii="仿宋_GB2312" w:hAnsi="黑体" w:eastAsia="仿宋_GB2312"/>
          <w:color w:val="auto"/>
          <w:sz w:val="32"/>
          <w:szCs w:val="32"/>
          <w:highlight w:val="none"/>
        </w:rPr>
        <w:t>但农村人居环境“脏乱差”现象尚未根本扭转，生态效益有待进一步增强。扣0.6分。</w:t>
      </w:r>
    </w:p>
    <w:p>
      <w:pPr>
        <w:snapToGrid w:val="0"/>
        <w:spacing w:line="360" w:lineRule="auto"/>
        <w:ind w:firstLine="643" w:firstLineChars="200"/>
        <w:rPr>
          <w:rStyle w:val="32"/>
          <w:rFonts w:hint="default" w:ascii="仿宋_GB2312" w:hAnsi="黑体" w:cstheme="minorBidi"/>
          <w:b w:val="0"/>
          <w:color w:val="auto"/>
          <w:highlight w:val="none"/>
        </w:rPr>
      </w:pPr>
      <w:r>
        <w:rPr>
          <w:rFonts w:hint="eastAsia" w:ascii="仿宋_GB2312" w:hAnsi="仿宋" w:eastAsia="仿宋_GB2312" w:cs="仿宋"/>
          <w:b/>
          <w:bCs/>
          <w:color w:val="auto"/>
          <w:kern w:val="0"/>
          <w:sz w:val="32"/>
          <w:szCs w:val="32"/>
          <w:highlight w:val="none"/>
        </w:rPr>
        <w:t>17．可持续发展</w:t>
      </w:r>
      <w:bookmarkEnd w:id="25"/>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5分，评价得分4.75分，得分率为95%。完善农业支持保护制度专项资金的投入，有利于防范农业系统性风险，加强现代农业产业体系、生产体系、经营体系的安全，有利于我省农业农村的可持续发展，符合当前国家乡村振兴战略规划大局，后续政策、制度、资金相对有保障。承担项目实施任务的大部分部门/单位管理机制基本能够适应实施项目的工作需要，获得专项资金支持的各级农业农村主管部门、农业科研机构以及其他农业经营实体，均有比较健全的组织机构，岗位人员责任落实到位，可保障专项资金项目的持续开展。</w:t>
      </w:r>
    </w:p>
    <w:p>
      <w:pPr>
        <w:snapToGrid w:val="0"/>
        <w:spacing w:line="360" w:lineRule="auto"/>
        <w:ind w:firstLine="643" w:firstLineChars="200"/>
        <w:rPr>
          <w:rFonts w:ascii="仿宋_GB2312" w:hAnsi="黑体" w:eastAsia="仿宋_GB2312"/>
          <w:color w:val="auto"/>
          <w:sz w:val="32"/>
          <w:szCs w:val="32"/>
          <w:highlight w:val="none"/>
        </w:rPr>
      </w:pPr>
      <w:r>
        <w:rPr>
          <w:rFonts w:hint="eastAsia" w:ascii="仿宋_GB2312" w:hAnsi="仿宋" w:eastAsia="仿宋_GB2312" w:cs="仿宋"/>
          <w:b/>
          <w:bCs/>
          <w:color w:val="auto"/>
          <w:kern w:val="0"/>
          <w:sz w:val="32"/>
          <w:szCs w:val="32"/>
          <w:highlight w:val="none"/>
        </w:rPr>
        <w:t>18．满意度</w:t>
      </w:r>
      <w:bookmarkEnd w:id="26"/>
      <w:r>
        <w:rPr>
          <w:rFonts w:hint="eastAsia" w:ascii="仿宋_GB2312" w:hAnsi="仿宋" w:eastAsia="仿宋_GB2312" w:cs="仿宋"/>
          <w:b/>
          <w:bCs/>
          <w:color w:val="auto"/>
          <w:kern w:val="0"/>
          <w:sz w:val="32"/>
          <w:szCs w:val="32"/>
          <w:highlight w:val="none"/>
        </w:rPr>
        <w:t>。</w:t>
      </w:r>
      <w:r>
        <w:rPr>
          <w:rFonts w:hint="eastAsia" w:ascii="仿宋_GB2312" w:hAnsi="黑体" w:eastAsia="仿宋_GB2312"/>
          <w:color w:val="auto"/>
          <w:sz w:val="32"/>
          <w:szCs w:val="32"/>
          <w:highlight w:val="none"/>
        </w:rPr>
        <w:t>指标分值5分，评价得分4.9分，得分率为98%。</w:t>
      </w:r>
      <w:r>
        <w:rPr>
          <w:rFonts w:hint="eastAsia" w:ascii="仿宋_GB2312" w:eastAsia="仿宋_GB2312"/>
          <w:color w:val="auto"/>
          <w:sz w:val="32"/>
          <w:szCs w:val="32"/>
          <w:highlight w:val="none"/>
        </w:rPr>
        <w:t>综合分析对受惠群体的调研结果和满意度调查数据，专项资金的投入，使得农业支持保护制度更加完善，专项资金项目实施效果良好，项目承担单位及受惠群众满意度较高。</w:t>
      </w:r>
      <w:r>
        <w:rPr>
          <w:rFonts w:hint="eastAsia" w:ascii="仿宋_GB2312" w:hAnsi="仿宋_GB2312" w:eastAsia="仿宋_GB2312" w:cs="仿宋_GB2312"/>
          <w:color w:val="auto"/>
          <w:sz w:val="32"/>
          <w:szCs w:val="24"/>
          <w:highlight w:val="none"/>
        </w:rPr>
        <w:t>广大农民群众对农业保险保费补贴政策、农业面源污染治理项目的满意度较高，农民在生产过程中遇到灾害损失时，可以从保险机构得到基本的补偿，同时农村环境也得到了明显改善，农民热情高涨</w:t>
      </w:r>
      <w:r>
        <w:rPr>
          <w:rFonts w:hint="eastAsia" w:ascii="仿宋_GB2312" w:eastAsia="仿宋_GB2312"/>
          <w:color w:val="auto"/>
          <w:sz w:val="32"/>
          <w:szCs w:val="32"/>
          <w:highlight w:val="none"/>
        </w:rPr>
        <w:t>，为乡村振兴战略的进一步实施，打下了良好的群众基础。</w:t>
      </w:r>
      <w:bookmarkEnd w:id="8"/>
    </w:p>
    <w:bookmarkEnd w:id="9"/>
    <w:p>
      <w:pPr>
        <w:spacing w:line="360" w:lineRule="auto"/>
        <w:ind w:firstLine="640" w:firstLineChars="200"/>
        <w:outlineLvl w:val="0"/>
        <w:rPr>
          <w:rFonts w:ascii="黑体" w:hAnsi="黑体" w:eastAsia="黑体"/>
          <w:color w:val="auto"/>
          <w:sz w:val="32"/>
          <w:szCs w:val="32"/>
          <w:highlight w:val="none"/>
        </w:rPr>
      </w:pPr>
      <w:bookmarkStart w:id="27" w:name="_Toc15159448"/>
      <w:r>
        <w:rPr>
          <w:rFonts w:hint="eastAsia" w:ascii="黑体" w:hAnsi="黑体" w:eastAsia="黑体"/>
          <w:color w:val="auto"/>
          <w:sz w:val="32"/>
          <w:szCs w:val="32"/>
          <w:highlight w:val="none"/>
        </w:rPr>
        <w:t>二、绩效表现</w:t>
      </w:r>
      <w:bookmarkEnd w:id="27"/>
    </w:p>
    <w:p>
      <w:pPr>
        <w:spacing w:line="360" w:lineRule="auto"/>
        <w:ind w:firstLine="643" w:firstLineChars="200"/>
        <w:outlineLvl w:val="1"/>
        <w:rPr>
          <w:rFonts w:ascii="楷体_GB2312" w:eastAsia="楷体_GB2312"/>
          <w:b/>
          <w:bCs/>
          <w:color w:val="auto"/>
          <w:sz w:val="32"/>
          <w:szCs w:val="36"/>
          <w:highlight w:val="none"/>
        </w:rPr>
      </w:pPr>
      <w:bookmarkStart w:id="28" w:name="_Toc15159449"/>
      <w:r>
        <w:rPr>
          <w:rFonts w:hint="eastAsia" w:ascii="楷体_GB2312" w:eastAsia="楷体_GB2312"/>
          <w:b/>
          <w:bCs/>
          <w:color w:val="auto"/>
          <w:sz w:val="32"/>
          <w:szCs w:val="36"/>
          <w:highlight w:val="none"/>
        </w:rPr>
        <w:t>（一）资金使用绩效</w:t>
      </w:r>
      <w:bookmarkEnd w:id="28"/>
    </w:p>
    <w:p>
      <w:pPr>
        <w:spacing w:line="360" w:lineRule="auto"/>
        <w:ind w:firstLine="643"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1．政策性农业保险成效显著，</w:t>
      </w:r>
      <w:r>
        <w:rPr>
          <w:rFonts w:hint="eastAsia" w:ascii="仿宋_GB2312" w:hAnsi="仿宋" w:eastAsia="仿宋_GB2312"/>
          <w:b/>
          <w:bCs/>
          <w:color w:val="auto"/>
          <w:sz w:val="32"/>
          <w:highlight w:val="none"/>
        </w:rPr>
        <w:t>服务领域不断拓宽，服务体系日趋完善。</w:t>
      </w:r>
    </w:p>
    <w:p>
      <w:pPr>
        <w:spacing w:line="360" w:lineRule="auto"/>
        <w:ind w:firstLine="643" w:firstLineChars="200"/>
        <w:rPr>
          <w:rFonts w:ascii="仿宋_GB2312" w:eastAsia="仿宋_GB2312"/>
          <w:color w:val="auto"/>
          <w:sz w:val="32"/>
          <w:szCs w:val="36"/>
          <w:highlight w:val="none"/>
        </w:rPr>
      </w:pPr>
      <w:r>
        <w:rPr>
          <w:rFonts w:hint="eastAsia" w:ascii="仿宋_GB2312" w:hAnsi="仿宋" w:eastAsia="仿宋_GB2312"/>
          <w:b/>
          <w:bCs/>
          <w:color w:val="auto"/>
          <w:sz w:val="32"/>
          <w:highlight w:val="none"/>
        </w:rPr>
        <w:t>一是政策性农业保险项目的实施，保障了我省农业的持续发展。</w:t>
      </w:r>
      <w:r>
        <w:rPr>
          <w:rFonts w:ascii="仿宋_GB2312" w:hAnsi="仿宋" w:eastAsia="仿宋_GB2312"/>
          <w:color w:val="auto"/>
          <w:sz w:val="32"/>
          <w:highlight w:val="none"/>
        </w:rPr>
        <w:t>增强了农民</w:t>
      </w:r>
      <w:r>
        <w:rPr>
          <w:rFonts w:hint="eastAsia" w:ascii="仿宋_GB2312" w:hAnsi="仿宋" w:eastAsia="仿宋_GB2312"/>
          <w:color w:val="auto"/>
          <w:sz w:val="32"/>
          <w:highlight w:val="none"/>
        </w:rPr>
        <w:t>抵</w:t>
      </w:r>
      <w:r>
        <w:rPr>
          <w:rFonts w:ascii="仿宋_GB2312" w:hAnsi="仿宋" w:eastAsia="仿宋_GB2312"/>
          <w:color w:val="auto"/>
          <w:sz w:val="32"/>
          <w:highlight w:val="none"/>
        </w:rPr>
        <w:t>抗风险</w:t>
      </w:r>
      <w:r>
        <w:rPr>
          <w:rFonts w:hint="eastAsia" w:ascii="仿宋_GB2312" w:hAnsi="仿宋" w:eastAsia="仿宋_GB2312"/>
          <w:color w:val="auto"/>
          <w:sz w:val="32"/>
          <w:highlight w:val="none"/>
        </w:rPr>
        <w:t>的</w:t>
      </w:r>
      <w:r>
        <w:rPr>
          <w:rFonts w:ascii="仿宋_GB2312" w:hAnsi="仿宋" w:eastAsia="仿宋_GB2312"/>
          <w:color w:val="auto"/>
          <w:sz w:val="32"/>
          <w:highlight w:val="none"/>
        </w:rPr>
        <w:t>能力和灾后恢复</w:t>
      </w:r>
      <w:r>
        <w:rPr>
          <w:rFonts w:hint="eastAsia" w:ascii="仿宋_GB2312" w:hAnsi="仿宋" w:eastAsia="仿宋_GB2312"/>
          <w:color w:val="auto"/>
          <w:sz w:val="32"/>
          <w:highlight w:val="none"/>
        </w:rPr>
        <w:t>生产的</w:t>
      </w:r>
      <w:r>
        <w:rPr>
          <w:rFonts w:ascii="仿宋_GB2312" w:hAnsi="仿宋" w:eastAsia="仿宋_GB2312"/>
          <w:color w:val="auto"/>
          <w:sz w:val="32"/>
          <w:highlight w:val="none"/>
        </w:rPr>
        <w:t>能力，确保了农业生产和农民生活的稳定，</w:t>
      </w:r>
      <w:r>
        <w:rPr>
          <w:rFonts w:hint="eastAsia" w:ascii="仿宋_GB2312" w:hAnsi="仿宋" w:eastAsia="仿宋_GB2312"/>
          <w:color w:val="auto"/>
          <w:sz w:val="32"/>
          <w:highlight w:val="none"/>
        </w:rPr>
        <w:t>农民能够更加从容的面对农业生产中的风险，</w:t>
      </w:r>
      <w:r>
        <w:rPr>
          <w:rFonts w:ascii="仿宋_GB2312" w:hAnsi="仿宋" w:eastAsia="仿宋_GB2312"/>
          <w:color w:val="auto"/>
          <w:sz w:val="32"/>
          <w:highlight w:val="none"/>
        </w:rPr>
        <w:t>促进了国家</w:t>
      </w:r>
      <w:r>
        <w:rPr>
          <w:rFonts w:hint="eastAsia" w:ascii="仿宋_GB2312" w:hAnsi="仿宋" w:eastAsia="仿宋_GB2312"/>
          <w:color w:val="auto"/>
          <w:sz w:val="32"/>
          <w:highlight w:val="none"/>
        </w:rPr>
        <w:t>和我省</w:t>
      </w:r>
      <w:r>
        <w:rPr>
          <w:rFonts w:ascii="仿宋_GB2312" w:hAnsi="仿宋" w:eastAsia="仿宋_GB2312"/>
          <w:color w:val="auto"/>
          <w:sz w:val="32"/>
          <w:highlight w:val="none"/>
        </w:rPr>
        <w:t>农业产业政策、粮食安全战略和支农</w:t>
      </w:r>
      <w:r>
        <w:rPr>
          <w:rFonts w:hint="eastAsia" w:ascii="仿宋_GB2312" w:hAnsi="仿宋" w:eastAsia="仿宋_GB2312"/>
          <w:color w:val="auto"/>
          <w:sz w:val="32"/>
          <w:highlight w:val="none"/>
        </w:rPr>
        <w:t>惠农民生政策</w:t>
      </w:r>
      <w:r>
        <w:rPr>
          <w:rFonts w:ascii="仿宋_GB2312" w:hAnsi="仿宋" w:eastAsia="仿宋_GB2312"/>
          <w:color w:val="auto"/>
          <w:sz w:val="32"/>
          <w:highlight w:val="none"/>
        </w:rPr>
        <w:t>的落实</w:t>
      </w:r>
      <w:r>
        <w:rPr>
          <w:rFonts w:hint="eastAsia" w:ascii="仿宋_GB2312" w:hAnsi="仿宋" w:eastAsia="仿宋_GB2312"/>
          <w:color w:val="auto"/>
          <w:sz w:val="32"/>
          <w:highlight w:val="none"/>
        </w:rPr>
        <w:t>。</w:t>
      </w:r>
      <w:r>
        <w:rPr>
          <w:rFonts w:hint="eastAsia" w:ascii="仿宋_GB2312" w:eastAsia="仿宋_GB2312"/>
          <w:color w:val="auto"/>
          <w:sz w:val="32"/>
          <w:szCs w:val="36"/>
          <w:highlight w:val="none"/>
        </w:rPr>
        <w:t xml:space="preserve"> </w:t>
      </w:r>
    </w:p>
    <w:p>
      <w:pPr>
        <w:adjustRightInd w:val="0"/>
        <w:snapToGrid w:val="0"/>
        <w:spacing w:line="360" w:lineRule="auto"/>
        <w:ind w:firstLine="643" w:firstLineChars="200"/>
        <w:rPr>
          <w:rFonts w:ascii="仿宋_GB2312" w:hAnsi="仿宋" w:eastAsia="仿宋_GB2312"/>
          <w:color w:val="auto"/>
          <w:sz w:val="32"/>
          <w:highlight w:val="none"/>
        </w:rPr>
      </w:pPr>
      <w:r>
        <w:rPr>
          <w:rFonts w:hint="eastAsia" w:ascii="仿宋_GB2312" w:hAnsi="仿宋" w:eastAsia="仿宋_GB2312"/>
          <w:b/>
          <w:bCs/>
          <w:color w:val="auto"/>
          <w:sz w:val="32"/>
          <w:highlight w:val="none"/>
        </w:rPr>
        <w:t>二是政策性农业保险品种不断增加，参保数量持续增多，保费收入快速增长。</w:t>
      </w:r>
      <w:r>
        <w:rPr>
          <w:rFonts w:hint="eastAsia" w:ascii="仿宋_GB2312" w:hAnsi="仿宋" w:eastAsia="仿宋_GB2312"/>
          <w:color w:val="auto"/>
          <w:sz w:val="32"/>
          <w:highlight w:val="none"/>
        </w:rPr>
        <w:t>2018年，水稻制种、柑桔橙柚、农业</w:t>
      </w:r>
      <w:r>
        <w:rPr>
          <w:rFonts w:hint="eastAsia" w:ascii="仿宋_GB2312" w:hAnsi="Times New Roman" w:eastAsia="仿宋_GB2312"/>
          <w:color w:val="auto"/>
          <w:sz w:val="32"/>
          <w:highlight w:val="none"/>
        </w:rPr>
        <w:t>设施（</w:t>
      </w:r>
      <w:r>
        <w:rPr>
          <w:rFonts w:hint="eastAsia" w:ascii="仿宋_GB2312" w:hAnsi="仿宋" w:eastAsia="仿宋_GB2312"/>
          <w:color w:val="auto"/>
          <w:sz w:val="32"/>
          <w:highlight w:val="none"/>
        </w:rPr>
        <w:t>大棚）等3个新增险种在我省全面实施，政策性涉农保险品种累计达到21个。</w:t>
      </w:r>
    </w:p>
    <w:p>
      <w:pPr>
        <w:spacing w:line="360" w:lineRule="auto"/>
        <w:ind w:firstLine="643" w:firstLineChars="200"/>
        <w:rPr>
          <w:rFonts w:ascii="仿宋_GB2312" w:hAnsi="仿宋" w:eastAsia="仿宋_GB2312"/>
          <w:color w:val="auto"/>
          <w:sz w:val="32"/>
          <w:highlight w:val="none"/>
        </w:rPr>
      </w:pPr>
      <w:r>
        <w:rPr>
          <w:rFonts w:hint="eastAsia" w:ascii="仿宋_GB2312" w:hAnsi="仿宋" w:eastAsia="仿宋_GB2312"/>
          <w:b/>
          <w:bCs/>
          <w:color w:val="auto"/>
          <w:sz w:val="32"/>
          <w:highlight w:val="none"/>
        </w:rPr>
        <w:t>三是政策性农业保险项目已形成比较完善的服务体系。</w:t>
      </w:r>
      <w:r>
        <w:rPr>
          <w:rFonts w:hint="eastAsia" w:ascii="仿宋_GB2312" w:hAnsi="仿宋" w:eastAsia="仿宋_GB2312"/>
          <w:color w:val="auto"/>
          <w:sz w:val="32"/>
          <w:highlight w:val="none"/>
        </w:rPr>
        <w:t>各地市选定了7家政策性农业保险经办机构，镇一级基本建立了“三农”保险服务站，镇、行政村两级基本上配备了协保员。相关单位</w:t>
      </w:r>
      <w:r>
        <w:rPr>
          <w:rFonts w:ascii="仿宋_GB2312" w:hAnsi="仿宋" w:eastAsia="仿宋_GB2312"/>
          <w:color w:val="auto"/>
          <w:sz w:val="32"/>
          <w:highlight w:val="none"/>
        </w:rPr>
        <w:t>通力合作，多方联动，各司其职，形成了上下协同、责任落实、有序推进的工作格局</w:t>
      </w:r>
      <w:r>
        <w:rPr>
          <w:rFonts w:hint="eastAsia" w:ascii="仿宋_GB2312" w:hAnsi="仿宋" w:eastAsia="仿宋_GB2312"/>
          <w:color w:val="auto"/>
          <w:sz w:val="32"/>
          <w:highlight w:val="none"/>
        </w:rPr>
        <w:t>，为广大农民群众提供了较好的农险服务</w:t>
      </w:r>
      <w:r>
        <w:rPr>
          <w:rFonts w:ascii="仿宋_GB2312" w:hAnsi="仿宋" w:eastAsia="仿宋_GB2312"/>
          <w:color w:val="auto"/>
          <w:sz w:val="32"/>
          <w:highlight w:val="none"/>
        </w:rPr>
        <w:t>。</w:t>
      </w:r>
    </w:p>
    <w:p>
      <w:pPr>
        <w:spacing w:line="360" w:lineRule="auto"/>
        <w:ind w:firstLine="643" w:firstLineChars="200"/>
        <w:rPr>
          <w:rFonts w:ascii="仿宋_GB2312" w:eastAsia="仿宋_GB2312"/>
          <w:color w:val="auto"/>
          <w:sz w:val="32"/>
          <w:szCs w:val="36"/>
          <w:highlight w:val="none"/>
        </w:rPr>
      </w:pPr>
      <w:r>
        <w:rPr>
          <w:rFonts w:hint="eastAsia" w:ascii="仿宋_GB2312" w:hAnsi="仿宋" w:eastAsia="仿宋_GB2312"/>
          <w:b/>
          <w:bCs/>
          <w:color w:val="auto"/>
          <w:sz w:val="32"/>
          <w:szCs w:val="24"/>
          <w:highlight w:val="none"/>
        </w:rPr>
        <w:t>四是地方金融环境和保险行业的发展得到有效改善。</w:t>
      </w:r>
      <w:r>
        <w:rPr>
          <w:rFonts w:hint="eastAsia" w:ascii="仿宋_GB2312" w:hAnsi="仿宋" w:eastAsia="仿宋_GB2312"/>
          <w:color w:val="auto"/>
          <w:sz w:val="32"/>
          <w:szCs w:val="24"/>
          <w:highlight w:val="none"/>
        </w:rPr>
        <w:t>实施农业保险保费补贴政策，强化了金融机构与当地政府的合作，政府和金融机构形成稳定的合作关系，相辅相成，为地方民生保障和经济社会发展夯实了基础，营造了良性的发展氛围。</w:t>
      </w:r>
    </w:p>
    <w:p>
      <w:pPr>
        <w:spacing w:line="360" w:lineRule="auto"/>
        <w:ind w:firstLine="643"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2．多措并举提高我省防疫工作水平，动物疫病得到有效防控。</w:t>
      </w:r>
    </w:p>
    <w:p>
      <w:pPr>
        <w:snapToGrid w:val="0"/>
        <w:spacing w:line="360" w:lineRule="auto"/>
        <w:ind w:firstLine="643" w:firstLineChars="200"/>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一是我省各类防疫物资供应到位。</w:t>
      </w:r>
      <w:r>
        <w:rPr>
          <w:rFonts w:hint="eastAsia" w:ascii="仿宋_GB2312" w:hAnsi="仿宋" w:eastAsia="仿宋_GB2312"/>
          <w:color w:val="auto"/>
          <w:sz w:val="32"/>
          <w:szCs w:val="32"/>
          <w:highlight w:val="none"/>
        </w:rPr>
        <w:t>防疫工作准备充足，未发生区域性重大动物疫情流行。及时对</w:t>
      </w:r>
      <w:r>
        <w:rPr>
          <w:rFonts w:hint="eastAsia" w:ascii="仿宋_GB2312" w:hAnsi="仿宋_GB2312" w:eastAsia="仿宋_GB2312" w:cs="仿宋_GB2312"/>
          <w:color w:val="auto"/>
          <w:sz w:val="32"/>
          <w:szCs w:val="32"/>
          <w:highlight w:val="none"/>
        </w:rPr>
        <w:t>畜禽采取免疫、消毒、疫情监测、防疫、检疫监督等手段，通过动物卫生风险管理、动物及动物产品追溯体系建设、屠宰场视频监控、应急物资储备等，强化了动物疫病防控，降低了畜禽死亡率，有效减少疫情发生，保障了动物及动物产品质量安全。</w:t>
      </w:r>
    </w:p>
    <w:p>
      <w:pPr>
        <w:snapToGrid w:val="0"/>
        <w:spacing w:line="360" w:lineRule="auto"/>
        <w:ind w:firstLine="643" w:firstLineChars="200"/>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二是建成动物防疫和动物卫生监督信息化系统。</w:t>
      </w:r>
      <w:r>
        <w:rPr>
          <w:rFonts w:hint="eastAsia" w:ascii="仿宋_GB2312" w:hAnsi="仿宋" w:eastAsia="仿宋_GB2312"/>
          <w:color w:val="auto"/>
          <w:sz w:val="32"/>
          <w:szCs w:val="32"/>
          <w:highlight w:val="none"/>
        </w:rPr>
        <w:t>完成了省级平台与农业农村部中央平台对接工作，实现了跨省调运畜禽检疫证明关键信息的互联互通。</w:t>
      </w:r>
      <w:r>
        <w:rPr>
          <w:rFonts w:ascii="仿宋_GB2312" w:hAnsi="仿宋" w:eastAsia="仿宋_GB2312"/>
          <w:color w:val="auto"/>
          <w:sz w:val="32"/>
          <w:szCs w:val="32"/>
          <w:highlight w:val="none"/>
        </w:rPr>
        <w:t>2018年，我省二维码标识佩戴信息上传量5121.59万条，占全国总量的9.25%（首位）。</w:t>
      </w:r>
    </w:p>
    <w:p>
      <w:pPr>
        <w:snapToGrid w:val="0"/>
        <w:spacing w:line="360" w:lineRule="auto"/>
        <w:ind w:firstLine="643" w:firstLineChars="200"/>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三是我省成功建成了国际认可的广东从化无规定马属动物疫病区。</w:t>
      </w:r>
      <w:r>
        <w:rPr>
          <w:rFonts w:ascii="仿宋_GB2312" w:hAnsi="仿宋" w:eastAsia="仿宋_GB2312"/>
          <w:color w:val="auto"/>
          <w:sz w:val="32"/>
          <w:szCs w:val="32"/>
          <w:highlight w:val="none"/>
        </w:rPr>
        <w:t>2018年8月，香港赛马会从化马场正式运营，进驻马匹200多批。香港政府、香港赛马会都将从化马场项目作为粤港澳大湾区可实际操作的重大项目，并致力于合作开发。该项目已成为粤港携手推进大湾区建设的成功典范。</w:t>
      </w:r>
    </w:p>
    <w:p>
      <w:pPr>
        <w:spacing w:line="360" w:lineRule="auto"/>
        <w:ind w:firstLine="643" w:firstLineChars="200"/>
        <w:rPr>
          <w:rFonts w:hint="eastAsia" w:ascii="仿宋_GB2312" w:eastAsia="仿宋_GB2312"/>
          <w:b/>
          <w:bCs/>
          <w:color w:val="auto"/>
          <w:sz w:val="32"/>
          <w:szCs w:val="36"/>
          <w:highlight w:val="none"/>
        </w:rPr>
      </w:pPr>
      <w:r>
        <w:rPr>
          <w:rFonts w:hint="eastAsia" w:ascii="仿宋_GB2312" w:hAnsi="仿宋" w:eastAsia="仿宋_GB2312"/>
          <w:b/>
          <w:bCs/>
          <w:color w:val="auto"/>
          <w:sz w:val="32"/>
          <w:szCs w:val="32"/>
          <w:highlight w:val="none"/>
        </w:rPr>
        <w:t>四是我省重大动物疫病防控连续多年获得农业农村部通报表扬。</w:t>
      </w:r>
      <w:r>
        <w:rPr>
          <w:rFonts w:hint="eastAsia" w:ascii="仿宋_GB2312" w:hAnsi="仿宋" w:eastAsia="仿宋_GB2312"/>
          <w:color w:val="auto"/>
          <w:sz w:val="32"/>
          <w:szCs w:val="32"/>
          <w:highlight w:val="none"/>
        </w:rPr>
        <w:t>自2012年农业农村部对各省（区、市）开展重大动物疫病防控延伸绩效管理考核以来，我省2012、2013、2014、2015、2017年（2018年结果未出）在考核中获得优秀等次。</w:t>
      </w:r>
    </w:p>
    <w:p>
      <w:pPr>
        <w:spacing w:line="360" w:lineRule="auto"/>
        <w:ind w:firstLine="643"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3．农产品质量安全体系日趋完善，农产品质量安全得到有效保障。</w:t>
      </w:r>
    </w:p>
    <w:p>
      <w:pPr>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楷体_GB2312" w:eastAsia="仿宋_GB2312" w:cs="楷体_GB2312"/>
          <w:b/>
          <w:bCs/>
          <w:color w:val="auto"/>
          <w:sz w:val="32"/>
          <w:szCs w:val="32"/>
          <w:highlight w:val="none"/>
        </w:rPr>
        <w:t>一是设立应急监督抽查机制</w:t>
      </w:r>
      <w:bookmarkStart w:id="29" w:name="_Hlk14558649"/>
      <w:r>
        <w:rPr>
          <w:rFonts w:hint="eastAsia" w:ascii="仿宋_GB2312" w:hAnsi="楷体_GB2312" w:eastAsia="仿宋_GB2312" w:cs="楷体_GB2312"/>
          <w:b/>
          <w:bCs/>
          <w:color w:val="auto"/>
          <w:sz w:val="32"/>
          <w:szCs w:val="32"/>
          <w:highlight w:val="none"/>
        </w:rPr>
        <w:t>。</w:t>
      </w:r>
      <w:r>
        <w:rPr>
          <w:rFonts w:hint="eastAsia" w:ascii="仿宋_GB2312" w:hAnsi="楷体_GB2312" w:eastAsia="仿宋_GB2312" w:cs="楷体_GB2312"/>
          <w:color w:val="auto"/>
          <w:sz w:val="32"/>
          <w:szCs w:val="32"/>
          <w:highlight w:val="none"/>
        </w:rPr>
        <w:t>2018年中秋国庆期间</w:t>
      </w:r>
      <w:bookmarkEnd w:id="29"/>
      <w:r>
        <w:rPr>
          <w:rFonts w:hint="eastAsia" w:ascii="仿宋_GB2312" w:hAnsi="楷体_GB2312" w:eastAsia="仿宋_GB2312" w:cs="楷体_GB2312"/>
          <w:color w:val="auto"/>
          <w:sz w:val="32"/>
          <w:szCs w:val="32"/>
          <w:highlight w:val="none"/>
        </w:rPr>
        <w:t>，</w:t>
      </w:r>
      <w:r>
        <w:rPr>
          <w:rFonts w:hint="eastAsia" w:ascii="仿宋_GB2312" w:hAnsi="仿宋_GB2312" w:eastAsia="仿宋_GB2312" w:cs="仿宋_GB2312"/>
          <w:color w:val="auto"/>
          <w:sz w:val="32"/>
          <w:szCs w:val="32"/>
          <w:highlight w:val="none"/>
        </w:rPr>
        <w:t>共抽取蔬菜样品40个，监测蔬菜品种16个，监测14种农药，合格率为97.5%。共抽取畜禽产品30个，监测兽药残留，合格率为100%。</w:t>
      </w:r>
    </w:p>
    <w:p>
      <w:pPr>
        <w:spacing w:line="360" w:lineRule="auto"/>
        <w:ind w:firstLine="643" w:firstLineChars="200"/>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color w:val="auto"/>
          <w:sz w:val="32"/>
          <w:szCs w:val="32"/>
          <w:highlight w:val="none"/>
        </w:rPr>
        <w:t>二是确保例行监测工作落实到位。</w:t>
      </w:r>
      <w:r>
        <w:rPr>
          <w:rFonts w:hint="eastAsia" w:ascii="仿宋_GB2312" w:hAnsi="楷体_GB2312" w:eastAsia="仿宋_GB2312" w:cs="楷体_GB2312"/>
          <w:color w:val="auto"/>
          <w:sz w:val="32"/>
          <w:szCs w:val="32"/>
          <w:highlight w:val="none"/>
        </w:rPr>
        <w:t>例行进行蔬菜、畜禽产品的全省抽查、普查。全年例行抽查中，蔬菜</w:t>
      </w:r>
      <w:r>
        <w:rPr>
          <w:rFonts w:hint="eastAsia" w:ascii="仿宋_GB2312" w:hAnsi="仿宋_GB2312" w:eastAsia="仿宋_GB2312" w:cs="仿宋_GB2312"/>
          <w:color w:val="auto"/>
          <w:sz w:val="32"/>
          <w:szCs w:val="32"/>
          <w:highlight w:val="none"/>
        </w:rPr>
        <w:t>生产环节监测总体合格率为99.0%，生产环节禁限用农药残留合格率为99.3%，猪尿、猪肝和禽肉监测合格率均为100%，鸡蛋监测合格率为98.4%。全年例行普查中，蔬菜生产环节监测总体合格率为99.0%，生产环节禁限用农药残留合格率为99.5%，猪尿、猪肝和禽肉监测合格率均为100%，鸡蛋监测合格率为94.6%。</w:t>
      </w:r>
    </w:p>
    <w:p>
      <w:pPr>
        <w:spacing w:line="360" w:lineRule="auto"/>
        <w:ind w:firstLine="643" w:firstLineChars="200"/>
        <w:rPr>
          <w:rFonts w:ascii="仿宋_GB2312" w:hAnsi="仿宋_GB2312" w:eastAsia="仿宋_GB2312" w:cs="仿宋_GB2312"/>
          <w:color w:val="auto"/>
          <w:sz w:val="32"/>
          <w:szCs w:val="32"/>
          <w:highlight w:val="none"/>
        </w:rPr>
      </w:pPr>
      <w:r>
        <w:rPr>
          <w:rFonts w:hint="eastAsia" w:ascii="仿宋_GB2312" w:hAnsi="楷体_GB2312" w:eastAsia="仿宋_GB2312" w:cs="楷体_GB2312"/>
          <w:b/>
          <w:bCs/>
          <w:color w:val="auto"/>
          <w:sz w:val="32"/>
          <w:szCs w:val="32"/>
          <w:highlight w:val="none"/>
        </w:rPr>
        <w:t>三是推进蔬菜和畜禽产品的农药兽药残留风险评估监测。</w:t>
      </w:r>
      <w:r>
        <w:rPr>
          <w:rFonts w:hint="eastAsia" w:ascii="仿宋_GB2312" w:hAnsi="楷体_GB2312" w:eastAsia="仿宋_GB2312" w:cs="楷体_GB2312"/>
          <w:color w:val="auto"/>
          <w:sz w:val="32"/>
          <w:szCs w:val="32"/>
          <w:highlight w:val="none"/>
        </w:rPr>
        <w:t>在我省</w:t>
      </w:r>
      <w:r>
        <w:rPr>
          <w:rFonts w:hint="eastAsia" w:ascii="仿宋_GB2312" w:hAnsi="仿宋_GB2312" w:eastAsia="仿宋_GB2312" w:cs="仿宋_GB2312"/>
          <w:color w:val="auto"/>
          <w:sz w:val="32"/>
          <w:szCs w:val="32"/>
          <w:highlight w:val="none"/>
        </w:rPr>
        <w:t>蔬菜生产环节和市场销售环节共抽取样品400个进行农药残留风险评估，总体合格率为91.5%，其中生产环节合格率为94.5%、市场销售环节合格率为83.4%。抽取畜禽产品样品306个（其中猪肝82个、猪肉100个、鸡肉124个），总体合格率为99.7%。</w:t>
      </w:r>
    </w:p>
    <w:p>
      <w:pPr>
        <w:spacing w:line="360" w:lineRule="auto"/>
        <w:ind w:firstLine="643" w:firstLineChars="200"/>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color w:val="auto"/>
          <w:sz w:val="32"/>
          <w:szCs w:val="32"/>
          <w:highlight w:val="none"/>
        </w:rPr>
        <w:t>四是强化农畜产品专项监测，监测结果表现良好。</w:t>
      </w:r>
      <w:r>
        <w:rPr>
          <w:rFonts w:hint="eastAsia" w:ascii="仿宋_GB2312" w:hAnsi="楷体_GB2312" w:eastAsia="仿宋_GB2312" w:cs="楷体_GB2312"/>
          <w:color w:val="auto"/>
          <w:sz w:val="32"/>
          <w:szCs w:val="32"/>
          <w:highlight w:val="none"/>
        </w:rPr>
        <w:t>针对特殊农畜产品进行农药残留专项监测，涉及茶叶、食用菌、荔枝、龙眼、香蕉、鸡蛋、生鲜牛奶，合格率分别为100%、96.3%、98.6%、100%、100%、99.0%、100%。</w:t>
      </w:r>
    </w:p>
    <w:p>
      <w:pPr>
        <w:spacing w:line="360" w:lineRule="auto"/>
        <w:ind w:firstLine="643" w:firstLineChars="200"/>
        <w:rPr>
          <w:rFonts w:ascii="仿宋_GB2312" w:hAnsi="楷体_GB2312" w:eastAsia="仿宋_GB2312" w:cs="楷体_GB2312"/>
          <w:color w:val="auto"/>
          <w:sz w:val="32"/>
          <w:szCs w:val="32"/>
          <w:highlight w:val="none"/>
        </w:rPr>
      </w:pPr>
      <w:r>
        <w:rPr>
          <w:rFonts w:hint="eastAsia" w:ascii="仿宋_GB2312" w:hAnsi="楷体_GB2312" w:eastAsia="仿宋_GB2312" w:cs="楷体_GB2312"/>
          <w:b/>
          <w:bCs/>
          <w:color w:val="auto"/>
          <w:sz w:val="32"/>
          <w:szCs w:val="32"/>
          <w:highlight w:val="none"/>
        </w:rPr>
        <w:t>五是</w:t>
      </w:r>
      <w:r>
        <w:rPr>
          <w:rFonts w:hint="eastAsia" w:ascii="仿宋_GB2312" w:hAnsi="仿宋_GB2312" w:eastAsia="仿宋_GB2312" w:cs="仿宋_GB2312"/>
          <w:b/>
          <w:bCs/>
          <w:snapToGrid w:val="0"/>
          <w:color w:val="auto"/>
          <w:kern w:val="0"/>
          <w:sz w:val="32"/>
          <w:szCs w:val="32"/>
          <w:highlight w:val="none"/>
        </w:rPr>
        <w:t>健全农产品质量安全监管体系。</w:t>
      </w:r>
      <w:r>
        <w:rPr>
          <w:rFonts w:hint="eastAsia" w:ascii="仿宋_GB2312" w:hAnsi="楷体_GB2312" w:eastAsia="仿宋_GB2312" w:cs="楷体_GB2312"/>
          <w:color w:val="auto"/>
          <w:sz w:val="32"/>
          <w:szCs w:val="32"/>
          <w:highlight w:val="none"/>
        </w:rPr>
        <w:t>创建国家质量安全县（市）14个，</w:t>
      </w:r>
      <w:r>
        <w:rPr>
          <w:rFonts w:hint="eastAsia" w:ascii="仿宋_GB2312" w:hAnsi="仿宋_GB2312" w:eastAsia="仿宋_GB2312" w:cs="仿宋_GB2312"/>
          <w:snapToGrid w:val="0"/>
          <w:color w:val="auto"/>
          <w:kern w:val="0"/>
          <w:sz w:val="32"/>
          <w:szCs w:val="32"/>
          <w:highlight w:val="none"/>
        </w:rPr>
        <w:t>开展国家农产品质量安全追溯平台</w:t>
      </w:r>
      <w:r>
        <w:rPr>
          <w:rFonts w:hint="eastAsia" w:ascii="仿宋_GB2312" w:eastAsia="仿宋_GB2312"/>
          <w:snapToGrid w:val="0"/>
          <w:color w:val="auto"/>
          <w:kern w:val="0"/>
          <w:sz w:val="32"/>
          <w:szCs w:val="32"/>
          <w:highlight w:val="none"/>
        </w:rPr>
        <w:t>试运行</w:t>
      </w:r>
      <w:r>
        <w:rPr>
          <w:rFonts w:hint="eastAsia" w:ascii="仿宋_GB2312" w:hAnsi="仿宋_GB2312" w:eastAsia="仿宋_GB2312" w:cs="仿宋_GB2312"/>
          <w:snapToGrid w:val="0"/>
          <w:color w:val="auto"/>
          <w:kern w:val="0"/>
          <w:sz w:val="32"/>
          <w:szCs w:val="32"/>
          <w:highlight w:val="none"/>
        </w:rPr>
        <w:t>，</w:t>
      </w:r>
      <w:r>
        <w:rPr>
          <w:rFonts w:hint="eastAsia" w:ascii="仿宋_GB2312" w:hAnsi="仿宋" w:eastAsia="仿宋_GB2312" w:cs="仿宋"/>
          <w:snapToGrid w:val="0"/>
          <w:color w:val="auto"/>
          <w:kern w:val="0"/>
          <w:sz w:val="32"/>
          <w:szCs w:val="32"/>
          <w:highlight w:val="none"/>
        </w:rPr>
        <w:t>推进屠宰企业产加销融合和标准化创建。深</w:t>
      </w:r>
      <w:r>
        <w:rPr>
          <w:rFonts w:hint="eastAsia" w:ascii="仿宋_GB2312" w:hAnsi="仿宋_GB2312" w:eastAsia="仿宋_GB2312" w:cs="仿宋_GB2312"/>
          <w:snapToGrid w:val="0"/>
          <w:color w:val="auto"/>
          <w:kern w:val="0"/>
          <w:sz w:val="32"/>
          <w:szCs w:val="32"/>
          <w:highlight w:val="none"/>
        </w:rPr>
        <w:t>入推进农药、兽用抗菌药、生猪屠宰、“瘦肉精”、生鲜乳、农资打假等专项整治行动，努力将农产品例行监测</w:t>
      </w:r>
      <w:r>
        <w:rPr>
          <w:rFonts w:hint="eastAsia" w:ascii="仿宋_GB2312" w:hAnsi="仿宋" w:eastAsia="仿宋_GB2312" w:cs="仿宋"/>
          <w:snapToGrid w:val="0"/>
          <w:color w:val="auto"/>
          <w:kern w:val="0"/>
          <w:sz w:val="32"/>
          <w:szCs w:val="32"/>
          <w:highlight w:val="none"/>
        </w:rPr>
        <w:t>合格率稳定在97%以上，确保不发生重大农产品质量安全事件。</w:t>
      </w:r>
      <w:r>
        <w:rPr>
          <w:rFonts w:hint="eastAsia" w:ascii="仿宋_GB2312" w:hAnsi="楷体_GB2312" w:eastAsia="仿宋_GB2312" w:cs="楷体_GB2312"/>
          <w:color w:val="auto"/>
          <w:sz w:val="32"/>
          <w:szCs w:val="32"/>
          <w:highlight w:val="none"/>
        </w:rPr>
        <w:t>积极开展全省农产品质量安全检测技术能力验证工作。全省154个农产品检验检测机构（或实验室）参加了此次能力验证，比上年增加40个，已通过农产品质量安全检验检测机构考核合格的单位106个，增加15个。能力验证总体合格率79.2%，资质单位总体合格率86.8%。</w:t>
      </w:r>
    </w:p>
    <w:p>
      <w:pPr>
        <w:spacing w:line="360" w:lineRule="auto"/>
        <w:ind w:firstLine="643" w:firstLineChars="200"/>
        <w:rPr>
          <w:rFonts w:ascii="仿宋_GB2312" w:eastAsia="仿宋_GB2312"/>
          <w:color w:val="auto"/>
          <w:sz w:val="32"/>
          <w:szCs w:val="36"/>
          <w:highlight w:val="none"/>
        </w:rPr>
      </w:pPr>
      <w:r>
        <w:rPr>
          <w:rFonts w:hint="eastAsia" w:ascii="仿宋_GB2312" w:eastAsia="仿宋_GB2312"/>
          <w:b/>
          <w:bCs/>
          <w:color w:val="auto"/>
          <w:sz w:val="32"/>
          <w:szCs w:val="36"/>
          <w:highlight w:val="none"/>
        </w:rPr>
        <w:t>4．</w:t>
      </w:r>
      <w:r>
        <w:rPr>
          <w:rFonts w:hint="eastAsia" w:ascii="楷体_GB2312" w:hAnsi="仿宋_GB2312" w:eastAsia="楷体_GB2312" w:cs="仿宋_GB2312"/>
          <w:b/>
          <w:color w:val="auto"/>
          <w:sz w:val="32"/>
          <w:szCs w:val="48"/>
          <w:highlight w:val="none"/>
        </w:rPr>
        <w:t>推进农业绿色发展，有效落实污染防治工作。</w:t>
      </w:r>
    </w:p>
    <w:p>
      <w:pPr>
        <w:pStyle w:val="34"/>
        <w:spacing w:line="360" w:lineRule="auto"/>
        <w:ind w:firstLine="643"/>
        <w:rPr>
          <w:rFonts w:ascii="仿宋_GB2312" w:hAnsi="仿宋" w:eastAsia="仿宋_GB2312" w:cs="仿宋"/>
          <w:color w:val="auto"/>
          <w:sz w:val="32"/>
          <w:szCs w:val="32"/>
          <w:highlight w:val="none"/>
        </w:rPr>
      </w:pPr>
      <w:r>
        <w:rPr>
          <w:rFonts w:hint="eastAsia" w:ascii="仿宋_GB2312" w:hAnsi="楷体" w:eastAsia="仿宋_GB2312" w:cs="楷体"/>
          <w:b/>
          <w:bCs/>
          <w:color w:val="auto"/>
          <w:sz w:val="32"/>
          <w:szCs w:val="32"/>
          <w:highlight w:val="none"/>
        </w:rPr>
        <w:t>一是规模质量不断提升，年度目标全面完成。</w:t>
      </w:r>
      <w:r>
        <w:rPr>
          <w:rFonts w:hint="eastAsia" w:ascii="仿宋_GB2312" w:hAnsi="楷体" w:eastAsia="仿宋_GB2312" w:cs="楷体"/>
          <w:color w:val="auto"/>
          <w:sz w:val="32"/>
          <w:szCs w:val="32"/>
          <w:highlight w:val="none"/>
        </w:rPr>
        <w:t>我省</w:t>
      </w:r>
      <w:r>
        <w:rPr>
          <w:rFonts w:hint="eastAsia" w:ascii="仿宋_GB2312" w:hAnsi="仿宋" w:eastAsia="仿宋_GB2312" w:cs="仿宋"/>
          <w:color w:val="auto"/>
          <w:sz w:val="32"/>
          <w:szCs w:val="32"/>
          <w:highlight w:val="none"/>
        </w:rPr>
        <w:t>环境友好型种植业示范工程快速发展，从2014年的2市、6县、6镇、50个村、1.2万个农户、7.2万亩农田，逐步发展到2018年的10市、27县、98镇、596个村、13.4万个农户、69.2万亩农田。项目终期考核任务指标中，农药使用总减量等9个指标已全面完成，部分指标超额完成。</w:t>
      </w:r>
    </w:p>
    <w:p>
      <w:pPr>
        <w:adjustRightInd w:val="0"/>
        <w:snapToGrid w:val="0"/>
        <w:spacing w:line="360" w:lineRule="auto"/>
        <w:ind w:firstLine="643" w:firstLineChars="200"/>
        <w:rPr>
          <w:rFonts w:ascii="仿宋" w:hAnsi="仿宋" w:eastAsia="仿宋" w:cs="仿宋"/>
          <w:snapToGrid w:val="0"/>
          <w:color w:val="auto"/>
          <w:kern w:val="0"/>
          <w:sz w:val="32"/>
          <w:szCs w:val="32"/>
          <w:highlight w:val="none"/>
        </w:rPr>
      </w:pPr>
      <w:r>
        <w:rPr>
          <w:rFonts w:hint="eastAsia" w:ascii="仿宋_GB2312" w:hAnsi="楷体" w:eastAsia="仿宋_GB2312" w:cs="楷体"/>
          <w:b/>
          <w:bCs/>
          <w:color w:val="auto"/>
          <w:sz w:val="32"/>
          <w:szCs w:val="32"/>
          <w:highlight w:val="none"/>
        </w:rPr>
        <w:t>二是创新机制稳定运行，为绿色发展提供经验。</w:t>
      </w:r>
      <w:r>
        <w:rPr>
          <w:rFonts w:hint="eastAsia" w:ascii="仿宋_GB2312" w:hAnsi="仿宋" w:eastAsia="仿宋_GB2312" w:cs="仿宋"/>
          <w:snapToGrid w:val="0"/>
          <w:color w:val="auto"/>
          <w:kern w:val="0"/>
          <w:sz w:val="32"/>
          <w:szCs w:val="32"/>
          <w:highlight w:val="none"/>
        </w:rPr>
        <w:t>项目成功探索出农业面源污染治理补偿机制、技术推广激励机制和高床生态养殖、南方保护性耕</w:t>
      </w:r>
      <w:r>
        <w:rPr>
          <w:rFonts w:hint="eastAsia" w:ascii="仿宋" w:hAnsi="仿宋" w:eastAsia="仿宋" w:cs="仿宋"/>
          <w:snapToGrid w:val="0"/>
          <w:color w:val="auto"/>
          <w:kern w:val="0"/>
          <w:sz w:val="32"/>
          <w:szCs w:val="32"/>
          <w:highlight w:val="none"/>
        </w:rPr>
        <w:t>作、能源环保型、能源生态型等农业绿色生产新机制新模式。</w:t>
      </w:r>
      <w:r>
        <w:rPr>
          <w:rFonts w:hint="eastAsia" w:ascii="仿宋" w:hAnsi="仿宋" w:eastAsia="仿宋" w:cs="仿宋"/>
          <w:color w:val="auto"/>
          <w:sz w:val="32"/>
          <w:szCs w:val="32"/>
          <w:highlight w:val="none"/>
        </w:rPr>
        <w:t>启动农业面源污染治理综合政策研究，为</w:t>
      </w:r>
      <w:r>
        <w:rPr>
          <w:rFonts w:hint="eastAsia" w:ascii="仿宋" w:hAnsi="仿宋" w:eastAsia="仿宋" w:cs="仿宋"/>
          <w:bCs/>
          <w:color w:val="auto"/>
          <w:sz w:val="32"/>
          <w:szCs w:val="32"/>
          <w:highlight w:val="none"/>
        </w:rPr>
        <w:t>推进农业绿色发展持续提供可借鉴经验。</w:t>
      </w:r>
    </w:p>
    <w:p>
      <w:pPr>
        <w:adjustRightInd w:val="0"/>
        <w:snapToGrid w:val="0"/>
        <w:spacing w:line="360" w:lineRule="auto"/>
        <w:ind w:firstLine="643" w:firstLineChars="200"/>
        <w:rPr>
          <w:rFonts w:ascii="仿宋" w:hAnsi="仿宋" w:eastAsia="仿宋" w:cs="仿宋"/>
          <w:snapToGrid w:val="0"/>
          <w:color w:val="auto"/>
          <w:kern w:val="0"/>
          <w:sz w:val="32"/>
          <w:szCs w:val="32"/>
          <w:highlight w:val="none"/>
        </w:rPr>
      </w:pPr>
      <w:r>
        <w:rPr>
          <w:rFonts w:hint="eastAsia" w:ascii="仿宋" w:hAnsi="仿宋" w:eastAsia="仿宋" w:cs="仿宋"/>
          <w:b/>
          <w:bCs/>
          <w:snapToGrid w:val="0"/>
          <w:color w:val="auto"/>
          <w:kern w:val="0"/>
          <w:sz w:val="32"/>
          <w:szCs w:val="32"/>
          <w:highlight w:val="none"/>
        </w:rPr>
        <w:t>三是农村环境明显改善，农民主体热情高涨。</w:t>
      </w:r>
      <w:r>
        <w:rPr>
          <w:rFonts w:hint="eastAsia" w:ascii="仿宋" w:hAnsi="仿宋" w:eastAsia="仿宋" w:cs="仿宋"/>
          <w:snapToGrid w:val="0"/>
          <w:kern w:val="0"/>
          <w:sz w:val="32"/>
          <w:szCs w:val="32"/>
        </w:rPr>
        <w:t>根据第三方机构监测，2018年项目农户比项目前平均每亩减施化肥30.6%，减施农药30.9%</w:t>
      </w:r>
      <w:r>
        <w:rPr>
          <w:rFonts w:hint="eastAsia" w:ascii="仿宋" w:hAnsi="仿宋" w:eastAsia="仿宋" w:cs="仿宋"/>
          <w:sz w:val="32"/>
          <w:szCs w:val="32"/>
        </w:rPr>
        <w:t>，全年减少化肥使用量</w:t>
      </w:r>
      <w:r>
        <w:rPr>
          <w:rFonts w:ascii="仿宋" w:hAnsi="仿宋" w:eastAsia="仿宋" w:cs="仿宋"/>
          <w:sz w:val="32"/>
          <w:szCs w:val="32"/>
        </w:rPr>
        <w:t>1.97</w:t>
      </w:r>
      <w:r>
        <w:rPr>
          <w:rFonts w:hint="eastAsia" w:ascii="仿宋" w:hAnsi="仿宋" w:eastAsia="仿宋" w:cs="仿宋"/>
          <w:sz w:val="32"/>
          <w:szCs w:val="32"/>
        </w:rPr>
        <w:t>万吨（商品量），减少农药使用量</w:t>
      </w:r>
      <w:r>
        <w:rPr>
          <w:rFonts w:ascii="仿宋" w:hAnsi="仿宋" w:eastAsia="仿宋" w:cs="仿宋"/>
          <w:sz w:val="32"/>
          <w:szCs w:val="32"/>
        </w:rPr>
        <w:t>367</w:t>
      </w:r>
      <w:r>
        <w:rPr>
          <w:rFonts w:hint="eastAsia" w:ascii="仿宋" w:hAnsi="仿宋" w:eastAsia="仿宋" w:cs="仿宋"/>
          <w:sz w:val="32"/>
          <w:szCs w:val="32"/>
        </w:rPr>
        <w:t>吨（有效成分），项目累计减少化肥</w:t>
      </w:r>
      <w:r>
        <w:rPr>
          <w:rFonts w:ascii="仿宋" w:hAnsi="仿宋" w:eastAsia="仿宋" w:cs="仿宋"/>
          <w:sz w:val="32"/>
          <w:szCs w:val="32"/>
        </w:rPr>
        <w:t>3.3</w:t>
      </w:r>
      <w:r>
        <w:rPr>
          <w:rFonts w:hint="eastAsia" w:ascii="仿宋" w:hAnsi="仿宋" w:eastAsia="仿宋" w:cs="仿宋"/>
          <w:sz w:val="32"/>
          <w:szCs w:val="32"/>
        </w:rPr>
        <w:t>万吨，农药</w:t>
      </w:r>
      <w:r>
        <w:rPr>
          <w:rFonts w:ascii="仿宋" w:hAnsi="仿宋" w:eastAsia="仿宋" w:cs="仿宋"/>
          <w:sz w:val="32"/>
          <w:szCs w:val="32"/>
        </w:rPr>
        <w:t>699</w:t>
      </w:r>
      <w:r>
        <w:rPr>
          <w:rFonts w:hint="eastAsia" w:ascii="仿宋" w:hAnsi="仿宋" w:eastAsia="仿宋" w:cs="仿宋"/>
          <w:sz w:val="32"/>
          <w:szCs w:val="32"/>
        </w:rPr>
        <w:t>吨（有效成分）。</w:t>
      </w:r>
      <w:r>
        <w:rPr>
          <w:rFonts w:hint="eastAsia" w:ascii="仿宋" w:hAnsi="仿宋" w:eastAsia="仿宋" w:cs="仿宋"/>
          <w:color w:val="auto"/>
          <w:sz w:val="32"/>
          <w:szCs w:val="32"/>
          <w:highlight w:val="none"/>
        </w:rPr>
        <w:t>项目区农药包装废弃物基本回收，农田水质和土壤改善，生物种群增多，农户参与农业面源污染治理的热情高涨；高床养殖年出栏1万头商品猪，生产高质量有机肥800吨，</w:t>
      </w:r>
      <w:r>
        <w:rPr>
          <w:rFonts w:hint="eastAsia" w:ascii="仿宋" w:hAnsi="仿宋" w:eastAsia="仿宋" w:cs="仿宋"/>
          <w:bCs/>
          <w:color w:val="auto"/>
          <w:sz w:val="32"/>
          <w:szCs w:val="32"/>
          <w:highlight w:val="none"/>
        </w:rPr>
        <w:t>存栏万头传统养殖场废弃物处理系统每天可产生沼气约1000立方米,配备沼气发电机全部用于发电，可发电1430度，创收985元，折算每年约36万元。</w:t>
      </w:r>
    </w:p>
    <w:p>
      <w:pPr>
        <w:adjustRightInd w:val="0"/>
        <w:snapToGrid w:val="0"/>
        <w:spacing w:line="360" w:lineRule="auto"/>
        <w:ind w:firstLine="643" w:firstLineChars="200"/>
        <w:rPr>
          <w:rFonts w:ascii="仿宋" w:hAnsi="仿宋" w:eastAsia="仿宋" w:cs="仿宋"/>
          <w:snapToGrid w:val="0"/>
          <w:color w:val="auto"/>
          <w:kern w:val="0"/>
          <w:sz w:val="32"/>
          <w:szCs w:val="32"/>
          <w:highlight w:val="none"/>
        </w:rPr>
      </w:pPr>
      <w:r>
        <w:rPr>
          <w:rFonts w:hint="eastAsia" w:ascii="仿宋" w:hAnsi="仿宋" w:eastAsia="仿宋" w:cs="仿宋"/>
          <w:b/>
          <w:bCs/>
          <w:color w:val="auto"/>
          <w:sz w:val="32"/>
          <w:szCs w:val="32"/>
          <w:highlight w:val="none"/>
        </w:rPr>
        <w:t>四是队伍素质不断增强，乡村振兴保障有力。</w:t>
      </w:r>
      <w:r>
        <w:rPr>
          <w:rFonts w:hint="eastAsia" w:ascii="仿宋" w:hAnsi="仿宋" w:eastAsia="仿宋" w:cs="仿宋"/>
          <w:color w:val="auto"/>
          <w:sz w:val="32"/>
          <w:szCs w:val="32"/>
          <w:highlight w:val="none"/>
        </w:rPr>
        <w:t>召开保护性耕作现场培训、新增农资店主培训、高床养殖研讨会等，</w:t>
      </w:r>
      <w:r>
        <w:rPr>
          <w:rFonts w:hint="eastAsia" w:ascii="仿宋" w:hAnsi="仿宋" w:eastAsia="仿宋" w:cs="仿宋"/>
          <w:kern w:val="0"/>
          <w:sz w:val="32"/>
          <w:szCs w:val="32"/>
        </w:rPr>
        <w:t>2018年共</w:t>
      </w:r>
      <w:r>
        <w:rPr>
          <w:rFonts w:hint="eastAsia" w:ascii="仿宋" w:hAnsi="仿宋" w:eastAsia="仿宋"/>
          <w:sz w:val="32"/>
          <w:szCs w:val="32"/>
        </w:rPr>
        <w:t>培训</w:t>
      </w:r>
      <w:r>
        <w:rPr>
          <w:rFonts w:hint="eastAsia" w:ascii="仿宋" w:hAnsi="仿宋" w:eastAsia="仿宋" w:cs="仿宋"/>
          <w:kern w:val="0"/>
          <w:sz w:val="32"/>
          <w:szCs w:val="32"/>
        </w:rPr>
        <w:t>5.</w:t>
      </w:r>
      <w:r>
        <w:rPr>
          <w:rFonts w:ascii="仿宋" w:hAnsi="仿宋" w:eastAsia="仿宋" w:cs="仿宋"/>
          <w:kern w:val="0"/>
          <w:sz w:val="32"/>
          <w:szCs w:val="32"/>
        </w:rPr>
        <w:t>6</w:t>
      </w:r>
      <w:r>
        <w:rPr>
          <w:rFonts w:hint="eastAsia" w:ascii="仿宋" w:hAnsi="仿宋" w:eastAsia="仿宋" w:cs="仿宋"/>
          <w:kern w:val="0"/>
          <w:sz w:val="32"/>
          <w:szCs w:val="32"/>
        </w:rPr>
        <w:t>万人次，其中农户</w:t>
      </w:r>
      <w:r>
        <w:rPr>
          <w:rFonts w:ascii="仿宋" w:hAnsi="仿宋" w:eastAsia="仿宋" w:cs="仿宋"/>
          <w:kern w:val="0"/>
          <w:sz w:val="32"/>
          <w:szCs w:val="32"/>
        </w:rPr>
        <w:t>5.3</w:t>
      </w:r>
      <w:r>
        <w:rPr>
          <w:rFonts w:hint="eastAsia" w:ascii="仿宋" w:hAnsi="仿宋" w:eastAsia="仿宋" w:cs="仿宋"/>
          <w:kern w:val="0"/>
          <w:sz w:val="32"/>
          <w:szCs w:val="32"/>
        </w:rPr>
        <w:t>万人次。累计</w:t>
      </w:r>
      <w:r>
        <w:rPr>
          <w:rFonts w:hint="eastAsia" w:ascii="仿宋" w:hAnsi="仿宋" w:eastAsia="仿宋"/>
          <w:color w:val="auto"/>
          <w:sz w:val="32"/>
          <w:szCs w:val="32"/>
          <w:highlight w:val="none"/>
        </w:rPr>
        <w:t>培养绿色农业管理人员281名，专家技术人员1300名，在农村广泛开展减肥减药控污政策宣传和技术指导，是推进我省农业绿色发展的有力保障。</w:t>
      </w:r>
      <w:r>
        <w:rPr>
          <w:rFonts w:hint="eastAsia" w:ascii="楷体" w:hAnsi="楷体" w:eastAsia="楷体" w:cs="楷体"/>
          <w:color w:val="auto"/>
          <w:sz w:val="32"/>
          <w:szCs w:val="32"/>
          <w:highlight w:val="none"/>
        </w:rPr>
        <w:t xml:space="preserve"> </w:t>
      </w:r>
    </w:p>
    <w:p>
      <w:pPr>
        <w:spacing w:line="360" w:lineRule="auto"/>
        <w:ind w:firstLine="643"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5．农业综合执法体系建设日趋完善，农业救灾与粮食应急种子储备保障到位。</w:t>
      </w:r>
    </w:p>
    <w:p>
      <w:pPr>
        <w:adjustRightInd w:val="0"/>
        <w:snapToGrid w:val="0"/>
        <w:spacing w:line="360" w:lineRule="auto"/>
        <w:ind w:firstLine="643" w:firstLineChars="200"/>
        <w:rPr>
          <w:rFonts w:ascii="仿宋_GB2312" w:hAnsi="宋体" w:eastAsia="仿宋_GB2312" w:cs="宋体"/>
          <w:snapToGrid w:val="0"/>
          <w:color w:val="auto"/>
          <w:kern w:val="0"/>
          <w:sz w:val="32"/>
          <w:szCs w:val="32"/>
          <w:highlight w:val="none"/>
          <w:lang w:val="zh-CN"/>
        </w:rPr>
      </w:pPr>
      <w:r>
        <w:rPr>
          <w:rFonts w:hint="eastAsia" w:ascii="仿宋_GB2312" w:eastAsia="仿宋_GB2312"/>
          <w:b/>
          <w:bCs/>
          <w:color w:val="auto"/>
          <w:sz w:val="32"/>
          <w:szCs w:val="32"/>
          <w:highlight w:val="none"/>
        </w:rPr>
        <w:t>一是</w:t>
      </w:r>
      <w:r>
        <w:rPr>
          <w:rFonts w:hint="eastAsia" w:ascii="仿宋_GB2312" w:hAnsi="宋体" w:eastAsia="仿宋_GB2312" w:cs="宋体"/>
          <w:b/>
          <w:bCs/>
          <w:snapToGrid w:val="0"/>
          <w:color w:val="auto"/>
          <w:kern w:val="0"/>
          <w:sz w:val="32"/>
          <w:szCs w:val="32"/>
          <w:highlight w:val="none"/>
          <w:lang w:val="zh-CN"/>
        </w:rPr>
        <w:t>扎实开展农业综合执法体系建设。</w:t>
      </w:r>
      <w:r>
        <w:rPr>
          <w:rFonts w:hint="eastAsia" w:ascii="仿宋_GB2312" w:hAnsi="宋体" w:eastAsia="仿宋_GB2312" w:cs="宋体"/>
          <w:snapToGrid w:val="0"/>
          <w:color w:val="auto"/>
          <w:kern w:val="0"/>
          <w:sz w:val="32"/>
          <w:szCs w:val="32"/>
          <w:highlight w:val="none"/>
          <w:lang w:val="zh-CN"/>
        </w:rPr>
        <w:t>深入落实安全生产、应急管理、涉外渔业安全、粤港澳流动渔民管理等工作。推进农业领域扫黑除恶专项斗争，全省没有发生重特大农业生产安全事故。渔业执法有力有效，查获违规捕捞渔船1300艘，没收涉渔“三无”船舶572艘，清理取缔违规网具13.5万米，联合广西、海南开展区域联合执法，会同福建、港澳共同打击交界水域违法行为。</w:t>
      </w:r>
    </w:p>
    <w:p>
      <w:pPr>
        <w:spacing w:line="360" w:lineRule="auto"/>
        <w:ind w:firstLine="643" w:firstLineChars="200"/>
        <w:rPr>
          <w:rFonts w:ascii="仿宋_GB2312" w:hAnsi="仿宋" w:eastAsia="仿宋_GB2312"/>
          <w:color w:val="auto"/>
          <w:sz w:val="32"/>
          <w:szCs w:val="32"/>
          <w:highlight w:val="none"/>
        </w:rPr>
      </w:pPr>
      <w:r>
        <w:rPr>
          <w:rFonts w:hint="eastAsia" w:ascii="仿宋_GB2312" w:eastAsia="仿宋_GB2312"/>
          <w:b/>
          <w:bCs/>
          <w:color w:val="auto"/>
          <w:sz w:val="32"/>
          <w:szCs w:val="32"/>
          <w:highlight w:val="none"/>
        </w:rPr>
        <w:t>二是</w:t>
      </w:r>
      <w:r>
        <w:rPr>
          <w:rFonts w:hint="eastAsia" w:ascii="仿宋_GB2312" w:hAnsi="仿宋" w:eastAsia="仿宋_GB2312"/>
          <w:b/>
          <w:bCs/>
          <w:color w:val="auto"/>
          <w:sz w:val="32"/>
          <w:szCs w:val="32"/>
          <w:highlight w:val="none"/>
        </w:rPr>
        <w:t>全力支援我省农业救灾工作。</w:t>
      </w:r>
      <w:r>
        <w:rPr>
          <w:rFonts w:hint="eastAsia" w:ascii="仿宋_GB2312" w:hAnsi="仿宋" w:eastAsia="仿宋_GB2312"/>
          <w:color w:val="auto"/>
          <w:sz w:val="32"/>
          <w:szCs w:val="32"/>
          <w:highlight w:val="none"/>
        </w:rPr>
        <w:t>做好国家救灾备荒种子储备和救灾复产工作，全年根据我省局部地区发生的灾情，共调用省级粮食应急种子16.2万公斤，用于灾区恢复粮食生产，补种改种水稻和甜糯玉米超过10万亩，对稳定我省粮食生产和维护灾区社会稳定起到良好作用。</w:t>
      </w:r>
    </w:p>
    <w:p>
      <w:pPr>
        <w:spacing w:line="360" w:lineRule="auto"/>
        <w:ind w:firstLine="643" w:firstLineChars="200"/>
        <w:rPr>
          <w:color w:val="auto"/>
          <w:highlight w:val="none"/>
        </w:rPr>
      </w:pPr>
      <w:r>
        <w:rPr>
          <w:rFonts w:hint="eastAsia" w:ascii="仿宋_GB2312" w:hAnsi="仿宋" w:eastAsia="仿宋_GB2312"/>
          <w:b/>
          <w:bCs/>
          <w:color w:val="auto"/>
          <w:sz w:val="32"/>
          <w:szCs w:val="32"/>
          <w:highlight w:val="none"/>
        </w:rPr>
        <w:t>三是储备种子按时入库，储备到位。</w:t>
      </w:r>
      <w:r>
        <w:rPr>
          <w:rFonts w:hint="eastAsia" w:ascii="仿宋_GB2312" w:hAnsi="仿宋" w:eastAsia="仿宋_GB2312"/>
          <w:color w:val="auto"/>
          <w:sz w:val="32"/>
          <w:szCs w:val="32"/>
          <w:highlight w:val="none"/>
        </w:rPr>
        <w:t>储备期间种子质量、数量、调拨救灾等情况实行动态管理，储备种子质量、数量符合要求。</w:t>
      </w:r>
      <w:r>
        <w:rPr>
          <w:rFonts w:hint="eastAsia" w:ascii="仿宋_GB2312" w:hAnsi="仿宋_GB2312" w:eastAsia="仿宋_GB2312" w:cs="仿宋_GB2312"/>
          <w:snapToGrid w:val="0"/>
          <w:color w:val="auto"/>
          <w:kern w:val="0"/>
          <w:sz w:val="32"/>
          <w:szCs w:val="32"/>
          <w:highlight w:val="none"/>
        </w:rPr>
        <w:t>不断完善储备种子管理制度，落实监管措施，把好储备种子入库关和质量关，指导承储单位建立完善储备档案，强化对储备工作的监督管理。</w:t>
      </w:r>
    </w:p>
    <w:p>
      <w:pPr>
        <w:spacing w:line="360" w:lineRule="auto"/>
        <w:ind w:firstLine="643" w:firstLineChars="200"/>
        <w:outlineLvl w:val="1"/>
        <w:rPr>
          <w:rFonts w:ascii="楷体_GB2312" w:eastAsia="楷体_GB2312"/>
          <w:b/>
          <w:bCs/>
          <w:color w:val="auto"/>
          <w:sz w:val="32"/>
          <w:szCs w:val="36"/>
          <w:highlight w:val="none"/>
        </w:rPr>
      </w:pPr>
      <w:bookmarkStart w:id="30" w:name="_Toc15159450"/>
      <w:r>
        <w:rPr>
          <w:rFonts w:hint="eastAsia" w:ascii="楷体_GB2312" w:eastAsia="楷体_GB2312"/>
          <w:b/>
          <w:bCs/>
          <w:color w:val="auto"/>
          <w:sz w:val="32"/>
          <w:szCs w:val="36"/>
          <w:highlight w:val="none"/>
        </w:rPr>
        <w:t>（二）存在问题</w:t>
      </w:r>
      <w:bookmarkEnd w:id="30"/>
    </w:p>
    <w:p>
      <w:pPr>
        <w:spacing w:line="360" w:lineRule="auto"/>
        <w:ind w:firstLine="643"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1．实施</w:t>
      </w:r>
      <w:r>
        <w:rPr>
          <w:rFonts w:ascii="仿宋_GB2312" w:eastAsia="仿宋_GB2312"/>
          <w:b/>
          <w:bCs/>
          <w:color w:val="auto"/>
          <w:sz w:val="32"/>
          <w:szCs w:val="36"/>
          <w:highlight w:val="none"/>
        </w:rPr>
        <w:t>省级专项转移支付</w:t>
      </w:r>
      <w:r>
        <w:rPr>
          <w:rFonts w:hint="eastAsia" w:ascii="仿宋_GB2312" w:eastAsia="仿宋_GB2312"/>
          <w:b/>
          <w:bCs/>
          <w:color w:val="auto"/>
          <w:sz w:val="32"/>
          <w:szCs w:val="36"/>
          <w:highlight w:val="none"/>
        </w:rPr>
        <w:t>“</w:t>
      </w:r>
      <w:r>
        <w:rPr>
          <w:rFonts w:ascii="仿宋_GB2312" w:eastAsia="仿宋_GB2312"/>
          <w:b/>
          <w:bCs/>
          <w:color w:val="auto"/>
          <w:sz w:val="32"/>
          <w:szCs w:val="36"/>
          <w:highlight w:val="none"/>
        </w:rPr>
        <w:t>大专项+任务</w:t>
      </w:r>
      <w:r>
        <w:rPr>
          <w:rFonts w:hint="eastAsia" w:ascii="仿宋_GB2312" w:eastAsia="仿宋_GB2312"/>
          <w:b/>
          <w:bCs/>
          <w:color w:val="auto"/>
          <w:sz w:val="32"/>
          <w:szCs w:val="36"/>
          <w:highlight w:val="none"/>
        </w:rPr>
        <w:t>清单”管理方式的经验不足。</w:t>
      </w:r>
    </w:p>
    <w:p>
      <w:pPr>
        <w:spacing w:line="360" w:lineRule="auto"/>
        <w:ind w:firstLine="624" w:firstLineChars="200"/>
        <w:rPr>
          <w:rFonts w:ascii="仿宋_GB2312" w:eastAsia="仿宋_GB2312"/>
          <w:color w:val="auto"/>
          <w:spacing w:val="-4"/>
          <w:sz w:val="32"/>
          <w:highlight w:val="none"/>
        </w:rPr>
      </w:pPr>
      <w:r>
        <w:rPr>
          <w:rFonts w:hint="eastAsia" w:ascii="仿宋_GB2312" w:eastAsia="仿宋_GB2312"/>
          <w:color w:val="auto"/>
          <w:spacing w:val="-4"/>
          <w:sz w:val="32"/>
          <w:highlight w:val="none"/>
        </w:rPr>
        <w:t>2018年，省级专项资金根据“大专项+任务清单”管理方式要求，我厅会同省财政厅采取因素法测算安排专项资金，将专项资金整体切块下达到地市，并按照相关项目管理办法，根据国家和我省确定的年度农业农村完善农业支持保护制度重点工作，研究提出各地具体任务清单，区分约束性任务和指导性任务，实施差别化管理并细化到各地级以上市和省财政直管县，约束性任务需进行考核，指导性任务不作为考核硬性指标。任务清单逐级下达，县级主管部门按任务清单组织实施项目建设。由于2018年是实施“大专项+任务清单”管理方式的第一年，各级业务主管部门缺少这方面的工作经验，部分省级专项资金预算指标分配和任务清单下达有滞后的情况，不少市县对“大专项+任务清单”管理方式一时难以适应，在逐级分解上级下达的预算指标和任务清单时耗费了大量时间，影响了项目的实施进度和资金支付效率。</w:t>
      </w:r>
    </w:p>
    <w:p>
      <w:pPr>
        <w:spacing w:line="360" w:lineRule="auto"/>
        <w:ind w:firstLine="643"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2．部分地区专项资金项目整体推进力度不足。</w:t>
      </w:r>
    </w:p>
    <w:p>
      <w:pPr>
        <w:spacing w:line="360" w:lineRule="auto"/>
        <w:ind w:firstLine="624" w:firstLineChars="200"/>
        <w:rPr>
          <w:rFonts w:ascii="仿宋_GB2312" w:hAnsi="仿宋_GB2312" w:cs="仿宋_GB2312"/>
          <w:color w:val="auto"/>
          <w:sz w:val="32"/>
          <w:szCs w:val="32"/>
          <w:highlight w:val="none"/>
        </w:rPr>
      </w:pPr>
      <w:r>
        <w:rPr>
          <w:rFonts w:hint="eastAsia" w:ascii="仿宋_GB2312" w:eastAsia="仿宋_GB2312"/>
          <w:color w:val="auto"/>
          <w:spacing w:val="-4"/>
          <w:sz w:val="32"/>
          <w:highlight w:val="none"/>
        </w:rPr>
        <w:t>一是部分市县除了对专项资金“大专项+任务清单”管理方式理解不深不透，造成专项资金整体进</w:t>
      </w:r>
      <w:r>
        <w:rPr>
          <w:rFonts w:hint="eastAsia" w:ascii="仿宋_GB2312" w:hAnsi="Times New Roman" w:eastAsia="仿宋_GB2312"/>
          <w:color w:val="auto"/>
          <w:sz w:val="32"/>
          <w:szCs w:val="32"/>
          <w:highlight w:val="none"/>
        </w:rPr>
        <w:t>度和质量不够理想外。部分地区地方</w:t>
      </w:r>
      <w:r>
        <w:rPr>
          <w:rFonts w:hint="eastAsia" w:ascii="仿宋_GB2312" w:eastAsia="仿宋_GB2312"/>
          <w:color w:val="auto"/>
          <w:spacing w:val="-4"/>
          <w:sz w:val="32"/>
          <w:highlight w:val="none"/>
        </w:rPr>
        <w:t>政府对农业农村工作的重视程度和地方财力状况存在差异，对专项资金项目的推进有较大影响，如政策性农业保险保费补贴的部分项目实行各级财政分担的补助方式，部分地区因政府对农业的重视程度和地方财力不足等因素，只能</w:t>
      </w:r>
      <w:r>
        <w:rPr>
          <w:rFonts w:hint="eastAsia" w:ascii="仿宋_GB2312" w:hAnsi="仿宋_GB2312" w:eastAsia="仿宋_GB2312" w:cs="仿宋_GB2312"/>
          <w:color w:val="auto"/>
          <w:sz w:val="32"/>
          <w:highlight w:val="none"/>
        </w:rPr>
        <w:t>有限度开展农险业务。</w:t>
      </w:r>
      <w:r>
        <w:rPr>
          <w:rFonts w:hint="eastAsia" w:ascii="仿宋_GB2312" w:eastAsia="仿宋_GB2312"/>
          <w:color w:val="auto"/>
          <w:spacing w:val="-4"/>
          <w:sz w:val="32"/>
          <w:highlight w:val="none"/>
        </w:rPr>
        <w:t>全省实行统一的保费补贴标准，部分灾害低风险地区农民参保意愿不强。又如动物疫病防控项目，</w:t>
      </w:r>
      <w:r>
        <w:rPr>
          <w:rFonts w:hint="eastAsia" w:ascii="仿宋_GB2312" w:hAnsi="仿宋_GB2312" w:eastAsia="仿宋_GB2312" w:cs="仿宋_GB2312"/>
          <w:color w:val="auto"/>
          <w:sz w:val="32"/>
          <w:szCs w:val="32"/>
          <w:highlight w:val="none"/>
        </w:rPr>
        <w:t>粤东西北地区是我省养殖业集中区域，发展畜牧业本身不能增加本地税收，地方政府积极性不高，因而地方财政投入防控经费相对不足，省级专项资金基本都是用于防疫物资购置经费，支持粤东西北的动物疫病防控经费有限，这些区域重大动物疫病发生的风险很大。二是部分市县因专项资金项目实施进度未达预期，或受报账制报账手续比较繁琐等因素影响，专项资金支出效率偏低，未能如期发挥资金效益。</w:t>
      </w:r>
    </w:p>
    <w:p>
      <w:pPr>
        <w:spacing w:line="360" w:lineRule="auto"/>
        <w:ind w:firstLine="643"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3．专项资金事项管理的科学性、规范性仍有待加强。</w:t>
      </w:r>
    </w:p>
    <w:p>
      <w:pPr>
        <w:spacing w:line="360" w:lineRule="auto"/>
        <w:ind w:firstLine="640" w:firstLineChars="200"/>
        <w:rPr>
          <w:rFonts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一是个别项目还存在实施程序、支出方式不够规范的情况。二是部分专项资金项目管理过程不够严密，少数项目未严格执行工作计划的进度安排，实施进度滞后。三是部分地区项目主管部门检查、监控、督促整改责任落实不够到位，存在“重申报、轻实施、轻绩效”的现象，部分地市主管部门</w:t>
      </w:r>
      <w:r>
        <w:rPr>
          <w:rFonts w:hint="eastAsia" w:ascii="仿宋_GB2312" w:eastAsia="仿宋_GB2312"/>
          <w:color w:val="auto"/>
          <w:sz w:val="32"/>
          <w:szCs w:val="36"/>
          <w:highlight w:val="none"/>
        </w:rPr>
        <w:t>监管效率低，项目实施进度和质量不平衡。如世界银行贷款广东农业面源污染治理项目</w:t>
      </w:r>
      <w:r>
        <w:rPr>
          <w:rFonts w:hint="eastAsia" w:ascii="仿宋_GB2312" w:hAnsi="仿宋" w:eastAsia="仿宋_GB2312" w:cs="仿宋"/>
          <w:color w:val="auto"/>
          <w:sz w:val="32"/>
          <w:szCs w:val="32"/>
          <w:highlight w:val="none"/>
          <w:shd w:val="clear" w:color="auto" w:fill="FFFFFF"/>
        </w:rPr>
        <w:t>，部分县存在项目管理人员能力不强，</w:t>
      </w:r>
      <w:r>
        <w:rPr>
          <w:rFonts w:hint="eastAsia" w:ascii="仿宋_GB2312" w:eastAsia="仿宋_GB2312"/>
          <w:color w:val="auto"/>
          <w:sz w:val="32"/>
          <w:szCs w:val="36"/>
          <w:highlight w:val="none"/>
        </w:rPr>
        <w:t>工作责任落实不到位的情况，有的项目管理人员变动频繁，监管效率低，质量不平衡。</w:t>
      </w:r>
    </w:p>
    <w:p>
      <w:pPr>
        <w:spacing w:line="360" w:lineRule="auto"/>
        <w:ind w:firstLine="640" w:firstLineChars="200"/>
        <w:outlineLvl w:val="0"/>
        <w:rPr>
          <w:rFonts w:ascii="黑体" w:hAnsi="黑体" w:eastAsia="黑体"/>
          <w:color w:val="auto"/>
          <w:sz w:val="32"/>
          <w:szCs w:val="32"/>
          <w:highlight w:val="none"/>
        </w:rPr>
      </w:pPr>
      <w:bookmarkStart w:id="31" w:name="_Toc15159451"/>
      <w:r>
        <w:rPr>
          <w:rFonts w:hint="eastAsia" w:ascii="黑体" w:hAnsi="黑体" w:eastAsia="黑体"/>
          <w:color w:val="auto"/>
          <w:sz w:val="32"/>
          <w:szCs w:val="32"/>
          <w:highlight w:val="none"/>
        </w:rPr>
        <w:t>三、改进意见</w:t>
      </w:r>
      <w:bookmarkEnd w:id="31"/>
    </w:p>
    <w:p>
      <w:pPr>
        <w:spacing w:line="360" w:lineRule="auto"/>
        <w:ind w:firstLine="643" w:firstLineChars="200"/>
        <w:rPr>
          <w:rFonts w:ascii="楷体_GB2312" w:eastAsia="楷体_GB2312"/>
          <w:b/>
          <w:bCs/>
          <w:color w:val="auto"/>
          <w:sz w:val="32"/>
          <w:szCs w:val="36"/>
          <w:highlight w:val="none"/>
        </w:rPr>
      </w:pPr>
      <w:r>
        <w:rPr>
          <w:rFonts w:hint="eastAsia" w:ascii="楷体_GB2312" w:eastAsia="楷体_GB2312"/>
          <w:b/>
          <w:bCs/>
          <w:color w:val="auto"/>
          <w:sz w:val="32"/>
          <w:szCs w:val="36"/>
          <w:highlight w:val="none"/>
        </w:rPr>
        <w:t>（一）科学规划立足全局，继续深化专项资金“放管服”改革</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深入贯彻习近平新时代中国特色社会主义思想和党的十九大精神，立足我省乡村振兴战略，围绕《广东省实施乡村振兴战略规划（2018－2022年）》的总体要求，坚持农业农村优先发展，继续深化专项资金“放管服”改革，着力推进</w:t>
      </w:r>
      <w:r>
        <w:rPr>
          <w:rFonts w:hint="eastAsia" w:ascii="仿宋_GB2312" w:hAnsi="Times New Roman" w:eastAsia="仿宋_GB2312" w:cs="Times New Roman"/>
          <w:color w:val="auto"/>
          <w:sz w:val="32"/>
          <w:szCs w:val="32"/>
          <w:highlight w:val="none"/>
        </w:rPr>
        <w:t>完善农业支持保护制度</w:t>
      </w:r>
      <w:r>
        <w:rPr>
          <w:rFonts w:hint="eastAsia" w:ascii="仿宋_GB2312" w:eastAsia="仿宋_GB2312"/>
          <w:color w:val="auto"/>
          <w:sz w:val="32"/>
          <w:szCs w:val="36"/>
          <w:highlight w:val="none"/>
        </w:rPr>
        <w:t>。一是建立和完善“大专项+任务清单”管理方式，会同省财政厅提高专项资金预算指标和任务清单的下达时效；二是采取工作指导和业务培训等形式，使市县有关部门和人员</w:t>
      </w:r>
      <w:r>
        <w:rPr>
          <w:rFonts w:hint="eastAsia" w:ascii="仿宋_GB2312" w:hAnsi="仿宋_GB2312" w:eastAsia="仿宋_GB2312" w:cs="仿宋_GB2312"/>
          <w:color w:val="auto"/>
          <w:spacing w:val="11"/>
          <w:sz w:val="32"/>
          <w:szCs w:val="32"/>
          <w:highlight w:val="none"/>
          <w:shd w:val="clear" w:color="auto" w:fill="FFFFFF"/>
        </w:rPr>
        <w:t>深刻透彻</w:t>
      </w:r>
      <w:r>
        <w:rPr>
          <w:rFonts w:hint="eastAsia" w:ascii="仿宋_GB2312" w:eastAsia="仿宋_GB2312"/>
          <w:color w:val="auto"/>
          <w:sz w:val="32"/>
          <w:szCs w:val="36"/>
          <w:highlight w:val="none"/>
        </w:rPr>
        <w:t>领会和理解“大专项+任务清单”管理方式，做实做细</w:t>
      </w:r>
      <w:r>
        <w:rPr>
          <w:rFonts w:hint="eastAsia" w:ascii="仿宋_GB2312" w:hAnsi="Times New Roman" w:eastAsia="仿宋_GB2312" w:cs="Times New Roman"/>
          <w:color w:val="auto"/>
          <w:sz w:val="32"/>
          <w:szCs w:val="32"/>
          <w:highlight w:val="none"/>
        </w:rPr>
        <w:t>完善农业支持保护制度</w:t>
      </w:r>
      <w:r>
        <w:rPr>
          <w:rFonts w:hint="eastAsia" w:ascii="仿宋_GB2312" w:eastAsia="仿宋_GB2312"/>
          <w:color w:val="auto"/>
          <w:sz w:val="32"/>
          <w:szCs w:val="36"/>
          <w:highlight w:val="none"/>
        </w:rPr>
        <w:t>项目库，提高</w:t>
      </w:r>
      <w:r>
        <w:rPr>
          <w:rFonts w:hint="eastAsia" w:ascii="仿宋_GB2312" w:eastAsia="仿宋_GB2312"/>
          <w:color w:val="auto"/>
          <w:spacing w:val="-4"/>
          <w:sz w:val="32"/>
          <w:highlight w:val="none"/>
        </w:rPr>
        <w:t>逐级下达预算指标和任务清单效率，落实专项资金项目的主体责任，加快专项资金项目的实施进度。三是鼓励市县探索创新项目实施办法，做好项目支出的规划和前期准备工作，在保障资金支出安全性、规范性的同时，注意抓好预算支出进度，提高专项资金支出效率。</w:t>
      </w:r>
    </w:p>
    <w:p>
      <w:pPr>
        <w:spacing w:line="360" w:lineRule="auto"/>
        <w:ind w:firstLine="643" w:firstLineChars="200"/>
        <w:rPr>
          <w:rFonts w:ascii="楷体_GB2312" w:eastAsia="楷体_GB2312"/>
          <w:b/>
          <w:bCs/>
          <w:color w:val="auto"/>
          <w:sz w:val="32"/>
          <w:szCs w:val="36"/>
          <w:highlight w:val="none"/>
        </w:rPr>
      </w:pPr>
      <w:r>
        <w:rPr>
          <w:rFonts w:hint="eastAsia" w:ascii="楷体_GB2312" w:eastAsia="楷体_GB2312"/>
          <w:b/>
          <w:bCs/>
          <w:color w:val="auto"/>
          <w:sz w:val="32"/>
          <w:szCs w:val="36"/>
          <w:highlight w:val="none"/>
        </w:rPr>
        <w:t>（二）完善专项资金绩效管理机制，加强专项资金监管</w:t>
      </w:r>
    </w:p>
    <w:p>
      <w:pPr>
        <w:spacing w:line="360" w:lineRule="auto"/>
        <w:ind w:firstLine="624" w:firstLineChars="200"/>
        <w:rPr>
          <w:rFonts w:ascii="仿宋_GB2312" w:eastAsia="仿宋_GB2312"/>
          <w:color w:val="auto"/>
          <w:spacing w:val="-4"/>
          <w:sz w:val="32"/>
          <w:highlight w:val="none"/>
        </w:rPr>
      </w:pPr>
      <w:r>
        <w:rPr>
          <w:rFonts w:hint="eastAsia" w:ascii="仿宋_GB2312" w:eastAsia="仿宋_GB2312"/>
          <w:color w:val="auto"/>
          <w:spacing w:val="-4"/>
          <w:sz w:val="32"/>
          <w:highlight w:val="none"/>
        </w:rPr>
        <w:t>一是完善省级专项资金绩效管理机制。我厅拟会同省财政厅修订和完善专项资金管理办法，完善专项资金预算分配方式、绩效目标设置、任务清单制定等，规范专项资金预算执行过程的绩效监控，推进专项资金项目绩效评价常态化。二是加强专项资金监管，</w:t>
      </w:r>
      <w:r>
        <w:rPr>
          <w:rFonts w:hint="eastAsia" w:ascii="仿宋_GB2312" w:eastAsia="仿宋_GB2312"/>
          <w:color w:val="auto"/>
          <w:sz w:val="32"/>
          <w:szCs w:val="36"/>
          <w:highlight w:val="none"/>
        </w:rPr>
        <w:t>转变“重分配轻监管”的传统管理观念，</w:t>
      </w:r>
      <w:r>
        <w:rPr>
          <w:rFonts w:hint="eastAsia" w:ascii="仿宋_GB2312" w:eastAsia="仿宋_GB2312"/>
          <w:color w:val="auto"/>
          <w:spacing w:val="-4"/>
          <w:sz w:val="32"/>
          <w:highlight w:val="none"/>
        </w:rPr>
        <w:t>推进分级监管，采取专项督导检查、项目重要信息平台统计报告制度、</w:t>
      </w:r>
      <w:r>
        <w:rPr>
          <w:rFonts w:hint="eastAsia" w:ascii="仿宋" w:hAnsi="仿宋" w:eastAsia="仿宋" w:cs="仿宋"/>
          <w:color w:val="auto"/>
          <w:sz w:val="32"/>
          <w:szCs w:val="32"/>
          <w:highlight w:val="none"/>
        </w:rPr>
        <w:t>建立工作考核机制、</w:t>
      </w:r>
      <w:r>
        <w:rPr>
          <w:rFonts w:hint="eastAsia" w:ascii="仿宋_GB2312" w:eastAsia="仿宋_GB2312"/>
          <w:color w:val="auto"/>
          <w:sz w:val="32"/>
          <w:szCs w:val="36"/>
          <w:highlight w:val="none"/>
        </w:rPr>
        <w:t>加强政策宣传并</w:t>
      </w:r>
      <w:r>
        <w:rPr>
          <w:rFonts w:hint="eastAsia" w:ascii="仿宋_GB2312" w:eastAsia="仿宋_GB2312"/>
          <w:color w:val="auto"/>
          <w:spacing w:val="-4"/>
          <w:sz w:val="32"/>
          <w:highlight w:val="none"/>
        </w:rPr>
        <w:t>加大信息公开力度等措施办法，把业务主管部门的监管责任落到实处。三是强化问责追责，对专项资金项目执行进度慢、效果差的地市地方政府和业务主管部门进行通报或约谈，问题严重的予以问责。</w:t>
      </w:r>
    </w:p>
    <w:p>
      <w:pPr>
        <w:spacing w:line="360" w:lineRule="auto"/>
        <w:ind w:firstLine="643" w:firstLineChars="200"/>
        <w:rPr>
          <w:rFonts w:ascii="楷体_GB2312" w:eastAsia="楷体_GB2312"/>
          <w:b/>
          <w:bCs/>
          <w:color w:val="auto"/>
          <w:sz w:val="32"/>
          <w:szCs w:val="36"/>
          <w:highlight w:val="none"/>
        </w:rPr>
      </w:pPr>
      <w:r>
        <w:rPr>
          <w:rFonts w:hint="eastAsia" w:ascii="楷体_GB2312" w:eastAsia="楷体_GB2312"/>
          <w:b/>
          <w:bCs/>
          <w:color w:val="auto"/>
          <w:sz w:val="32"/>
          <w:szCs w:val="36"/>
          <w:highlight w:val="none"/>
        </w:rPr>
        <w:t>（三）继续推进完善农业支持保护制度，促进我省农业产业健康发展</w:t>
      </w:r>
    </w:p>
    <w:p>
      <w:pPr>
        <w:spacing w:line="360" w:lineRule="auto"/>
        <w:ind w:firstLine="624" w:firstLineChars="200"/>
        <w:rPr>
          <w:rFonts w:ascii="仿宋_GB2312" w:eastAsia="仿宋_GB2312"/>
          <w:color w:val="auto"/>
          <w:spacing w:val="-4"/>
          <w:sz w:val="32"/>
          <w:highlight w:val="none"/>
        </w:rPr>
      </w:pPr>
      <w:r>
        <w:rPr>
          <w:rFonts w:hint="eastAsia" w:ascii="仿宋_GB2312" w:eastAsia="仿宋_GB2312"/>
          <w:color w:val="auto"/>
          <w:spacing w:val="-4"/>
          <w:sz w:val="32"/>
          <w:highlight w:val="none"/>
        </w:rPr>
        <w:t>总的方向是适应市场化、国际化形势，以保护和调动种植（养殖）户和农民积极性为核心，继续优化政策性农业保险保费补贴政策，完善农村金融服务体制，加强动物疫病防控，更加注重支持结构调整、资源环境保护和科技研发等，推进农产品质量安全体系建设促进我省农业产业健康发展。</w:t>
      </w:r>
    </w:p>
    <w:p>
      <w:pPr>
        <w:pStyle w:val="12"/>
        <w:tabs>
          <w:tab w:val="right" w:leader="dot" w:pos="8947"/>
        </w:tabs>
        <w:spacing w:line="360" w:lineRule="auto"/>
        <w:ind w:firstLine="420" w:firstLineChars="200"/>
        <w:outlineLvl w:val="0"/>
        <w:rPr>
          <w:rFonts w:asciiTheme="minorHAnsi" w:hAnsiTheme="minorHAnsi"/>
          <w:color w:val="auto"/>
          <w:sz w:val="32"/>
          <w:szCs w:val="32"/>
          <w:highlight w:val="none"/>
        </w:rPr>
      </w:pPr>
      <w:r>
        <w:rPr>
          <w:color w:val="auto"/>
          <w:highlight w:val="none"/>
        </w:rPr>
        <w:fldChar w:fldCharType="begin"/>
      </w:r>
      <w:r>
        <w:rPr>
          <w:color w:val="auto"/>
          <w:highlight w:val="none"/>
        </w:rPr>
        <w:instrText xml:space="preserve"> HYPERLINK \l "_Toc15079084" </w:instrText>
      </w:r>
      <w:r>
        <w:rPr>
          <w:color w:val="auto"/>
          <w:highlight w:val="none"/>
        </w:rPr>
        <w:fldChar w:fldCharType="separate"/>
      </w:r>
      <w:bookmarkStart w:id="32" w:name="_Toc15159452"/>
      <w:r>
        <w:rPr>
          <w:rStyle w:val="18"/>
          <w:rFonts w:ascii="黑体" w:hAnsi="黑体" w:eastAsia="黑体"/>
          <w:color w:val="auto"/>
          <w:sz w:val="32"/>
          <w:szCs w:val="32"/>
          <w:highlight w:val="none"/>
        </w:rPr>
        <w:t>四、其他需要说明的情况</w:t>
      </w:r>
      <w:bookmarkEnd w:id="32"/>
      <w:r>
        <w:rPr>
          <w:rStyle w:val="18"/>
          <w:rFonts w:ascii="黑体" w:hAnsi="黑体" w:eastAsia="黑体"/>
          <w:color w:val="auto"/>
          <w:sz w:val="32"/>
          <w:szCs w:val="32"/>
          <w:highlight w:val="none"/>
        </w:rPr>
        <w:fldChar w:fldCharType="end"/>
      </w:r>
    </w:p>
    <w:p>
      <w:pPr>
        <w:pStyle w:val="2"/>
        <w:spacing w:line="360" w:lineRule="auto"/>
        <w:ind w:left="0" w:leftChars="0" w:firstLine="624" w:firstLineChars="200"/>
        <w:rPr>
          <w:rFonts w:ascii="仿宋_GB2312" w:eastAsia="仿宋_GB2312"/>
          <w:color w:val="auto"/>
          <w:spacing w:val="-4"/>
          <w:sz w:val="32"/>
          <w:highlight w:val="none"/>
        </w:rPr>
      </w:pPr>
      <w:r>
        <w:rPr>
          <w:rFonts w:hint="eastAsia" w:ascii="仿宋_GB2312" w:eastAsia="仿宋_GB2312"/>
          <w:color w:val="auto"/>
          <w:spacing w:val="-4"/>
          <w:sz w:val="32"/>
          <w:highlight w:val="none"/>
        </w:rPr>
        <w:t>无</w:t>
      </w:r>
    </w:p>
    <w:p>
      <w:pPr>
        <w:rPr>
          <w:color w:val="auto"/>
          <w:highlight w:val="none"/>
        </w:rPr>
      </w:pPr>
    </w:p>
    <w:p>
      <w:pPr>
        <w:pStyle w:val="2"/>
        <w:rPr>
          <w:color w:val="auto"/>
          <w:highlight w:val="none"/>
        </w:rPr>
      </w:pPr>
    </w:p>
    <w:p>
      <w:pPr>
        <w:widowControl/>
        <w:spacing w:line="360" w:lineRule="auto"/>
        <w:ind w:left="2238" w:leftChars="304" w:hanging="1600" w:hangingChars="500"/>
        <w:jc w:val="left"/>
        <w:rPr>
          <w:rFonts w:ascii="黑体" w:hAnsi="黑体" w:eastAsia="黑体" w:cs="Times New Roman"/>
          <w:color w:val="auto"/>
          <w:sz w:val="28"/>
          <w:szCs w:val="28"/>
          <w:highlight w:val="none"/>
        </w:rPr>
      </w:pPr>
      <w:r>
        <w:rPr>
          <w:rFonts w:hint="eastAsia" w:ascii="仿宋_GB2312" w:eastAsia="仿宋_GB2312"/>
          <w:color w:val="auto"/>
          <w:sz w:val="32"/>
          <w:szCs w:val="32"/>
          <w:highlight w:val="none"/>
        </w:rPr>
        <w:t>附件：2018年省级乡村振兴战略专项（完善农业支持制度）省级资金详细评分情况表</w:t>
      </w:r>
    </w:p>
    <w:p>
      <w:pPr>
        <w:widowControl/>
        <w:jc w:val="left"/>
        <w:rPr>
          <w:rFonts w:ascii="仿宋_GB2312" w:eastAsia="仿宋_GB2312"/>
          <w:snapToGrid w:val="0"/>
          <w:color w:val="auto"/>
          <w:spacing w:val="11"/>
          <w:sz w:val="32"/>
          <w:szCs w:val="32"/>
          <w:highlight w:val="none"/>
        </w:rPr>
        <w:sectPr>
          <w:footerReference r:id="rId4" w:type="default"/>
          <w:pgSz w:w="11906" w:h="16838"/>
          <w:pgMar w:top="2041" w:right="1418" w:bottom="1418" w:left="1531" w:header="851" w:footer="992" w:gutter="0"/>
          <w:pgNumType w:fmt="numberInDash"/>
          <w:cols w:space="425" w:num="1"/>
          <w:docGrid w:linePitch="312" w:charSpace="0"/>
        </w:sectPr>
      </w:pPr>
    </w:p>
    <w:p>
      <w:pPr>
        <w:widowControl/>
        <w:shd w:val="clear" w:color="auto" w:fill="FFFFFF"/>
        <w:spacing w:line="360" w:lineRule="auto"/>
        <w:rPr>
          <w:rFonts w:ascii="仿宋_GB2312" w:eastAsia="仿宋_GB2312"/>
          <w:snapToGrid w:val="0"/>
          <w:color w:val="auto"/>
          <w:spacing w:val="11"/>
          <w:sz w:val="32"/>
          <w:szCs w:val="32"/>
          <w:highlight w:val="none"/>
        </w:rPr>
      </w:pPr>
      <w:bookmarkStart w:id="33" w:name="_GoBack"/>
      <w:bookmarkEnd w:id="33"/>
    </w:p>
    <w:sectPr>
      <w:pgSz w:w="16838" w:h="11906" w:orient="landscape"/>
      <w:pgMar w:top="1531" w:right="2041" w:bottom="1418"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957"/>
        <w:tab w:val="clear" w:pos="4153"/>
      </w:tabs>
      <w:rPr>
        <w:rFonts w:ascii="仿宋" w:hAnsi="仿宋" w:eastAsia="仿宋" w:cs="仿宋"/>
        <w:sz w:val="28"/>
        <w:szCs w:val="28"/>
      </w:rPr>
    </w:pPr>
    <w:r>
      <w:rPr>
        <w:sz w:val="28"/>
        <w:szCs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Text Box 1029"/>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1029" o:spid="_x0000_s1026" o:spt="202" type="#_x0000_t202" style="position:absolute;left:0pt;margin-top:0pt;height:18.15pt;width:35.05pt;mso-position-horizontal:outside;mso-position-horizontal-relative:margin;mso-wrap-style:none;z-index:25167360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vOISfRAAAAAwEAAA8AAAAA&#10;AAAAAQAgAAAAIgAAAGRycy9kb3ducmV2LnhtbFBLAQIUABQAAAAIAIdO4kC5UQjF4gEAALYDAAAO&#10;AAAAAAAAAAEAIAAAACABAABkcnMvZTJvRG9jLnhtbFBLBQYAAAAABgAGAFkBAAB0BQAAAAA=&#10;">
              <v:fill on="f" focussize="0,0"/>
              <v:stroke on="f"/>
              <v:imagedata o:title=""/>
              <o:lock v:ext="edit" aspectratio="f"/>
              <v:textbox inset="0mm,0mm,0mm,0mm" style="mso-fit-shape-to-text:t;">
                <w:txbxContent>
                  <w:p>
                    <w:pPr>
                      <w:pStyle w:val="10"/>
                    </w:pPr>
                  </w:p>
                </w:txbxContent>
              </v:textbox>
            </v:shape>
          </w:pict>
        </mc:Fallback>
      </mc:AlternateContent>
    </w:r>
    <w:r>
      <w:rPr>
        <w:rFonts w:hint="eastAsia" w:ascii="仿宋" w:hAnsi="仿宋" w:eastAsia="仿宋" w:cs="仿宋"/>
        <w:sz w:val="28"/>
        <w:szCs w:val="28"/>
      </w:rPr>
      <w:tab/>
    </w:r>
    <w:r>
      <w:rPr>
        <w:rFonts w:hint="eastAsia" w:ascii="仿宋" w:hAnsi="仿宋" w:eastAsia="仿宋" w:cs="仿宋"/>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957"/>
        <w:tab w:val="clear" w:pos="4153"/>
      </w:tabs>
      <w:rPr>
        <w:rFonts w:ascii="仿宋" w:hAnsi="仿宋" w:eastAsia="仿宋" w:cs="仿宋"/>
        <w:sz w:val="28"/>
        <w:szCs w:val="28"/>
      </w:rPr>
    </w:pPr>
    <w:r>
      <w:rPr>
        <w:sz w:val="28"/>
        <w:szCs w:val="28"/>
      </w:rPr>
      <mc:AlternateContent>
        <mc:Choice Requires="wps">
          <w:drawing>
            <wp:anchor distT="0" distB="0" distL="114300" distR="114300" simplePos="0" relativeHeight="2516981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r>
      <w:rPr>
        <w:sz w:val="28"/>
        <w:szCs w:val="28"/>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1029"/>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1029" o:spid="_x0000_s1026" o:spt="202" type="#_x0000_t202" style="position:absolute;left:0pt;margin-top:0pt;height:18.15pt;width:35.05pt;mso-position-horizontal:outside;mso-position-horizontal-relative:margin;mso-wrap-style:none;z-index:25169408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vOISfRAAAAAwEAAA8AAAAA&#10;AAAAAQAgAAAAIgAAAGRycy9kb3ducmV2LnhtbFBLAQIUABQAAAAIAIdO4kC+jgMH4gEAALYDAAAO&#10;AAAAAAAAAAEAIAAAACABAABkcnMvZTJvRG9jLnhtbFBLBQYAAAAABgAGAFkBAAB0BQAAAAA=&#10;">
              <v:fill on="f" focussize="0,0"/>
              <v:stroke on="f"/>
              <v:imagedata o:title=""/>
              <o:lock v:ext="edit" aspectratio="f"/>
              <v:textbox inset="0mm,0mm,0mm,0mm" style="mso-fit-shape-to-text:t;">
                <w:txbxContent>
                  <w:p>
                    <w:pPr>
                      <w:pStyle w:val="10"/>
                    </w:pPr>
                  </w:p>
                </w:txbxContent>
              </v:textbox>
            </v:shape>
          </w:pict>
        </mc:Fallback>
      </mc:AlternateContent>
    </w:r>
    <w:r>
      <w:rPr>
        <w:rFonts w:hint="eastAsia" w:ascii="仿宋" w:hAnsi="仿宋" w:eastAsia="仿宋" w:cs="仿宋"/>
        <w:sz w:val="28"/>
        <w:szCs w:val="28"/>
      </w:rPr>
      <w:tab/>
    </w:r>
    <w:r>
      <w:rPr>
        <w:rFonts w:hint="eastAsia" w:ascii="仿宋" w:hAnsi="仿宋" w:eastAsia="仿宋" w:cs="仿宋"/>
        <w:sz w:val="28"/>
        <w:szCs w:val="28"/>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735B3"/>
    <w:rsid w:val="0000090B"/>
    <w:rsid w:val="00016F27"/>
    <w:rsid w:val="00017528"/>
    <w:rsid w:val="000415B8"/>
    <w:rsid w:val="00044BA1"/>
    <w:rsid w:val="000458CD"/>
    <w:rsid w:val="0005175B"/>
    <w:rsid w:val="00062AE6"/>
    <w:rsid w:val="00090E43"/>
    <w:rsid w:val="000B70C2"/>
    <w:rsid w:val="000B73FF"/>
    <w:rsid w:val="000D110F"/>
    <w:rsid w:val="000D4BCF"/>
    <w:rsid w:val="000D52EB"/>
    <w:rsid w:val="000E691A"/>
    <w:rsid w:val="000E7AC3"/>
    <w:rsid w:val="001146B1"/>
    <w:rsid w:val="00126C2E"/>
    <w:rsid w:val="001609E3"/>
    <w:rsid w:val="00171152"/>
    <w:rsid w:val="001925B1"/>
    <w:rsid w:val="001A213D"/>
    <w:rsid w:val="001C00D0"/>
    <w:rsid w:val="001F50FF"/>
    <w:rsid w:val="00213924"/>
    <w:rsid w:val="0022209B"/>
    <w:rsid w:val="002339E2"/>
    <w:rsid w:val="00233C93"/>
    <w:rsid w:val="002410F9"/>
    <w:rsid w:val="00252BCC"/>
    <w:rsid w:val="0026682C"/>
    <w:rsid w:val="002866C1"/>
    <w:rsid w:val="002A6CAF"/>
    <w:rsid w:val="002C4167"/>
    <w:rsid w:val="002E1E01"/>
    <w:rsid w:val="002E2BE2"/>
    <w:rsid w:val="002E6C94"/>
    <w:rsid w:val="002F28A2"/>
    <w:rsid w:val="0031238E"/>
    <w:rsid w:val="00333F82"/>
    <w:rsid w:val="0034690A"/>
    <w:rsid w:val="00352D75"/>
    <w:rsid w:val="0035456B"/>
    <w:rsid w:val="00356A11"/>
    <w:rsid w:val="00363123"/>
    <w:rsid w:val="00371193"/>
    <w:rsid w:val="003733D4"/>
    <w:rsid w:val="00375DF2"/>
    <w:rsid w:val="00390D62"/>
    <w:rsid w:val="003924B7"/>
    <w:rsid w:val="00394D30"/>
    <w:rsid w:val="00397D15"/>
    <w:rsid w:val="003C054E"/>
    <w:rsid w:val="003C0F33"/>
    <w:rsid w:val="003F41EC"/>
    <w:rsid w:val="004013B7"/>
    <w:rsid w:val="00411CED"/>
    <w:rsid w:val="00416354"/>
    <w:rsid w:val="00417E56"/>
    <w:rsid w:val="0042718E"/>
    <w:rsid w:val="00450D96"/>
    <w:rsid w:val="00452301"/>
    <w:rsid w:val="00454E1C"/>
    <w:rsid w:val="004A2144"/>
    <w:rsid w:val="004B7094"/>
    <w:rsid w:val="004C3446"/>
    <w:rsid w:val="004D43B2"/>
    <w:rsid w:val="0050526C"/>
    <w:rsid w:val="00506495"/>
    <w:rsid w:val="00532127"/>
    <w:rsid w:val="00535AF8"/>
    <w:rsid w:val="0055503C"/>
    <w:rsid w:val="005551FE"/>
    <w:rsid w:val="005616E9"/>
    <w:rsid w:val="005718C2"/>
    <w:rsid w:val="005A07B9"/>
    <w:rsid w:val="005A2AE4"/>
    <w:rsid w:val="005B16EA"/>
    <w:rsid w:val="006210D9"/>
    <w:rsid w:val="00631665"/>
    <w:rsid w:val="0065057E"/>
    <w:rsid w:val="006602C2"/>
    <w:rsid w:val="006711C6"/>
    <w:rsid w:val="006B58EB"/>
    <w:rsid w:val="006D2A0A"/>
    <w:rsid w:val="006E7CB6"/>
    <w:rsid w:val="006F0264"/>
    <w:rsid w:val="006F2EE4"/>
    <w:rsid w:val="006F538A"/>
    <w:rsid w:val="00706B89"/>
    <w:rsid w:val="00772BFF"/>
    <w:rsid w:val="00777029"/>
    <w:rsid w:val="0078018C"/>
    <w:rsid w:val="00782189"/>
    <w:rsid w:val="007863E2"/>
    <w:rsid w:val="007A0FD2"/>
    <w:rsid w:val="007C7EB9"/>
    <w:rsid w:val="007D57D2"/>
    <w:rsid w:val="00802942"/>
    <w:rsid w:val="00824760"/>
    <w:rsid w:val="008673E3"/>
    <w:rsid w:val="00876A00"/>
    <w:rsid w:val="008B002F"/>
    <w:rsid w:val="008B1446"/>
    <w:rsid w:val="008B16C4"/>
    <w:rsid w:val="008C0413"/>
    <w:rsid w:val="008E0A4E"/>
    <w:rsid w:val="008E1CE6"/>
    <w:rsid w:val="00904041"/>
    <w:rsid w:val="009411A9"/>
    <w:rsid w:val="009B315E"/>
    <w:rsid w:val="00A00CA3"/>
    <w:rsid w:val="00A136E5"/>
    <w:rsid w:val="00A22E36"/>
    <w:rsid w:val="00A26E8F"/>
    <w:rsid w:val="00A276D9"/>
    <w:rsid w:val="00A426E6"/>
    <w:rsid w:val="00A746AC"/>
    <w:rsid w:val="00A933F7"/>
    <w:rsid w:val="00A937D7"/>
    <w:rsid w:val="00A9541D"/>
    <w:rsid w:val="00AB2341"/>
    <w:rsid w:val="00AB4B04"/>
    <w:rsid w:val="00AC55FC"/>
    <w:rsid w:val="00AD6E2E"/>
    <w:rsid w:val="00AE6AEA"/>
    <w:rsid w:val="00B20AEF"/>
    <w:rsid w:val="00B505CD"/>
    <w:rsid w:val="00B54E2A"/>
    <w:rsid w:val="00B63821"/>
    <w:rsid w:val="00B869C8"/>
    <w:rsid w:val="00BA71C8"/>
    <w:rsid w:val="00C41FF5"/>
    <w:rsid w:val="00C43FC1"/>
    <w:rsid w:val="00C512E7"/>
    <w:rsid w:val="00C6194D"/>
    <w:rsid w:val="00C710FB"/>
    <w:rsid w:val="00C926A0"/>
    <w:rsid w:val="00C9799E"/>
    <w:rsid w:val="00CE5135"/>
    <w:rsid w:val="00D17988"/>
    <w:rsid w:val="00D51323"/>
    <w:rsid w:val="00D64284"/>
    <w:rsid w:val="00D71734"/>
    <w:rsid w:val="00D76A99"/>
    <w:rsid w:val="00D948F3"/>
    <w:rsid w:val="00DA1F27"/>
    <w:rsid w:val="00DA3F76"/>
    <w:rsid w:val="00DC7239"/>
    <w:rsid w:val="00E4689A"/>
    <w:rsid w:val="00E5481E"/>
    <w:rsid w:val="00E773E3"/>
    <w:rsid w:val="00E92D9E"/>
    <w:rsid w:val="00E93B9E"/>
    <w:rsid w:val="00E9766C"/>
    <w:rsid w:val="00EC15E2"/>
    <w:rsid w:val="00F116D6"/>
    <w:rsid w:val="00F2627B"/>
    <w:rsid w:val="00F352C5"/>
    <w:rsid w:val="00F41F54"/>
    <w:rsid w:val="00F62EAB"/>
    <w:rsid w:val="00F74838"/>
    <w:rsid w:val="00F86138"/>
    <w:rsid w:val="00FA3B6F"/>
    <w:rsid w:val="00FA70ED"/>
    <w:rsid w:val="00FC3070"/>
    <w:rsid w:val="00FC70DF"/>
    <w:rsid w:val="012B3C15"/>
    <w:rsid w:val="013B2AC1"/>
    <w:rsid w:val="014077EC"/>
    <w:rsid w:val="01451B60"/>
    <w:rsid w:val="01624451"/>
    <w:rsid w:val="01632AC6"/>
    <w:rsid w:val="018500A1"/>
    <w:rsid w:val="019A3F9B"/>
    <w:rsid w:val="01E2798D"/>
    <w:rsid w:val="023117B9"/>
    <w:rsid w:val="024C3959"/>
    <w:rsid w:val="02A21BF7"/>
    <w:rsid w:val="02D53A20"/>
    <w:rsid w:val="02E32C41"/>
    <w:rsid w:val="031C13E8"/>
    <w:rsid w:val="03556016"/>
    <w:rsid w:val="037E7ED8"/>
    <w:rsid w:val="0390034F"/>
    <w:rsid w:val="03A05F0C"/>
    <w:rsid w:val="03C1358A"/>
    <w:rsid w:val="04085D36"/>
    <w:rsid w:val="04544B9D"/>
    <w:rsid w:val="04A352BF"/>
    <w:rsid w:val="04AA7120"/>
    <w:rsid w:val="04BF69C8"/>
    <w:rsid w:val="04C86763"/>
    <w:rsid w:val="054C600E"/>
    <w:rsid w:val="05702E1D"/>
    <w:rsid w:val="058E1396"/>
    <w:rsid w:val="05E7768F"/>
    <w:rsid w:val="05EC5E45"/>
    <w:rsid w:val="05EE4EDA"/>
    <w:rsid w:val="05FC3E95"/>
    <w:rsid w:val="06227B7F"/>
    <w:rsid w:val="06314905"/>
    <w:rsid w:val="06524630"/>
    <w:rsid w:val="067B7321"/>
    <w:rsid w:val="06866518"/>
    <w:rsid w:val="06F074D2"/>
    <w:rsid w:val="07164270"/>
    <w:rsid w:val="07356FE3"/>
    <w:rsid w:val="073C2A5F"/>
    <w:rsid w:val="07412173"/>
    <w:rsid w:val="07686150"/>
    <w:rsid w:val="08421218"/>
    <w:rsid w:val="087F26C7"/>
    <w:rsid w:val="087F37BE"/>
    <w:rsid w:val="08E71095"/>
    <w:rsid w:val="08E80D44"/>
    <w:rsid w:val="08EB569A"/>
    <w:rsid w:val="08ED689F"/>
    <w:rsid w:val="09215851"/>
    <w:rsid w:val="09264B7A"/>
    <w:rsid w:val="092B79AD"/>
    <w:rsid w:val="09AE4473"/>
    <w:rsid w:val="09F22B18"/>
    <w:rsid w:val="0A36721C"/>
    <w:rsid w:val="0A5D2C32"/>
    <w:rsid w:val="0A6B2B6D"/>
    <w:rsid w:val="0A7D739C"/>
    <w:rsid w:val="0A907ADB"/>
    <w:rsid w:val="0AB026F6"/>
    <w:rsid w:val="0ACC42F3"/>
    <w:rsid w:val="0B060196"/>
    <w:rsid w:val="0B1340B6"/>
    <w:rsid w:val="0B16782E"/>
    <w:rsid w:val="0B243449"/>
    <w:rsid w:val="0B2C61A4"/>
    <w:rsid w:val="0B3B19CA"/>
    <w:rsid w:val="0B3C07DA"/>
    <w:rsid w:val="0B522947"/>
    <w:rsid w:val="0B93493E"/>
    <w:rsid w:val="0B962B83"/>
    <w:rsid w:val="0B9D56C9"/>
    <w:rsid w:val="0BBE4AA8"/>
    <w:rsid w:val="0BD645B9"/>
    <w:rsid w:val="0BDD5F02"/>
    <w:rsid w:val="0C16761B"/>
    <w:rsid w:val="0C4054BE"/>
    <w:rsid w:val="0C9C0195"/>
    <w:rsid w:val="0CC1193E"/>
    <w:rsid w:val="0CC11BAD"/>
    <w:rsid w:val="0CF13D00"/>
    <w:rsid w:val="0D124803"/>
    <w:rsid w:val="0D23657D"/>
    <w:rsid w:val="0D310AF6"/>
    <w:rsid w:val="0DBC50BC"/>
    <w:rsid w:val="0E267ADA"/>
    <w:rsid w:val="0E2B4CA4"/>
    <w:rsid w:val="0E2C1903"/>
    <w:rsid w:val="0E5A6402"/>
    <w:rsid w:val="0E826729"/>
    <w:rsid w:val="0E9C76D0"/>
    <w:rsid w:val="0ECC49F0"/>
    <w:rsid w:val="0EF14279"/>
    <w:rsid w:val="0EF515B4"/>
    <w:rsid w:val="0EFD65B5"/>
    <w:rsid w:val="0F01684B"/>
    <w:rsid w:val="0F87192B"/>
    <w:rsid w:val="0F876850"/>
    <w:rsid w:val="0F905351"/>
    <w:rsid w:val="0FA1338B"/>
    <w:rsid w:val="0FEA0CEC"/>
    <w:rsid w:val="100E75C0"/>
    <w:rsid w:val="10165307"/>
    <w:rsid w:val="102679B6"/>
    <w:rsid w:val="10433D30"/>
    <w:rsid w:val="10485398"/>
    <w:rsid w:val="108217D8"/>
    <w:rsid w:val="10C55361"/>
    <w:rsid w:val="11147637"/>
    <w:rsid w:val="112231A2"/>
    <w:rsid w:val="11305D4F"/>
    <w:rsid w:val="11507F70"/>
    <w:rsid w:val="11C23D23"/>
    <w:rsid w:val="11DD09E7"/>
    <w:rsid w:val="11DE7861"/>
    <w:rsid w:val="120D5BCF"/>
    <w:rsid w:val="121C6E08"/>
    <w:rsid w:val="123A64FC"/>
    <w:rsid w:val="123D59BB"/>
    <w:rsid w:val="126261DC"/>
    <w:rsid w:val="128D54CC"/>
    <w:rsid w:val="12BC0826"/>
    <w:rsid w:val="1351075A"/>
    <w:rsid w:val="139C3DEB"/>
    <w:rsid w:val="13B325D5"/>
    <w:rsid w:val="13D75169"/>
    <w:rsid w:val="13ED6E02"/>
    <w:rsid w:val="13FE604F"/>
    <w:rsid w:val="14D4594D"/>
    <w:rsid w:val="14E60DD2"/>
    <w:rsid w:val="15021FCE"/>
    <w:rsid w:val="150C515C"/>
    <w:rsid w:val="15101E67"/>
    <w:rsid w:val="15226732"/>
    <w:rsid w:val="1534388F"/>
    <w:rsid w:val="15941703"/>
    <w:rsid w:val="16044EF6"/>
    <w:rsid w:val="163610A4"/>
    <w:rsid w:val="16B75A46"/>
    <w:rsid w:val="16EF772C"/>
    <w:rsid w:val="170E386A"/>
    <w:rsid w:val="171A00DD"/>
    <w:rsid w:val="171F1F27"/>
    <w:rsid w:val="1740751D"/>
    <w:rsid w:val="174D03E2"/>
    <w:rsid w:val="174E77BE"/>
    <w:rsid w:val="17E44BBF"/>
    <w:rsid w:val="17F50E65"/>
    <w:rsid w:val="1834708A"/>
    <w:rsid w:val="18697083"/>
    <w:rsid w:val="18D207FD"/>
    <w:rsid w:val="18FE3C09"/>
    <w:rsid w:val="18FE6BEF"/>
    <w:rsid w:val="196F0B52"/>
    <w:rsid w:val="19A54F1B"/>
    <w:rsid w:val="1A2B1926"/>
    <w:rsid w:val="1A2F037A"/>
    <w:rsid w:val="1A503287"/>
    <w:rsid w:val="1A606882"/>
    <w:rsid w:val="1AD91AF1"/>
    <w:rsid w:val="1AE857B9"/>
    <w:rsid w:val="1B034764"/>
    <w:rsid w:val="1B5B4E8A"/>
    <w:rsid w:val="1B633C0C"/>
    <w:rsid w:val="1B8F1FFF"/>
    <w:rsid w:val="1B98228B"/>
    <w:rsid w:val="1C121E7F"/>
    <w:rsid w:val="1C271037"/>
    <w:rsid w:val="1C480D7B"/>
    <w:rsid w:val="1C58126E"/>
    <w:rsid w:val="1C78128F"/>
    <w:rsid w:val="1C8451E7"/>
    <w:rsid w:val="1C8B6965"/>
    <w:rsid w:val="1CB906B3"/>
    <w:rsid w:val="1CC22C00"/>
    <w:rsid w:val="1CE37525"/>
    <w:rsid w:val="1D0A3A5E"/>
    <w:rsid w:val="1D42569F"/>
    <w:rsid w:val="1D4A4130"/>
    <w:rsid w:val="1DDC0797"/>
    <w:rsid w:val="1E37654D"/>
    <w:rsid w:val="1E3F179F"/>
    <w:rsid w:val="1E4E7888"/>
    <w:rsid w:val="1E891FFD"/>
    <w:rsid w:val="1E93144F"/>
    <w:rsid w:val="1E9F4A1B"/>
    <w:rsid w:val="1EA828B2"/>
    <w:rsid w:val="1EB10FD9"/>
    <w:rsid w:val="1EB2158C"/>
    <w:rsid w:val="1EC70E0C"/>
    <w:rsid w:val="1EFA6670"/>
    <w:rsid w:val="1F032BA0"/>
    <w:rsid w:val="1F040F3F"/>
    <w:rsid w:val="1F0F2CF5"/>
    <w:rsid w:val="1F537F57"/>
    <w:rsid w:val="1F586704"/>
    <w:rsid w:val="1F8642CD"/>
    <w:rsid w:val="1FB70C87"/>
    <w:rsid w:val="1FEB74B2"/>
    <w:rsid w:val="200C511C"/>
    <w:rsid w:val="20281326"/>
    <w:rsid w:val="204B46B0"/>
    <w:rsid w:val="207F0B7A"/>
    <w:rsid w:val="208C655E"/>
    <w:rsid w:val="20B445E1"/>
    <w:rsid w:val="20E20A62"/>
    <w:rsid w:val="20F7700B"/>
    <w:rsid w:val="2112336D"/>
    <w:rsid w:val="212E1F90"/>
    <w:rsid w:val="2159327F"/>
    <w:rsid w:val="215F5240"/>
    <w:rsid w:val="2160292F"/>
    <w:rsid w:val="21877768"/>
    <w:rsid w:val="21AB7D3F"/>
    <w:rsid w:val="21B077F0"/>
    <w:rsid w:val="21BF2CD3"/>
    <w:rsid w:val="221D47E2"/>
    <w:rsid w:val="22467771"/>
    <w:rsid w:val="22655010"/>
    <w:rsid w:val="22A2758D"/>
    <w:rsid w:val="22AB2097"/>
    <w:rsid w:val="22C2408D"/>
    <w:rsid w:val="22E40B08"/>
    <w:rsid w:val="22E8700D"/>
    <w:rsid w:val="232E4133"/>
    <w:rsid w:val="23394284"/>
    <w:rsid w:val="234E04ED"/>
    <w:rsid w:val="237006F6"/>
    <w:rsid w:val="23CB02CB"/>
    <w:rsid w:val="23D343B1"/>
    <w:rsid w:val="23D84179"/>
    <w:rsid w:val="2413181D"/>
    <w:rsid w:val="242529F3"/>
    <w:rsid w:val="246760F9"/>
    <w:rsid w:val="24E64923"/>
    <w:rsid w:val="24EB2E66"/>
    <w:rsid w:val="25083323"/>
    <w:rsid w:val="250921C5"/>
    <w:rsid w:val="250F43DF"/>
    <w:rsid w:val="2519610A"/>
    <w:rsid w:val="254C6738"/>
    <w:rsid w:val="256B7E36"/>
    <w:rsid w:val="2585771E"/>
    <w:rsid w:val="25882A56"/>
    <w:rsid w:val="25D5288E"/>
    <w:rsid w:val="25F951B1"/>
    <w:rsid w:val="26067B23"/>
    <w:rsid w:val="26090EED"/>
    <w:rsid w:val="262F661A"/>
    <w:rsid w:val="263D6177"/>
    <w:rsid w:val="26434C0D"/>
    <w:rsid w:val="26DE6FC9"/>
    <w:rsid w:val="271B735D"/>
    <w:rsid w:val="272D52A7"/>
    <w:rsid w:val="272F239A"/>
    <w:rsid w:val="274168E1"/>
    <w:rsid w:val="27556F52"/>
    <w:rsid w:val="276A77F8"/>
    <w:rsid w:val="2770448C"/>
    <w:rsid w:val="27793409"/>
    <w:rsid w:val="27972683"/>
    <w:rsid w:val="27992A1A"/>
    <w:rsid w:val="27B54B25"/>
    <w:rsid w:val="27BD06D9"/>
    <w:rsid w:val="27F0728B"/>
    <w:rsid w:val="285314C4"/>
    <w:rsid w:val="28B861A5"/>
    <w:rsid w:val="28DD7F3E"/>
    <w:rsid w:val="29083EFB"/>
    <w:rsid w:val="29240092"/>
    <w:rsid w:val="2933363F"/>
    <w:rsid w:val="296152F7"/>
    <w:rsid w:val="29783173"/>
    <w:rsid w:val="297A7DAD"/>
    <w:rsid w:val="29A33345"/>
    <w:rsid w:val="29B42E44"/>
    <w:rsid w:val="2A0F61D8"/>
    <w:rsid w:val="2A143092"/>
    <w:rsid w:val="2A3118EB"/>
    <w:rsid w:val="2A445FD9"/>
    <w:rsid w:val="2A520B48"/>
    <w:rsid w:val="2A5870B0"/>
    <w:rsid w:val="2A6232C7"/>
    <w:rsid w:val="2A890376"/>
    <w:rsid w:val="2A8B4B81"/>
    <w:rsid w:val="2AB305A2"/>
    <w:rsid w:val="2B630F41"/>
    <w:rsid w:val="2B7C33AD"/>
    <w:rsid w:val="2BD858FA"/>
    <w:rsid w:val="2C01510E"/>
    <w:rsid w:val="2C1234AE"/>
    <w:rsid w:val="2C284229"/>
    <w:rsid w:val="2C6E6A15"/>
    <w:rsid w:val="2C9F3464"/>
    <w:rsid w:val="2CB2029A"/>
    <w:rsid w:val="2D0979C4"/>
    <w:rsid w:val="2D124443"/>
    <w:rsid w:val="2D1D291B"/>
    <w:rsid w:val="2D741605"/>
    <w:rsid w:val="2DF7702B"/>
    <w:rsid w:val="2DFB7F55"/>
    <w:rsid w:val="2E115422"/>
    <w:rsid w:val="2E4B082E"/>
    <w:rsid w:val="2E8575E4"/>
    <w:rsid w:val="2E890629"/>
    <w:rsid w:val="2E911FA8"/>
    <w:rsid w:val="2E946CE2"/>
    <w:rsid w:val="2E9947E6"/>
    <w:rsid w:val="2EB126B1"/>
    <w:rsid w:val="2F1100DF"/>
    <w:rsid w:val="2F1C1738"/>
    <w:rsid w:val="2F4604F6"/>
    <w:rsid w:val="2F467684"/>
    <w:rsid w:val="2FF34515"/>
    <w:rsid w:val="306866BD"/>
    <w:rsid w:val="309B2FD1"/>
    <w:rsid w:val="30A65D9E"/>
    <w:rsid w:val="30DA7F37"/>
    <w:rsid w:val="30F22623"/>
    <w:rsid w:val="310F7741"/>
    <w:rsid w:val="31144F13"/>
    <w:rsid w:val="31474E6D"/>
    <w:rsid w:val="314E1B59"/>
    <w:rsid w:val="31541084"/>
    <w:rsid w:val="31662D26"/>
    <w:rsid w:val="31674E8C"/>
    <w:rsid w:val="319A23FA"/>
    <w:rsid w:val="3211043D"/>
    <w:rsid w:val="325A5043"/>
    <w:rsid w:val="326F26B7"/>
    <w:rsid w:val="32806DE8"/>
    <w:rsid w:val="329231F1"/>
    <w:rsid w:val="3298369C"/>
    <w:rsid w:val="32C02499"/>
    <w:rsid w:val="330D19ED"/>
    <w:rsid w:val="33395F74"/>
    <w:rsid w:val="334154D7"/>
    <w:rsid w:val="336666F1"/>
    <w:rsid w:val="3375261A"/>
    <w:rsid w:val="339E0466"/>
    <w:rsid w:val="33A8793A"/>
    <w:rsid w:val="33AF2330"/>
    <w:rsid w:val="34054D38"/>
    <w:rsid w:val="3415029A"/>
    <w:rsid w:val="34181301"/>
    <w:rsid w:val="34242F10"/>
    <w:rsid w:val="34653446"/>
    <w:rsid w:val="346716C7"/>
    <w:rsid w:val="34762439"/>
    <w:rsid w:val="34CF04D5"/>
    <w:rsid w:val="34D204C4"/>
    <w:rsid w:val="34EA4131"/>
    <w:rsid w:val="351E518C"/>
    <w:rsid w:val="35745573"/>
    <w:rsid w:val="357C5BCE"/>
    <w:rsid w:val="35944CB3"/>
    <w:rsid w:val="35A32F6E"/>
    <w:rsid w:val="35E071BC"/>
    <w:rsid w:val="35EC3857"/>
    <w:rsid w:val="3614614A"/>
    <w:rsid w:val="36197ED0"/>
    <w:rsid w:val="361C3A00"/>
    <w:rsid w:val="36500A4B"/>
    <w:rsid w:val="3702557E"/>
    <w:rsid w:val="370F3829"/>
    <w:rsid w:val="37167E50"/>
    <w:rsid w:val="37297900"/>
    <w:rsid w:val="37C67221"/>
    <w:rsid w:val="37D36097"/>
    <w:rsid w:val="37FF498C"/>
    <w:rsid w:val="381A7609"/>
    <w:rsid w:val="386608D4"/>
    <w:rsid w:val="3872134A"/>
    <w:rsid w:val="38883ECA"/>
    <w:rsid w:val="388C698D"/>
    <w:rsid w:val="389F639F"/>
    <w:rsid w:val="38E32B3E"/>
    <w:rsid w:val="38EB3436"/>
    <w:rsid w:val="38F735B3"/>
    <w:rsid w:val="3905028B"/>
    <w:rsid w:val="39195481"/>
    <w:rsid w:val="3935251A"/>
    <w:rsid w:val="3943621B"/>
    <w:rsid w:val="395E4249"/>
    <w:rsid w:val="397E3477"/>
    <w:rsid w:val="39DA2F48"/>
    <w:rsid w:val="39E10767"/>
    <w:rsid w:val="3A343F58"/>
    <w:rsid w:val="3A895EE7"/>
    <w:rsid w:val="3AA963F8"/>
    <w:rsid w:val="3AD323E4"/>
    <w:rsid w:val="3AED0E89"/>
    <w:rsid w:val="3AF1079A"/>
    <w:rsid w:val="3B2555E4"/>
    <w:rsid w:val="3B29284A"/>
    <w:rsid w:val="3B441028"/>
    <w:rsid w:val="3C262EC3"/>
    <w:rsid w:val="3C3C27DB"/>
    <w:rsid w:val="3C7223F9"/>
    <w:rsid w:val="3C7D55F1"/>
    <w:rsid w:val="3C884D2D"/>
    <w:rsid w:val="3CDA2513"/>
    <w:rsid w:val="3CF67B6A"/>
    <w:rsid w:val="3D2640E2"/>
    <w:rsid w:val="3DC5101A"/>
    <w:rsid w:val="3E260E70"/>
    <w:rsid w:val="3E4973BE"/>
    <w:rsid w:val="3E723D40"/>
    <w:rsid w:val="3E91059B"/>
    <w:rsid w:val="3EA908F8"/>
    <w:rsid w:val="3EB84267"/>
    <w:rsid w:val="3EC21C15"/>
    <w:rsid w:val="3F28739A"/>
    <w:rsid w:val="3FCA4B92"/>
    <w:rsid w:val="3FD300E5"/>
    <w:rsid w:val="402D1BA9"/>
    <w:rsid w:val="40366B80"/>
    <w:rsid w:val="404F53F5"/>
    <w:rsid w:val="405E4D54"/>
    <w:rsid w:val="40617508"/>
    <w:rsid w:val="406A01CB"/>
    <w:rsid w:val="408169D8"/>
    <w:rsid w:val="411D0ED8"/>
    <w:rsid w:val="418348FC"/>
    <w:rsid w:val="41A36141"/>
    <w:rsid w:val="41F233E7"/>
    <w:rsid w:val="42190141"/>
    <w:rsid w:val="42426B03"/>
    <w:rsid w:val="4263267B"/>
    <w:rsid w:val="4298418E"/>
    <w:rsid w:val="42BC4B5B"/>
    <w:rsid w:val="42E60DDB"/>
    <w:rsid w:val="42EA174F"/>
    <w:rsid w:val="42ED4C35"/>
    <w:rsid w:val="43303CDF"/>
    <w:rsid w:val="43696126"/>
    <w:rsid w:val="437F4BD7"/>
    <w:rsid w:val="439446B9"/>
    <w:rsid w:val="43A01B84"/>
    <w:rsid w:val="43B43525"/>
    <w:rsid w:val="44387B6F"/>
    <w:rsid w:val="444167B3"/>
    <w:rsid w:val="445D2C3B"/>
    <w:rsid w:val="447777FF"/>
    <w:rsid w:val="448B46D3"/>
    <w:rsid w:val="449566D5"/>
    <w:rsid w:val="44D5485A"/>
    <w:rsid w:val="44D83AAD"/>
    <w:rsid w:val="45186D14"/>
    <w:rsid w:val="453D38C2"/>
    <w:rsid w:val="458F63F4"/>
    <w:rsid w:val="459B3A7C"/>
    <w:rsid w:val="45A03ED6"/>
    <w:rsid w:val="45A2184F"/>
    <w:rsid w:val="45F900E5"/>
    <w:rsid w:val="461C71F9"/>
    <w:rsid w:val="462650CF"/>
    <w:rsid w:val="462B7E15"/>
    <w:rsid w:val="46480615"/>
    <w:rsid w:val="46567F7F"/>
    <w:rsid w:val="465B45EF"/>
    <w:rsid w:val="46607769"/>
    <w:rsid w:val="46B210CC"/>
    <w:rsid w:val="46C25EB4"/>
    <w:rsid w:val="46DB4AA2"/>
    <w:rsid w:val="46F80D7D"/>
    <w:rsid w:val="471712FE"/>
    <w:rsid w:val="47506367"/>
    <w:rsid w:val="476C5BCA"/>
    <w:rsid w:val="480004B0"/>
    <w:rsid w:val="482B6FFD"/>
    <w:rsid w:val="482C5706"/>
    <w:rsid w:val="483109AD"/>
    <w:rsid w:val="4847356F"/>
    <w:rsid w:val="48717BCA"/>
    <w:rsid w:val="48900F33"/>
    <w:rsid w:val="489A1906"/>
    <w:rsid w:val="48BA7178"/>
    <w:rsid w:val="49124A40"/>
    <w:rsid w:val="497645AD"/>
    <w:rsid w:val="49BA1E97"/>
    <w:rsid w:val="49D33215"/>
    <w:rsid w:val="49D71FB0"/>
    <w:rsid w:val="49ED2B11"/>
    <w:rsid w:val="49F02A9B"/>
    <w:rsid w:val="49F205B3"/>
    <w:rsid w:val="49FD7BF0"/>
    <w:rsid w:val="4A203DA0"/>
    <w:rsid w:val="4A3C0FC7"/>
    <w:rsid w:val="4A537FF6"/>
    <w:rsid w:val="4A5D4ABD"/>
    <w:rsid w:val="4A7C5620"/>
    <w:rsid w:val="4A9E0122"/>
    <w:rsid w:val="4AA535C6"/>
    <w:rsid w:val="4AA63F14"/>
    <w:rsid w:val="4AB10912"/>
    <w:rsid w:val="4B2B1C48"/>
    <w:rsid w:val="4B4D17DD"/>
    <w:rsid w:val="4B711E2D"/>
    <w:rsid w:val="4B842F38"/>
    <w:rsid w:val="4BC9645D"/>
    <w:rsid w:val="4BF336CC"/>
    <w:rsid w:val="4BF4697D"/>
    <w:rsid w:val="4C0E2BCF"/>
    <w:rsid w:val="4C1636C0"/>
    <w:rsid w:val="4C44617A"/>
    <w:rsid w:val="4C6F7A65"/>
    <w:rsid w:val="4CB60F7B"/>
    <w:rsid w:val="4CD02BDA"/>
    <w:rsid w:val="4CFB2882"/>
    <w:rsid w:val="4D282748"/>
    <w:rsid w:val="4D6A13FC"/>
    <w:rsid w:val="4D6A279D"/>
    <w:rsid w:val="4D7C5BEF"/>
    <w:rsid w:val="4DE702AF"/>
    <w:rsid w:val="4DF857A5"/>
    <w:rsid w:val="4E0C7394"/>
    <w:rsid w:val="4E19727D"/>
    <w:rsid w:val="4E2358CC"/>
    <w:rsid w:val="4E3058E3"/>
    <w:rsid w:val="4E7A0557"/>
    <w:rsid w:val="4E7D2D57"/>
    <w:rsid w:val="4E817F07"/>
    <w:rsid w:val="4E955F23"/>
    <w:rsid w:val="4E9F7013"/>
    <w:rsid w:val="4EAF1849"/>
    <w:rsid w:val="4EC11169"/>
    <w:rsid w:val="4EE26ABA"/>
    <w:rsid w:val="4EF45D6A"/>
    <w:rsid w:val="4F137D11"/>
    <w:rsid w:val="4F3461FD"/>
    <w:rsid w:val="4F4C679C"/>
    <w:rsid w:val="4F805F33"/>
    <w:rsid w:val="4F993E13"/>
    <w:rsid w:val="4FAA1DBD"/>
    <w:rsid w:val="4FC00146"/>
    <w:rsid w:val="4FF44813"/>
    <w:rsid w:val="503D519F"/>
    <w:rsid w:val="505D1E91"/>
    <w:rsid w:val="50685427"/>
    <w:rsid w:val="50765602"/>
    <w:rsid w:val="50A75384"/>
    <w:rsid w:val="50B15E8A"/>
    <w:rsid w:val="50CB3C41"/>
    <w:rsid w:val="50D842F1"/>
    <w:rsid w:val="51510FAF"/>
    <w:rsid w:val="516D7780"/>
    <w:rsid w:val="51CD5C94"/>
    <w:rsid w:val="51E1760B"/>
    <w:rsid w:val="520C1D2F"/>
    <w:rsid w:val="523773D9"/>
    <w:rsid w:val="524D5A35"/>
    <w:rsid w:val="524F4460"/>
    <w:rsid w:val="526F6F8B"/>
    <w:rsid w:val="527F35E9"/>
    <w:rsid w:val="52982A42"/>
    <w:rsid w:val="52EF771C"/>
    <w:rsid w:val="52F22C3A"/>
    <w:rsid w:val="52F45499"/>
    <w:rsid w:val="53351804"/>
    <w:rsid w:val="537D1693"/>
    <w:rsid w:val="538E65D5"/>
    <w:rsid w:val="53EB6393"/>
    <w:rsid w:val="53FC3A39"/>
    <w:rsid w:val="53FE549A"/>
    <w:rsid w:val="542026D5"/>
    <w:rsid w:val="546678FF"/>
    <w:rsid w:val="54667F54"/>
    <w:rsid w:val="546A2DD7"/>
    <w:rsid w:val="546B7238"/>
    <w:rsid w:val="546E732D"/>
    <w:rsid w:val="549A6DE6"/>
    <w:rsid w:val="54C769F8"/>
    <w:rsid w:val="54CD2ECD"/>
    <w:rsid w:val="54D20BD2"/>
    <w:rsid w:val="54FB5114"/>
    <w:rsid w:val="55042B22"/>
    <w:rsid w:val="5532185B"/>
    <w:rsid w:val="556C0D65"/>
    <w:rsid w:val="560A150F"/>
    <w:rsid w:val="5624756A"/>
    <w:rsid w:val="56262CED"/>
    <w:rsid w:val="56286600"/>
    <w:rsid w:val="562C735D"/>
    <w:rsid w:val="562E0C94"/>
    <w:rsid w:val="563953B5"/>
    <w:rsid w:val="563E0617"/>
    <w:rsid w:val="566C25FC"/>
    <w:rsid w:val="56835832"/>
    <w:rsid w:val="56A8689F"/>
    <w:rsid w:val="56B64125"/>
    <w:rsid w:val="56D30D24"/>
    <w:rsid w:val="57451455"/>
    <w:rsid w:val="57A612FE"/>
    <w:rsid w:val="57BD278E"/>
    <w:rsid w:val="57E47C08"/>
    <w:rsid w:val="58384E9F"/>
    <w:rsid w:val="5854428E"/>
    <w:rsid w:val="58792C61"/>
    <w:rsid w:val="58B54AF8"/>
    <w:rsid w:val="58EC2E56"/>
    <w:rsid w:val="58F759A8"/>
    <w:rsid w:val="5902079B"/>
    <w:rsid w:val="5947103F"/>
    <w:rsid w:val="59915173"/>
    <w:rsid w:val="59B0232D"/>
    <w:rsid w:val="59D0770B"/>
    <w:rsid w:val="59D6530C"/>
    <w:rsid w:val="59D82A73"/>
    <w:rsid w:val="5A061560"/>
    <w:rsid w:val="5A332F92"/>
    <w:rsid w:val="5A926794"/>
    <w:rsid w:val="5AA920B1"/>
    <w:rsid w:val="5AB43641"/>
    <w:rsid w:val="5AFA61E5"/>
    <w:rsid w:val="5B3D2B7A"/>
    <w:rsid w:val="5BE04CF1"/>
    <w:rsid w:val="5BE92599"/>
    <w:rsid w:val="5BF036EF"/>
    <w:rsid w:val="5C107A24"/>
    <w:rsid w:val="5C3A0FD1"/>
    <w:rsid w:val="5C54193E"/>
    <w:rsid w:val="5C574F59"/>
    <w:rsid w:val="5CA66187"/>
    <w:rsid w:val="5CBC479D"/>
    <w:rsid w:val="5CD350F0"/>
    <w:rsid w:val="5CE6210E"/>
    <w:rsid w:val="5D57748E"/>
    <w:rsid w:val="5D922D2F"/>
    <w:rsid w:val="5D9530D7"/>
    <w:rsid w:val="5DBA05FC"/>
    <w:rsid w:val="5DCA10DE"/>
    <w:rsid w:val="5DE70B20"/>
    <w:rsid w:val="5DF2362D"/>
    <w:rsid w:val="5E047354"/>
    <w:rsid w:val="5E0A7F88"/>
    <w:rsid w:val="5E307820"/>
    <w:rsid w:val="5E381174"/>
    <w:rsid w:val="5E430934"/>
    <w:rsid w:val="5E6D2928"/>
    <w:rsid w:val="5EBA32A7"/>
    <w:rsid w:val="5EFA43B2"/>
    <w:rsid w:val="5F084F5B"/>
    <w:rsid w:val="5F2A5CC2"/>
    <w:rsid w:val="5F2C2F14"/>
    <w:rsid w:val="5F374E3B"/>
    <w:rsid w:val="5F3E5C6D"/>
    <w:rsid w:val="5F522112"/>
    <w:rsid w:val="5F6C3DD1"/>
    <w:rsid w:val="5FA83F7E"/>
    <w:rsid w:val="5FC8673B"/>
    <w:rsid w:val="5FE415A9"/>
    <w:rsid w:val="600528D0"/>
    <w:rsid w:val="600B1462"/>
    <w:rsid w:val="601525A7"/>
    <w:rsid w:val="603E4DEE"/>
    <w:rsid w:val="60524CBB"/>
    <w:rsid w:val="608E0D29"/>
    <w:rsid w:val="60E7046A"/>
    <w:rsid w:val="61300BAB"/>
    <w:rsid w:val="61780CBD"/>
    <w:rsid w:val="6186446B"/>
    <w:rsid w:val="61DB1FD7"/>
    <w:rsid w:val="61F02678"/>
    <w:rsid w:val="61F14A68"/>
    <w:rsid w:val="621D7D2E"/>
    <w:rsid w:val="62232BD9"/>
    <w:rsid w:val="624D28D9"/>
    <w:rsid w:val="627817D8"/>
    <w:rsid w:val="629F395C"/>
    <w:rsid w:val="634A7186"/>
    <w:rsid w:val="63A628E7"/>
    <w:rsid w:val="63A70531"/>
    <w:rsid w:val="63B2138D"/>
    <w:rsid w:val="63C05425"/>
    <w:rsid w:val="63C76E2B"/>
    <w:rsid w:val="63D408CB"/>
    <w:rsid w:val="63F36CC7"/>
    <w:rsid w:val="63F85AF3"/>
    <w:rsid w:val="64863671"/>
    <w:rsid w:val="64CF6D23"/>
    <w:rsid w:val="64D27625"/>
    <w:rsid w:val="64D82BDB"/>
    <w:rsid w:val="64FC7006"/>
    <w:rsid w:val="652545F1"/>
    <w:rsid w:val="65263DD0"/>
    <w:rsid w:val="65497A51"/>
    <w:rsid w:val="656C4775"/>
    <w:rsid w:val="65892A51"/>
    <w:rsid w:val="65910CF5"/>
    <w:rsid w:val="65E93C19"/>
    <w:rsid w:val="65F87457"/>
    <w:rsid w:val="66061574"/>
    <w:rsid w:val="66283412"/>
    <w:rsid w:val="6629248F"/>
    <w:rsid w:val="66464E59"/>
    <w:rsid w:val="66A65937"/>
    <w:rsid w:val="66CD0B92"/>
    <w:rsid w:val="66D97714"/>
    <w:rsid w:val="66DE2670"/>
    <w:rsid w:val="66E861F7"/>
    <w:rsid w:val="66EF0C54"/>
    <w:rsid w:val="66F96025"/>
    <w:rsid w:val="673C3EE8"/>
    <w:rsid w:val="677B24F5"/>
    <w:rsid w:val="67836A9D"/>
    <w:rsid w:val="67B460D7"/>
    <w:rsid w:val="67C77BD3"/>
    <w:rsid w:val="67DC5599"/>
    <w:rsid w:val="68904028"/>
    <w:rsid w:val="68C577C7"/>
    <w:rsid w:val="68D12769"/>
    <w:rsid w:val="690B73FF"/>
    <w:rsid w:val="6931603D"/>
    <w:rsid w:val="695D321F"/>
    <w:rsid w:val="69752645"/>
    <w:rsid w:val="69E7570B"/>
    <w:rsid w:val="6A01339D"/>
    <w:rsid w:val="6A10276B"/>
    <w:rsid w:val="6A697ED7"/>
    <w:rsid w:val="6A736B02"/>
    <w:rsid w:val="6A815510"/>
    <w:rsid w:val="6AF237B3"/>
    <w:rsid w:val="6B03433F"/>
    <w:rsid w:val="6B0806D3"/>
    <w:rsid w:val="6B086AC0"/>
    <w:rsid w:val="6B1F790C"/>
    <w:rsid w:val="6B3B597C"/>
    <w:rsid w:val="6B97239E"/>
    <w:rsid w:val="6B991158"/>
    <w:rsid w:val="6BA71F31"/>
    <w:rsid w:val="6BAD2443"/>
    <w:rsid w:val="6BDE23DD"/>
    <w:rsid w:val="6C3F4AB7"/>
    <w:rsid w:val="6C545B27"/>
    <w:rsid w:val="6C547F8E"/>
    <w:rsid w:val="6C717D7E"/>
    <w:rsid w:val="6C742940"/>
    <w:rsid w:val="6C7453FA"/>
    <w:rsid w:val="6C79664A"/>
    <w:rsid w:val="6C8F2A58"/>
    <w:rsid w:val="6CE714E7"/>
    <w:rsid w:val="6D0F7A80"/>
    <w:rsid w:val="6D140CDC"/>
    <w:rsid w:val="6D7B7D53"/>
    <w:rsid w:val="6D8E4A81"/>
    <w:rsid w:val="6D8E591C"/>
    <w:rsid w:val="6DB651F2"/>
    <w:rsid w:val="6DD64783"/>
    <w:rsid w:val="6DE507BE"/>
    <w:rsid w:val="6DEB09AD"/>
    <w:rsid w:val="6E1678EA"/>
    <w:rsid w:val="6E25521D"/>
    <w:rsid w:val="6E696ACC"/>
    <w:rsid w:val="6E763CC6"/>
    <w:rsid w:val="6EE95172"/>
    <w:rsid w:val="6F193E31"/>
    <w:rsid w:val="6F401414"/>
    <w:rsid w:val="6F5C661B"/>
    <w:rsid w:val="6F6241AC"/>
    <w:rsid w:val="6F703873"/>
    <w:rsid w:val="6F781A6E"/>
    <w:rsid w:val="6F8663ED"/>
    <w:rsid w:val="6FE905B6"/>
    <w:rsid w:val="6FF40305"/>
    <w:rsid w:val="701E6603"/>
    <w:rsid w:val="70954485"/>
    <w:rsid w:val="70B25FB8"/>
    <w:rsid w:val="70C17C1E"/>
    <w:rsid w:val="70C4087B"/>
    <w:rsid w:val="70C94D0C"/>
    <w:rsid w:val="70D05656"/>
    <w:rsid w:val="70D50AB3"/>
    <w:rsid w:val="70D92AA3"/>
    <w:rsid w:val="70F73E45"/>
    <w:rsid w:val="71220EA4"/>
    <w:rsid w:val="71843D71"/>
    <w:rsid w:val="718A2FCF"/>
    <w:rsid w:val="719B148A"/>
    <w:rsid w:val="71A608FA"/>
    <w:rsid w:val="71B54FC4"/>
    <w:rsid w:val="71DE67DA"/>
    <w:rsid w:val="71E100EB"/>
    <w:rsid w:val="72110DC4"/>
    <w:rsid w:val="724C484A"/>
    <w:rsid w:val="724D2185"/>
    <w:rsid w:val="725434B1"/>
    <w:rsid w:val="727372B4"/>
    <w:rsid w:val="727870EE"/>
    <w:rsid w:val="728566A3"/>
    <w:rsid w:val="72B776B3"/>
    <w:rsid w:val="736B1CD3"/>
    <w:rsid w:val="73B36BE5"/>
    <w:rsid w:val="73D81DC2"/>
    <w:rsid w:val="73DD5047"/>
    <w:rsid w:val="73EB629B"/>
    <w:rsid w:val="73F166C6"/>
    <w:rsid w:val="73FA2298"/>
    <w:rsid w:val="7426457C"/>
    <w:rsid w:val="7449139B"/>
    <w:rsid w:val="746170B4"/>
    <w:rsid w:val="749B3B37"/>
    <w:rsid w:val="74BA339E"/>
    <w:rsid w:val="74BB65A1"/>
    <w:rsid w:val="75060BEF"/>
    <w:rsid w:val="757675D8"/>
    <w:rsid w:val="759E28D6"/>
    <w:rsid w:val="75A15174"/>
    <w:rsid w:val="75A243A9"/>
    <w:rsid w:val="75C37BC7"/>
    <w:rsid w:val="75CA79E9"/>
    <w:rsid w:val="760E7C87"/>
    <w:rsid w:val="76273F0E"/>
    <w:rsid w:val="765760F0"/>
    <w:rsid w:val="767F1604"/>
    <w:rsid w:val="76BA4B2B"/>
    <w:rsid w:val="76BE1DE5"/>
    <w:rsid w:val="76D07D62"/>
    <w:rsid w:val="771D4A11"/>
    <w:rsid w:val="77257894"/>
    <w:rsid w:val="77547DA8"/>
    <w:rsid w:val="776C53A1"/>
    <w:rsid w:val="77766E6A"/>
    <w:rsid w:val="778859C4"/>
    <w:rsid w:val="77A26F15"/>
    <w:rsid w:val="77C26189"/>
    <w:rsid w:val="77EA38B2"/>
    <w:rsid w:val="780069B9"/>
    <w:rsid w:val="78115EE3"/>
    <w:rsid w:val="785A7AE6"/>
    <w:rsid w:val="78833E38"/>
    <w:rsid w:val="78AE50A7"/>
    <w:rsid w:val="78CD4068"/>
    <w:rsid w:val="78E937F7"/>
    <w:rsid w:val="790932DA"/>
    <w:rsid w:val="796B6B51"/>
    <w:rsid w:val="797E05BC"/>
    <w:rsid w:val="79D73B3A"/>
    <w:rsid w:val="7A4A7794"/>
    <w:rsid w:val="7A7129D2"/>
    <w:rsid w:val="7A8220CB"/>
    <w:rsid w:val="7AA6484C"/>
    <w:rsid w:val="7ACC0C1D"/>
    <w:rsid w:val="7ACE73DD"/>
    <w:rsid w:val="7ADC164B"/>
    <w:rsid w:val="7AF44813"/>
    <w:rsid w:val="7B3D46EA"/>
    <w:rsid w:val="7B43390B"/>
    <w:rsid w:val="7B537BE1"/>
    <w:rsid w:val="7B8C7DED"/>
    <w:rsid w:val="7B93397A"/>
    <w:rsid w:val="7C140BA8"/>
    <w:rsid w:val="7C346B10"/>
    <w:rsid w:val="7C3B16E6"/>
    <w:rsid w:val="7C7359E1"/>
    <w:rsid w:val="7CB1053E"/>
    <w:rsid w:val="7CB33CCB"/>
    <w:rsid w:val="7CCB311E"/>
    <w:rsid w:val="7CCE2782"/>
    <w:rsid w:val="7CEF1219"/>
    <w:rsid w:val="7CF86088"/>
    <w:rsid w:val="7CFF5333"/>
    <w:rsid w:val="7D0D5B5D"/>
    <w:rsid w:val="7D7D3B48"/>
    <w:rsid w:val="7DA17CE3"/>
    <w:rsid w:val="7DAA28EF"/>
    <w:rsid w:val="7DBA0E76"/>
    <w:rsid w:val="7DC16FAD"/>
    <w:rsid w:val="7DD83100"/>
    <w:rsid w:val="7DE24D38"/>
    <w:rsid w:val="7E543B0C"/>
    <w:rsid w:val="7E84211C"/>
    <w:rsid w:val="7E8876E6"/>
    <w:rsid w:val="7EFB4889"/>
    <w:rsid w:val="7EFC5C3D"/>
    <w:rsid w:val="7F5C1FCF"/>
    <w:rsid w:val="7FA7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spacing w:line="576" w:lineRule="auto"/>
      <w:outlineLvl w:val="0"/>
    </w:pPr>
    <w:rPr>
      <w:b/>
      <w:kern w:val="44"/>
      <w:sz w:val="44"/>
    </w:rPr>
  </w:style>
  <w:style w:type="paragraph" w:styleId="4">
    <w:name w:val="heading 2"/>
    <w:basedOn w:val="1"/>
    <w:next w:val="1"/>
    <w:link w:val="26"/>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link w:val="32"/>
    <w:unhideWhenUsed/>
    <w:qFormat/>
    <w:uiPriority w:val="0"/>
    <w:pPr>
      <w:spacing w:line="12" w:lineRule="atLeast"/>
      <w:jc w:val="left"/>
      <w:outlineLvl w:val="2"/>
    </w:pPr>
    <w:rPr>
      <w:rFonts w:hint="eastAsia" w:ascii="宋体" w:hAnsi="宋体" w:eastAsia="宋体" w:cs="Times New Roman"/>
      <w:b/>
      <w:kern w:val="0"/>
      <w:sz w:val="27"/>
      <w:szCs w:val="27"/>
    </w:rPr>
  </w:style>
  <w:style w:type="character" w:default="1" w:styleId="15">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6">
    <w:name w:val="annotation subject"/>
    <w:basedOn w:val="7"/>
    <w:next w:val="7"/>
    <w:link w:val="36"/>
    <w:qFormat/>
    <w:uiPriority w:val="0"/>
    <w:rPr>
      <w:b/>
      <w:bCs/>
    </w:rPr>
  </w:style>
  <w:style w:type="paragraph" w:styleId="7">
    <w:name w:val="annotation text"/>
    <w:basedOn w:val="1"/>
    <w:link w:val="35"/>
    <w:qFormat/>
    <w:uiPriority w:val="0"/>
    <w:pPr>
      <w:jc w:val="left"/>
    </w:pPr>
  </w:style>
  <w:style w:type="paragraph" w:styleId="8">
    <w:name w:val="toc 3"/>
    <w:basedOn w:val="1"/>
    <w:next w:val="1"/>
    <w:unhideWhenUsed/>
    <w:qFormat/>
    <w:uiPriority w:val="39"/>
    <w:pPr>
      <w:widowControl/>
      <w:spacing w:after="100" w:line="259" w:lineRule="auto"/>
      <w:ind w:left="440"/>
      <w:jc w:val="left"/>
    </w:pPr>
    <w:rPr>
      <w:rFonts w:cs="Times New Roman" w:asciiTheme="minorHAnsi" w:hAnsiTheme="minorHAnsi"/>
      <w:kern w:val="0"/>
      <w:sz w:val="22"/>
    </w:rPr>
  </w:style>
  <w:style w:type="paragraph" w:styleId="9">
    <w:name w:val="Balloon Text"/>
    <w:basedOn w:val="1"/>
    <w:link w:val="27"/>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Title"/>
    <w:basedOn w:val="1"/>
    <w:next w:val="1"/>
    <w:qFormat/>
    <w:uiPriority w:val="0"/>
    <w:pPr>
      <w:jc w:val="center"/>
      <w:outlineLvl w:val="0"/>
    </w:pPr>
    <w:rPr>
      <w:rFonts w:ascii="Cambria" w:hAnsi="Cambria" w:eastAsia="方正小标宋简体"/>
      <w:b/>
      <w:bCs/>
      <w:sz w:val="44"/>
      <w:szCs w:val="32"/>
    </w:rPr>
  </w:style>
  <w:style w:type="character" w:styleId="16">
    <w:name w:val="Strong"/>
    <w:basedOn w:val="15"/>
    <w:qFormat/>
    <w:uiPriority w:val="0"/>
    <w:rPr>
      <w:b/>
    </w:rPr>
  </w:style>
  <w:style w:type="character" w:styleId="17">
    <w:name w:val="FollowedHyperlink"/>
    <w:basedOn w:val="15"/>
    <w:qFormat/>
    <w:uiPriority w:val="0"/>
    <w:rPr>
      <w:color w:val="000000"/>
      <w:sz w:val="12"/>
      <w:szCs w:val="12"/>
      <w:u w:val="none"/>
    </w:rPr>
  </w:style>
  <w:style w:type="character" w:styleId="18">
    <w:name w:val="Hyperlink"/>
    <w:basedOn w:val="15"/>
    <w:qFormat/>
    <w:uiPriority w:val="99"/>
    <w:rPr>
      <w:color w:val="000000"/>
      <w:sz w:val="12"/>
      <w:szCs w:val="12"/>
      <w:u w:val="none"/>
    </w:rPr>
  </w:style>
  <w:style w:type="character" w:styleId="19">
    <w:name w:val="HTML Code"/>
    <w:basedOn w:val="15"/>
    <w:qFormat/>
    <w:uiPriority w:val="0"/>
    <w:rPr>
      <w:rFonts w:hint="default" w:ascii="Consolas" w:hAnsi="Consolas" w:eastAsia="Consolas" w:cs="Consolas"/>
      <w:color w:val="E83E8C"/>
      <w:sz w:val="21"/>
      <w:szCs w:val="21"/>
    </w:rPr>
  </w:style>
  <w:style w:type="character" w:styleId="20">
    <w:name w:val="annotation reference"/>
    <w:basedOn w:val="15"/>
    <w:qFormat/>
    <w:uiPriority w:val="0"/>
    <w:rPr>
      <w:sz w:val="21"/>
      <w:szCs w:val="21"/>
    </w:rPr>
  </w:style>
  <w:style w:type="character" w:styleId="21">
    <w:name w:val="HTML Keyboard"/>
    <w:basedOn w:val="15"/>
    <w:qFormat/>
    <w:uiPriority w:val="0"/>
    <w:rPr>
      <w:rFonts w:ascii="Consolas" w:hAnsi="Consolas" w:eastAsia="Consolas" w:cs="Consolas"/>
      <w:color w:val="FFFFFF"/>
      <w:sz w:val="21"/>
      <w:szCs w:val="21"/>
      <w:shd w:val="clear" w:color="auto" w:fill="212529"/>
    </w:rPr>
  </w:style>
  <w:style w:type="character" w:styleId="22">
    <w:name w:val="HTML Sample"/>
    <w:basedOn w:val="15"/>
    <w:qFormat/>
    <w:uiPriority w:val="0"/>
    <w:rPr>
      <w:rFonts w:hint="default" w:ascii="Consolas" w:hAnsi="Consolas" w:eastAsia="Consolas" w:cs="Consolas"/>
      <w:sz w:val="21"/>
      <w:szCs w:val="21"/>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标题 1 字符"/>
    <w:link w:val="3"/>
    <w:qFormat/>
    <w:uiPriority w:val="0"/>
    <w:rPr>
      <w:b/>
      <w:kern w:val="44"/>
      <w:sz w:val="44"/>
    </w:rPr>
  </w:style>
  <w:style w:type="character" w:customStyle="1" w:styleId="26">
    <w:name w:val="标题 2 字符"/>
    <w:link w:val="4"/>
    <w:qFormat/>
    <w:uiPriority w:val="0"/>
    <w:rPr>
      <w:rFonts w:ascii="Arial" w:hAnsi="Arial" w:eastAsia="黑体"/>
      <w:b/>
      <w:sz w:val="32"/>
    </w:rPr>
  </w:style>
  <w:style w:type="character" w:customStyle="1" w:styleId="27">
    <w:name w:val="批注框文本 字符"/>
    <w:basedOn w:val="15"/>
    <w:link w:val="9"/>
    <w:qFormat/>
    <w:uiPriority w:val="0"/>
    <w:rPr>
      <w:rFonts w:ascii="Calibri" w:hAnsi="Calibri" w:eastAsiaTheme="minorEastAsia" w:cstheme="minorBidi"/>
      <w:kern w:val="2"/>
      <w:sz w:val="18"/>
      <w:szCs w:val="18"/>
    </w:rPr>
  </w:style>
  <w:style w:type="character" w:customStyle="1" w:styleId="28">
    <w:name w:val="disabled"/>
    <w:basedOn w:val="15"/>
    <w:qFormat/>
    <w:uiPriority w:val="0"/>
    <w:rPr>
      <w:color w:val="BFBFBF"/>
    </w:rPr>
  </w:style>
  <w:style w:type="character" w:customStyle="1" w:styleId="29">
    <w:name w:val="current4"/>
    <w:basedOn w:val="15"/>
    <w:qFormat/>
    <w:uiPriority w:val="0"/>
    <w:rPr>
      <w:color w:val="FFFFFF"/>
      <w:shd w:val="clear" w:color="auto" w:fill="428BCA"/>
    </w:rPr>
  </w:style>
  <w:style w:type="character" w:customStyle="1" w:styleId="30">
    <w:name w:val="current"/>
    <w:basedOn w:val="15"/>
    <w:qFormat/>
    <w:uiPriority w:val="0"/>
    <w:rPr>
      <w:color w:val="FFFFFF"/>
      <w:shd w:val="clear" w:color="auto" w:fill="428BCA"/>
    </w:rPr>
  </w:style>
  <w:style w:type="paragraph" w:customStyle="1" w:styleId="31">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32">
    <w:name w:val="标题 3 字符"/>
    <w:basedOn w:val="15"/>
    <w:link w:val="5"/>
    <w:qFormat/>
    <w:uiPriority w:val="9"/>
    <w:rPr>
      <w:rFonts w:hint="eastAsia" w:ascii="宋体" w:hAnsi="宋体" w:eastAsia="宋体" w:cs="Times New Roman"/>
      <w:b/>
      <w:kern w:val="0"/>
      <w:sz w:val="27"/>
      <w:szCs w:val="27"/>
    </w:rPr>
  </w:style>
  <w:style w:type="paragraph" w:customStyle="1" w:styleId="33">
    <w:name w:val="正文1"/>
    <w:basedOn w:val="1"/>
    <w:qFormat/>
    <w:uiPriority w:val="0"/>
    <w:pPr>
      <w:snapToGrid w:val="0"/>
      <w:spacing w:line="360" w:lineRule="auto"/>
      <w:ind w:firstLine="630" w:firstLineChars="196"/>
      <w:outlineLvl w:val="2"/>
    </w:pPr>
    <w:rPr>
      <w:rFonts w:ascii="仿宋_GB2312" w:hAnsi="黑体" w:eastAsia="仿宋_GB2312"/>
      <w:sz w:val="32"/>
      <w:szCs w:val="32"/>
    </w:rPr>
  </w:style>
  <w:style w:type="paragraph" w:customStyle="1" w:styleId="34">
    <w:name w:val="_Style 1"/>
    <w:basedOn w:val="1"/>
    <w:qFormat/>
    <w:uiPriority w:val="34"/>
    <w:pPr>
      <w:ind w:firstLine="420" w:firstLineChars="200"/>
    </w:pPr>
    <w:rPr>
      <w:rFonts w:ascii="Times New Roman" w:hAnsi="Times New Roman" w:eastAsia="宋体" w:cs="Times New Roman"/>
    </w:rPr>
  </w:style>
  <w:style w:type="character" w:customStyle="1" w:styleId="35">
    <w:name w:val="批注文字 字符"/>
    <w:basedOn w:val="15"/>
    <w:link w:val="7"/>
    <w:qFormat/>
    <w:uiPriority w:val="0"/>
    <w:rPr>
      <w:rFonts w:ascii="Calibri" w:hAnsi="Calibri"/>
      <w:kern w:val="2"/>
      <w:sz w:val="21"/>
      <w:szCs w:val="22"/>
    </w:rPr>
  </w:style>
  <w:style w:type="character" w:customStyle="1" w:styleId="36">
    <w:name w:val="批注主题 字符"/>
    <w:basedOn w:val="35"/>
    <w:link w:val="6"/>
    <w:qFormat/>
    <w:uiPriority w:val="0"/>
    <w:rPr>
      <w:rFonts w:ascii="Calibri" w:hAnsi="Calibri"/>
      <w:b/>
      <w:bCs/>
      <w:kern w:val="2"/>
      <w:sz w:val="21"/>
      <w:szCs w:val="22"/>
    </w:rPr>
  </w:style>
  <w:style w:type="paragraph" w:customStyle="1" w:styleId="37">
    <w:name w:val="TOC 标题2"/>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BE5C6-7146-4F3E-965F-A8132B072822}">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2320</Words>
  <Characters>13225</Characters>
  <Lines>110</Lines>
  <Paragraphs>31</Paragraphs>
  <TotalTime>13</TotalTime>
  <ScaleCrop>false</ScaleCrop>
  <LinksUpToDate>false</LinksUpToDate>
  <CharactersWithSpaces>15514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2019-07-20T09:29:00Z</dcterms:created>
  <dc:creator>诚安信-林</dc:creator>
  <cp:lastModifiedBy>user</cp:lastModifiedBy>
  <cp:lastPrinted>2019-07-20T03:19:00Z</cp:lastPrinted>
  <dcterms:modified xsi:type="dcterms:W3CDTF">2019-08-15T10:46:30Z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