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color w:val="auto"/>
          <w:highlight w:val="none"/>
        </w:rPr>
      </w:pPr>
    </w:p>
    <w:p>
      <w:pPr>
        <w:spacing w:line="360" w:lineRule="auto"/>
        <w:rPr>
          <w:color w:val="auto"/>
          <w:highlight w:val="none"/>
        </w:rPr>
      </w:pPr>
    </w:p>
    <w:p>
      <w:pPr>
        <w:widowControl/>
        <w:spacing w:line="360" w:lineRule="auto"/>
        <w:jc w:val="left"/>
        <w:rPr>
          <w:color w:val="auto"/>
          <w:highlight w:val="none"/>
        </w:rPr>
      </w:pPr>
    </w:p>
    <w:p>
      <w:pPr>
        <w:widowControl/>
        <w:spacing w:line="360" w:lineRule="auto"/>
        <w:jc w:val="center"/>
        <w:rPr>
          <w:rFonts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项目支出类绩效自评报告</w:t>
      </w:r>
    </w:p>
    <w:p>
      <w:pPr>
        <w:widowControl/>
        <w:spacing w:line="360" w:lineRule="auto"/>
        <w:jc w:val="center"/>
        <w:rPr>
          <w:rFonts w:ascii="方正小标宋简体" w:eastAsia="方正小标宋简体"/>
          <w:color w:val="auto"/>
          <w:sz w:val="36"/>
          <w:szCs w:val="40"/>
          <w:highlight w:val="none"/>
        </w:rPr>
      </w:pPr>
    </w:p>
    <w:p>
      <w:pPr>
        <w:widowControl/>
        <w:spacing w:line="360" w:lineRule="auto"/>
        <w:jc w:val="center"/>
        <w:rPr>
          <w:rFonts w:ascii="方正小标宋简体" w:eastAsia="方正小标宋简体"/>
          <w:color w:val="auto"/>
          <w:sz w:val="36"/>
          <w:szCs w:val="40"/>
          <w:highlight w:val="none"/>
        </w:rPr>
      </w:pPr>
    </w:p>
    <w:p>
      <w:pPr>
        <w:widowControl/>
        <w:spacing w:line="360" w:lineRule="auto"/>
        <w:jc w:val="center"/>
        <w:rPr>
          <w:rFonts w:ascii="方正小标宋简体" w:eastAsia="方正小标宋简体"/>
          <w:color w:val="auto"/>
          <w:sz w:val="36"/>
          <w:szCs w:val="40"/>
          <w:highlight w:val="none"/>
        </w:rPr>
      </w:pPr>
    </w:p>
    <w:p>
      <w:pPr>
        <w:widowControl/>
        <w:spacing w:line="360" w:lineRule="auto"/>
        <w:jc w:val="center"/>
        <w:rPr>
          <w:rFonts w:ascii="方正小标宋简体" w:eastAsia="方正小标宋简体"/>
          <w:color w:val="auto"/>
          <w:sz w:val="36"/>
          <w:szCs w:val="40"/>
          <w:highlight w:val="none"/>
        </w:rPr>
      </w:pPr>
    </w:p>
    <w:p>
      <w:pPr>
        <w:widowControl/>
        <w:spacing w:line="360" w:lineRule="auto"/>
        <w:rPr>
          <w:rFonts w:ascii="方正小标宋简体" w:eastAsia="方正小标宋简体"/>
          <w:color w:val="auto"/>
          <w:sz w:val="36"/>
          <w:szCs w:val="40"/>
          <w:highlight w:val="none"/>
        </w:rPr>
      </w:pPr>
    </w:p>
    <w:p>
      <w:pPr>
        <w:widowControl/>
        <w:spacing w:line="360" w:lineRule="auto"/>
        <w:ind w:left="2238" w:leftChars="304" w:hanging="1600" w:hangingChars="500"/>
        <w:rPr>
          <w:rFonts w:ascii="仿宋_GB2312" w:eastAsia="仿宋_GB2312"/>
          <w:color w:val="auto"/>
          <w:sz w:val="32"/>
          <w:szCs w:val="36"/>
          <w:highlight w:val="none"/>
        </w:rPr>
      </w:pPr>
      <w:r>
        <w:rPr>
          <w:rFonts w:hint="eastAsia" w:ascii="仿宋_GB2312" w:eastAsia="仿宋_GB2312"/>
          <w:color w:val="auto"/>
          <w:sz w:val="32"/>
          <w:szCs w:val="36"/>
          <w:highlight w:val="none"/>
        </w:rPr>
        <w:t>项目名称：</w:t>
      </w:r>
      <w:r>
        <w:rPr>
          <w:rFonts w:hint="eastAsia" w:ascii="仿宋_GB2312" w:hAnsi="Times New Roman" w:eastAsia="仿宋_GB2312" w:cs="Times New Roman"/>
          <w:color w:val="auto"/>
          <w:sz w:val="32"/>
          <w:szCs w:val="32"/>
          <w:highlight w:val="none"/>
        </w:rPr>
        <w:t>201</w:t>
      </w:r>
      <w:r>
        <w:rPr>
          <w:rFonts w:ascii="仿宋_GB2312" w:hAnsi="Times New Roman" w:eastAsia="仿宋_GB2312" w:cs="Times New Roman"/>
          <w:color w:val="auto"/>
          <w:sz w:val="32"/>
          <w:szCs w:val="32"/>
          <w:highlight w:val="none"/>
        </w:rPr>
        <w:t>8</w:t>
      </w:r>
      <w:r>
        <w:rPr>
          <w:rFonts w:hint="eastAsia" w:ascii="仿宋_GB2312" w:hAnsi="Times New Roman" w:eastAsia="仿宋_GB2312" w:cs="Times New Roman"/>
          <w:color w:val="auto"/>
          <w:sz w:val="32"/>
          <w:szCs w:val="32"/>
          <w:highlight w:val="none"/>
        </w:rPr>
        <w:t>年省级乡村振兴战略专项（构建现代农业体系）省级资金</w:t>
      </w:r>
    </w:p>
    <w:p>
      <w:pPr>
        <w:widowControl/>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省级项目主管部门：广东省农业农村厅</w:t>
      </w:r>
    </w:p>
    <w:p>
      <w:pPr>
        <w:widowControl/>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填报人姓名：</w:t>
      </w:r>
      <w:r>
        <w:rPr>
          <w:rFonts w:hint="eastAsia" w:ascii="仿宋_GB2312" w:eastAsia="仿宋_GB2312"/>
          <w:color w:val="auto"/>
          <w:sz w:val="32"/>
          <w:szCs w:val="36"/>
          <w:highlight w:val="none"/>
          <w:lang w:eastAsia="zh-CN"/>
        </w:rPr>
        <w:t>杨伟光</w:t>
      </w:r>
    </w:p>
    <w:p>
      <w:pPr>
        <w:widowControl/>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联系电话：</w:t>
      </w:r>
      <w:r>
        <w:rPr>
          <w:rFonts w:hint="eastAsia" w:ascii="仿宋_GB2312" w:eastAsia="仿宋_GB2312"/>
          <w:color w:val="auto"/>
          <w:sz w:val="32"/>
          <w:szCs w:val="36"/>
          <w:highlight w:val="none"/>
          <w:lang w:val="en-US" w:eastAsia="zh-CN"/>
        </w:rPr>
        <w:t>02037288930</w:t>
      </w:r>
    </w:p>
    <w:p>
      <w:pPr>
        <w:widowControl/>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填报日期：2019年7月29日</w:t>
      </w:r>
    </w:p>
    <w:p>
      <w:pPr>
        <w:pStyle w:val="35"/>
        <w:jc w:val="center"/>
        <w:rPr>
          <w:rFonts w:eastAsia="宋体"/>
          <w:color w:val="auto"/>
          <w:highlight w:val="none"/>
        </w:rPr>
        <w:sectPr>
          <w:pgSz w:w="11906" w:h="16838"/>
          <w:pgMar w:top="2041" w:right="1418" w:bottom="1418" w:left="1531" w:header="851" w:footer="992" w:gutter="0"/>
          <w:pgNumType w:fmt="numberInDash"/>
          <w:cols w:space="425" w:num="1"/>
          <w:docGrid w:type="linesAndChars" w:linePitch="435" w:charSpace="0"/>
        </w:sectPr>
      </w:pPr>
    </w:p>
    <w:sdt>
      <w:sdtPr>
        <w:rPr>
          <w:rFonts w:asciiTheme="minorHAnsi" w:hAnsiTheme="minorHAnsi" w:eastAsiaTheme="minorEastAsia" w:cstheme="minorBidi"/>
          <w:color w:val="auto"/>
          <w:kern w:val="2"/>
          <w:sz w:val="21"/>
          <w:szCs w:val="22"/>
          <w:highlight w:val="none"/>
          <w:lang w:val="zh-CN"/>
        </w:rPr>
        <w:id w:val="992598810"/>
      </w:sdtPr>
      <w:sdtEndPr>
        <w:rPr>
          <w:rFonts w:asciiTheme="minorHAnsi" w:hAnsiTheme="minorHAnsi" w:eastAsiaTheme="minorEastAsia" w:cstheme="minorBidi"/>
          <w:b/>
          <w:bCs/>
          <w:color w:val="auto"/>
          <w:kern w:val="2"/>
          <w:sz w:val="21"/>
          <w:szCs w:val="22"/>
          <w:highlight w:val="none"/>
          <w:lang w:val="zh-CN"/>
        </w:rPr>
      </w:sdtEndPr>
      <w:sdtContent>
        <w:p>
          <w:pPr>
            <w:pStyle w:val="35"/>
            <w:spacing w:line="480" w:lineRule="auto"/>
            <w:jc w:val="center"/>
            <w:rPr>
              <w:rFonts w:ascii="黑体" w:hAnsi="黑体" w:eastAsia="黑体"/>
              <w:color w:val="auto"/>
              <w:sz w:val="44"/>
              <w:szCs w:val="44"/>
              <w:highlight w:val="none"/>
            </w:rPr>
          </w:pPr>
          <w:r>
            <w:rPr>
              <w:rFonts w:ascii="黑体" w:hAnsi="黑体" w:eastAsia="黑体"/>
              <w:color w:val="auto"/>
              <w:sz w:val="44"/>
              <w:szCs w:val="44"/>
              <w:highlight w:val="none"/>
              <w:lang w:val="zh-CN"/>
            </w:rPr>
            <w:t>目</w:t>
          </w:r>
          <w:r>
            <w:rPr>
              <w:rFonts w:hint="eastAsia" w:ascii="黑体" w:hAnsi="黑体" w:eastAsia="黑体"/>
              <w:color w:val="auto"/>
              <w:sz w:val="44"/>
              <w:szCs w:val="44"/>
              <w:highlight w:val="none"/>
              <w:lang w:val="zh-CN"/>
            </w:rPr>
            <w:t xml:space="preserve"> </w:t>
          </w:r>
          <w:r>
            <w:rPr>
              <w:rFonts w:ascii="黑体" w:hAnsi="黑体" w:eastAsia="黑体"/>
              <w:color w:val="auto"/>
              <w:sz w:val="44"/>
              <w:szCs w:val="44"/>
              <w:highlight w:val="none"/>
              <w:lang w:val="zh-CN"/>
            </w:rPr>
            <w:t xml:space="preserve"> 录</w:t>
          </w:r>
        </w:p>
        <w:p>
          <w:pPr>
            <w:pStyle w:val="12"/>
            <w:tabs>
              <w:tab w:val="right" w:leader="dot" w:pos="8957"/>
            </w:tabs>
            <w:spacing w:line="480" w:lineRule="auto"/>
            <w:rPr>
              <w:b w:val="0"/>
              <w:bCs w:val="0"/>
              <w:color w:val="auto"/>
              <w:sz w:val="32"/>
              <w:szCs w:val="32"/>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 HYPERLINK \l "_Toc16954" </w:instrText>
          </w:r>
          <w:r>
            <w:rPr>
              <w:color w:val="auto"/>
              <w:highlight w:val="none"/>
            </w:rPr>
            <w:fldChar w:fldCharType="separate"/>
          </w:r>
          <w:r>
            <w:rPr>
              <w:rFonts w:hint="eastAsia" w:ascii="黑体" w:hAnsi="黑体" w:eastAsia="黑体"/>
              <w:b w:val="0"/>
              <w:bCs w:val="0"/>
              <w:color w:val="auto"/>
              <w:sz w:val="32"/>
              <w:szCs w:val="32"/>
              <w:highlight w:val="none"/>
            </w:rPr>
            <w:t>一、项目基本情况及自评结论</w:t>
          </w:r>
          <w:r>
            <w:rPr>
              <w:b w:val="0"/>
              <w:bCs w:val="0"/>
              <w:color w:val="auto"/>
              <w:sz w:val="32"/>
              <w:szCs w:val="32"/>
              <w:highlight w:val="none"/>
            </w:rPr>
            <w:tab/>
          </w:r>
          <w:r>
            <w:rPr>
              <w:rFonts w:hint="eastAsia" w:ascii="仿宋" w:hAnsi="仿宋" w:eastAsia="仿宋" w:cs="仿宋"/>
              <w:b w:val="0"/>
              <w:bCs w:val="0"/>
              <w:color w:val="auto"/>
              <w:sz w:val="32"/>
              <w:szCs w:val="32"/>
              <w:highlight w:val="none"/>
            </w:rPr>
            <w:fldChar w:fldCharType="begin"/>
          </w:r>
          <w:r>
            <w:rPr>
              <w:rFonts w:hint="eastAsia" w:ascii="仿宋" w:hAnsi="仿宋" w:eastAsia="仿宋" w:cs="仿宋"/>
              <w:b w:val="0"/>
              <w:bCs w:val="0"/>
              <w:color w:val="auto"/>
              <w:sz w:val="32"/>
              <w:szCs w:val="32"/>
              <w:highlight w:val="none"/>
            </w:rPr>
            <w:instrText xml:space="preserve"> PAGEREF _Toc16954 </w:instrText>
          </w:r>
          <w:r>
            <w:rPr>
              <w:rFonts w:hint="eastAsia" w:ascii="仿宋" w:hAnsi="仿宋" w:eastAsia="仿宋" w:cs="仿宋"/>
              <w:b w:val="0"/>
              <w:bCs w:val="0"/>
              <w:color w:val="auto"/>
              <w:sz w:val="32"/>
              <w:szCs w:val="32"/>
              <w:highlight w:val="none"/>
            </w:rPr>
            <w:fldChar w:fldCharType="separate"/>
          </w:r>
          <w:r>
            <w:rPr>
              <w:rFonts w:ascii="仿宋" w:hAnsi="仿宋" w:eastAsia="仿宋" w:cs="仿宋"/>
              <w:b w:val="0"/>
              <w:bCs w:val="0"/>
              <w:color w:val="auto"/>
              <w:sz w:val="32"/>
              <w:szCs w:val="32"/>
              <w:highlight w:val="none"/>
            </w:rPr>
            <w:t>- 3 -</w:t>
          </w:r>
          <w:r>
            <w:rPr>
              <w:rFonts w:hint="eastAsia" w:ascii="仿宋" w:hAnsi="仿宋" w:eastAsia="仿宋" w:cs="仿宋"/>
              <w:b w:val="0"/>
              <w:bCs w:val="0"/>
              <w:color w:val="auto"/>
              <w:sz w:val="32"/>
              <w:szCs w:val="32"/>
              <w:highlight w:val="none"/>
            </w:rPr>
            <w:fldChar w:fldCharType="end"/>
          </w:r>
          <w:r>
            <w:rPr>
              <w:rFonts w:hint="eastAsia" w:ascii="仿宋" w:hAnsi="仿宋" w:eastAsia="仿宋" w:cs="仿宋"/>
              <w:b w:val="0"/>
              <w:bCs w:val="0"/>
              <w:color w:val="auto"/>
              <w:sz w:val="32"/>
              <w:szCs w:val="32"/>
              <w:highlight w:val="none"/>
            </w:rPr>
            <w:fldChar w:fldCharType="end"/>
          </w:r>
        </w:p>
        <w:p>
          <w:pPr>
            <w:pStyle w:val="2"/>
            <w:tabs>
              <w:tab w:val="right" w:leader="dot" w:pos="8957"/>
            </w:tabs>
            <w:spacing w:line="480" w:lineRule="auto"/>
            <w:rPr>
              <w:color w:val="auto"/>
              <w:sz w:val="32"/>
              <w:szCs w:val="32"/>
              <w:highlight w:val="none"/>
            </w:rPr>
          </w:pPr>
          <w:r>
            <w:rPr>
              <w:color w:val="auto"/>
              <w:highlight w:val="none"/>
            </w:rPr>
            <w:fldChar w:fldCharType="begin"/>
          </w:r>
          <w:r>
            <w:rPr>
              <w:color w:val="auto"/>
              <w:highlight w:val="none"/>
            </w:rPr>
            <w:instrText xml:space="preserve"> HYPERLINK \l "_Toc24046" </w:instrText>
          </w:r>
          <w:r>
            <w:rPr>
              <w:color w:val="auto"/>
              <w:highlight w:val="none"/>
            </w:rPr>
            <w:fldChar w:fldCharType="separate"/>
          </w:r>
          <w:r>
            <w:rPr>
              <w:rFonts w:hint="eastAsia" w:ascii="楷体_GB2312" w:eastAsia="楷体_GB2312"/>
              <w:color w:val="auto"/>
              <w:sz w:val="32"/>
              <w:szCs w:val="32"/>
              <w:highlight w:val="none"/>
            </w:rPr>
            <w:t>（一）项目资金安排情况</w:t>
          </w:r>
          <w:r>
            <w:rPr>
              <w:color w:val="auto"/>
              <w:sz w:val="32"/>
              <w:szCs w:val="32"/>
              <w:highlight w:val="none"/>
            </w:rPr>
            <w:tab/>
          </w:r>
          <w:r>
            <w:rPr>
              <w:rFonts w:hint="eastAsia" w:ascii="仿宋" w:hAnsi="仿宋" w:eastAsia="仿宋" w:cs="仿宋"/>
              <w:caps/>
              <w:color w:val="auto"/>
              <w:sz w:val="32"/>
              <w:szCs w:val="32"/>
              <w:highlight w:val="none"/>
            </w:rPr>
            <w:fldChar w:fldCharType="begin"/>
          </w:r>
          <w:r>
            <w:rPr>
              <w:rFonts w:hint="eastAsia" w:ascii="仿宋" w:hAnsi="仿宋" w:eastAsia="仿宋" w:cs="仿宋"/>
              <w:caps/>
              <w:color w:val="auto"/>
              <w:sz w:val="32"/>
              <w:szCs w:val="32"/>
              <w:highlight w:val="none"/>
            </w:rPr>
            <w:instrText xml:space="preserve"> PAGEREF _Toc24046 </w:instrText>
          </w:r>
          <w:r>
            <w:rPr>
              <w:rFonts w:hint="eastAsia" w:ascii="仿宋" w:hAnsi="仿宋" w:eastAsia="仿宋" w:cs="仿宋"/>
              <w:caps/>
              <w:color w:val="auto"/>
              <w:sz w:val="32"/>
              <w:szCs w:val="32"/>
              <w:highlight w:val="none"/>
            </w:rPr>
            <w:fldChar w:fldCharType="separate"/>
          </w:r>
          <w:r>
            <w:rPr>
              <w:rFonts w:ascii="仿宋" w:hAnsi="仿宋" w:eastAsia="仿宋" w:cs="仿宋"/>
              <w:caps/>
              <w:color w:val="auto"/>
              <w:sz w:val="32"/>
              <w:szCs w:val="32"/>
              <w:highlight w:val="none"/>
            </w:rPr>
            <w:t>- 3 -</w:t>
          </w:r>
          <w:r>
            <w:rPr>
              <w:rFonts w:hint="eastAsia" w:ascii="仿宋" w:hAnsi="仿宋" w:eastAsia="仿宋" w:cs="仿宋"/>
              <w:caps/>
              <w:color w:val="auto"/>
              <w:sz w:val="32"/>
              <w:szCs w:val="32"/>
              <w:highlight w:val="none"/>
            </w:rPr>
            <w:fldChar w:fldCharType="end"/>
          </w:r>
          <w:r>
            <w:rPr>
              <w:rFonts w:hint="eastAsia" w:ascii="仿宋" w:hAnsi="仿宋" w:eastAsia="仿宋" w:cs="仿宋"/>
              <w:caps/>
              <w:color w:val="auto"/>
              <w:sz w:val="32"/>
              <w:szCs w:val="32"/>
              <w:highlight w:val="none"/>
            </w:rPr>
            <w:fldChar w:fldCharType="end"/>
          </w:r>
        </w:p>
        <w:p>
          <w:pPr>
            <w:pStyle w:val="2"/>
            <w:tabs>
              <w:tab w:val="right" w:leader="dot" w:pos="8957"/>
            </w:tabs>
            <w:spacing w:line="480" w:lineRule="auto"/>
            <w:rPr>
              <w:color w:val="auto"/>
              <w:sz w:val="32"/>
              <w:szCs w:val="32"/>
              <w:highlight w:val="none"/>
            </w:rPr>
          </w:pPr>
          <w:r>
            <w:rPr>
              <w:color w:val="auto"/>
              <w:highlight w:val="none"/>
            </w:rPr>
            <w:fldChar w:fldCharType="begin"/>
          </w:r>
          <w:r>
            <w:rPr>
              <w:color w:val="auto"/>
              <w:highlight w:val="none"/>
            </w:rPr>
            <w:instrText xml:space="preserve"> HYPERLINK \l "_Toc11835" </w:instrText>
          </w:r>
          <w:r>
            <w:rPr>
              <w:color w:val="auto"/>
              <w:highlight w:val="none"/>
            </w:rPr>
            <w:fldChar w:fldCharType="separate"/>
          </w:r>
          <w:r>
            <w:rPr>
              <w:rFonts w:hint="eastAsia" w:ascii="楷体_GB2312" w:eastAsia="楷体_GB2312"/>
              <w:color w:val="auto"/>
              <w:sz w:val="32"/>
              <w:szCs w:val="32"/>
              <w:highlight w:val="none"/>
            </w:rPr>
            <w:t>（二）项目实施主要内容及实施程序</w:t>
          </w:r>
          <w:r>
            <w:rPr>
              <w:color w:val="auto"/>
              <w:sz w:val="32"/>
              <w:szCs w:val="32"/>
              <w:highlight w:val="none"/>
            </w:rPr>
            <w:tab/>
          </w:r>
          <w:r>
            <w:rPr>
              <w:rFonts w:hint="eastAsia" w:ascii="仿宋" w:hAnsi="仿宋" w:eastAsia="仿宋" w:cs="仿宋"/>
              <w:caps/>
              <w:color w:val="auto"/>
              <w:sz w:val="32"/>
              <w:szCs w:val="32"/>
              <w:highlight w:val="none"/>
            </w:rPr>
            <w:fldChar w:fldCharType="begin"/>
          </w:r>
          <w:r>
            <w:rPr>
              <w:rFonts w:hint="eastAsia" w:ascii="仿宋" w:hAnsi="仿宋" w:eastAsia="仿宋" w:cs="仿宋"/>
              <w:caps/>
              <w:color w:val="auto"/>
              <w:sz w:val="32"/>
              <w:szCs w:val="32"/>
              <w:highlight w:val="none"/>
            </w:rPr>
            <w:instrText xml:space="preserve"> PAGEREF _Toc11835 </w:instrText>
          </w:r>
          <w:r>
            <w:rPr>
              <w:rFonts w:hint="eastAsia" w:ascii="仿宋" w:hAnsi="仿宋" w:eastAsia="仿宋" w:cs="仿宋"/>
              <w:caps/>
              <w:color w:val="auto"/>
              <w:sz w:val="32"/>
              <w:szCs w:val="32"/>
              <w:highlight w:val="none"/>
            </w:rPr>
            <w:fldChar w:fldCharType="separate"/>
          </w:r>
          <w:r>
            <w:rPr>
              <w:rFonts w:ascii="仿宋" w:hAnsi="仿宋" w:eastAsia="仿宋" w:cs="仿宋"/>
              <w:caps/>
              <w:color w:val="auto"/>
              <w:sz w:val="32"/>
              <w:szCs w:val="32"/>
              <w:highlight w:val="none"/>
            </w:rPr>
            <w:t>- 6 -</w:t>
          </w:r>
          <w:r>
            <w:rPr>
              <w:rFonts w:hint="eastAsia" w:ascii="仿宋" w:hAnsi="仿宋" w:eastAsia="仿宋" w:cs="仿宋"/>
              <w:caps/>
              <w:color w:val="auto"/>
              <w:sz w:val="32"/>
              <w:szCs w:val="32"/>
              <w:highlight w:val="none"/>
            </w:rPr>
            <w:fldChar w:fldCharType="end"/>
          </w:r>
          <w:r>
            <w:rPr>
              <w:rFonts w:hint="eastAsia" w:ascii="仿宋" w:hAnsi="仿宋" w:eastAsia="仿宋" w:cs="仿宋"/>
              <w:caps/>
              <w:color w:val="auto"/>
              <w:sz w:val="32"/>
              <w:szCs w:val="32"/>
              <w:highlight w:val="none"/>
            </w:rPr>
            <w:fldChar w:fldCharType="end"/>
          </w:r>
        </w:p>
        <w:p>
          <w:pPr>
            <w:pStyle w:val="2"/>
            <w:tabs>
              <w:tab w:val="right" w:leader="dot" w:pos="8957"/>
            </w:tabs>
            <w:spacing w:line="480" w:lineRule="auto"/>
            <w:rPr>
              <w:color w:val="auto"/>
              <w:sz w:val="32"/>
              <w:szCs w:val="32"/>
              <w:highlight w:val="none"/>
            </w:rPr>
          </w:pPr>
          <w:r>
            <w:rPr>
              <w:color w:val="auto"/>
              <w:highlight w:val="none"/>
            </w:rPr>
            <w:fldChar w:fldCharType="begin"/>
          </w:r>
          <w:r>
            <w:rPr>
              <w:color w:val="auto"/>
              <w:highlight w:val="none"/>
            </w:rPr>
            <w:instrText xml:space="preserve"> HYPERLINK \l "_Toc8719" </w:instrText>
          </w:r>
          <w:r>
            <w:rPr>
              <w:color w:val="auto"/>
              <w:highlight w:val="none"/>
            </w:rPr>
            <w:fldChar w:fldCharType="separate"/>
          </w:r>
          <w:r>
            <w:rPr>
              <w:rFonts w:hint="eastAsia" w:ascii="楷体_GB2312" w:eastAsia="楷体_GB2312"/>
              <w:color w:val="auto"/>
              <w:sz w:val="32"/>
              <w:szCs w:val="32"/>
              <w:highlight w:val="none"/>
            </w:rPr>
            <w:t>（三）项目自评等级和分数</w:t>
          </w:r>
          <w:r>
            <w:rPr>
              <w:rFonts w:hint="eastAsia"/>
              <w:color w:val="auto"/>
              <w:sz w:val="32"/>
              <w:szCs w:val="32"/>
              <w:highlight w:val="none"/>
            </w:rPr>
            <w:tab/>
          </w:r>
          <w:r>
            <w:rPr>
              <w:rFonts w:hint="eastAsia" w:ascii="仿宋" w:hAnsi="仿宋" w:eastAsia="仿宋" w:cs="仿宋"/>
              <w:caps/>
              <w:color w:val="auto"/>
              <w:sz w:val="32"/>
              <w:szCs w:val="32"/>
              <w:highlight w:val="none"/>
            </w:rPr>
            <w:fldChar w:fldCharType="begin"/>
          </w:r>
          <w:r>
            <w:rPr>
              <w:rFonts w:hint="eastAsia" w:ascii="仿宋" w:hAnsi="仿宋" w:eastAsia="仿宋" w:cs="仿宋"/>
              <w:caps/>
              <w:color w:val="auto"/>
              <w:sz w:val="32"/>
              <w:szCs w:val="32"/>
              <w:highlight w:val="none"/>
            </w:rPr>
            <w:instrText xml:space="preserve"> PAGEREF _Toc8719 </w:instrText>
          </w:r>
          <w:r>
            <w:rPr>
              <w:rFonts w:hint="eastAsia" w:ascii="仿宋" w:hAnsi="仿宋" w:eastAsia="仿宋" w:cs="仿宋"/>
              <w:caps/>
              <w:color w:val="auto"/>
              <w:sz w:val="32"/>
              <w:szCs w:val="32"/>
              <w:highlight w:val="none"/>
            </w:rPr>
            <w:fldChar w:fldCharType="separate"/>
          </w:r>
          <w:r>
            <w:rPr>
              <w:rFonts w:ascii="仿宋" w:hAnsi="仿宋" w:eastAsia="仿宋" w:cs="仿宋"/>
              <w:caps/>
              <w:color w:val="auto"/>
              <w:sz w:val="32"/>
              <w:szCs w:val="32"/>
              <w:highlight w:val="none"/>
            </w:rPr>
            <w:t>- 10 -</w:t>
          </w:r>
          <w:r>
            <w:rPr>
              <w:rFonts w:hint="eastAsia" w:ascii="仿宋" w:hAnsi="仿宋" w:eastAsia="仿宋" w:cs="仿宋"/>
              <w:caps/>
              <w:color w:val="auto"/>
              <w:sz w:val="32"/>
              <w:szCs w:val="32"/>
              <w:highlight w:val="none"/>
            </w:rPr>
            <w:fldChar w:fldCharType="end"/>
          </w:r>
          <w:r>
            <w:rPr>
              <w:rFonts w:hint="eastAsia" w:ascii="仿宋" w:hAnsi="仿宋" w:eastAsia="仿宋" w:cs="仿宋"/>
              <w:caps/>
              <w:color w:val="auto"/>
              <w:sz w:val="32"/>
              <w:szCs w:val="32"/>
              <w:highlight w:val="none"/>
            </w:rPr>
            <w:fldChar w:fldCharType="end"/>
          </w:r>
        </w:p>
        <w:p>
          <w:pPr>
            <w:pStyle w:val="12"/>
            <w:tabs>
              <w:tab w:val="right" w:leader="dot" w:pos="8957"/>
            </w:tabs>
            <w:spacing w:line="480" w:lineRule="auto"/>
            <w:rPr>
              <w:b w:val="0"/>
              <w:bCs w:val="0"/>
              <w:color w:val="auto"/>
              <w:sz w:val="32"/>
              <w:szCs w:val="32"/>
              <w:highlight w:val="none"/>
            </w:rPr>
          </w:pPr>
          <w:r>
            <w:rPr>
              <w:color w:val="auto"/>
              <w:highlight w:val="none"/>
            </w:rPr>
            <w:fldChar w:fldCharType="begin"/>
          </w:r>
          <w:r>
            <w:rPr>
              <w:color w:val="auto"/>
              <w:highlight w:val="none"/>
            </w:rPr>
            <w:instrText xml:space="preserve"> HYPERLINK \l "_Toc27537" </w:instrText>
          </w:r>
          <w:r>
            <w:rPr>
              <w:color w:val="auto"/>
              <w:highlight w:val="none"/>
            </w:rPr>
            <w:fldChar w:fldCharType="separate"/>
          </w:r>
          <w:r>
            <w:rPr>
              <w:rFonts w:hint="eastAsia" w:ascii="黑体" w:hAnsi="黑体" w:eastAsia="黑体"/>
              <w:b w:val="0"/>
              <w:bCs w:val="0"/>
              <w:color w:val="auto"/>
              <w:sz w:val="32"/>
              <w:szCs w:val="32"/>
              <w:highlight w:val="none"/>
            </w:rPr>
            <w:t>二、绩效表现</w:t>
          </w:r>
          <w:r>
            <w:rPr>
              <w:b w:val="0"/>
              <w:bCs w:val="0"/>
              <w:color w:val="auto"/>
              <w:sz w:val="32"/>
              <w:szCs w:val="32"/>
              <w:highlight w:val="none"/>
            </w:rPr>
            <w:tab/>
          </w:r>
          <w:r>
            <w:rPr>
              <w:rFonts w:hint="eastAsia" w:ascii="仿宋" w:hAnsi="仿宋" w:eastAsia="仿宋" w:cs="仿宋"/>
              <w:b w:val="0"/>
              <w:bCs w:val="0"/>
              <w:color w:val="auto"/>
              <w:sz w:val="32"/>
              <w:szCs w:val="32"/>
              <w:highlight w:val="none"/>
            </w:rPr>
            <w:fldChar w:fldCharType="begin"/>
          </w:r>
          <w:r>
            <w:rPr>
              <w:rFonts w:hint="eastAsia" w:ascii="仿宋" w:hAnsi="仿宋" w:eastAsia="仿宋" w:cs="仿宋"/>
              <w:b w:val="0"/>
              <w:bCs w:val="0"/>
              <w:color w:val="auto"/>
              <w:sz w:val="32"/>
              <w:szCs w:val="32"/>
              <w:highlight w:val="none"/>
            </w:rPr>
            <w:instrText xml:space="preserve"> PAGEREF _Toc27537 </w:instrText>
          </w:r>
          <w:r>
            <w:rPr>
              <w:rFonts w:hint="eastAsia" w:ascii="仿宋" w:hAnsi="仿宋" w:eastAsia="仿宋" w:cs="仿宋"/>
              <w:b w:val="0"/>
              <w:bCs w:val="0"/>
              <w:color w:val="auto"/>
              <w:sz w:val="32"/>
              <w:szCs w:val="32"/>
              <w:highlight w:val="none"/>
            </w:rPr>
            <w:fldChar w:fldCharType="separate"/>
          </w:r>
          <w:r>
            <w:rPr>
              <w:rFonts w:ascii="仿宋" w:hAnsi="仿宋" w:eastAsia="仿宋" w:cs="仿宋"/>
              <w:b w:val="0"/>
              <w:bCs w:val="0"/>
              <w:color w:val="auto"/>
              <w:sz w:val="32"/>
              <w:szCs w:val="32"/>
              <w:highlight w:val="none"/>
            </w:rPr>
            <w:t>- 19 -</w:t>
          </w:r>
          <w:r>
            <w:rPr>
              <w:rFonts w:hint="eastAsia" w:ascii="仿宋" w:hAnsi="仿宋" w:eastAsia="仿宋" w:cs="仿宋"/>
              <w:b w:val="0"/>
              <w:bCs w:val="0"/>
              <w:color w:val="auto"/>
              <w:sz w:val="32"/>
              <w:szCs w:val="32"/>
              <w:highlight w:val="none"/>
            </w:rPr>
            <w:fldChar w:fldCharType="end"/>
          </w:r>
          <w:r>
            <w:rPr>
              <w:rFonts w:hint="eastAsia" w:ascii="仿宋" w:hAnsi="仿宋" w:eastAsia="仿宋" w:cs="仿宋"/>
              <w:b w:val="0"/>
              <w:bCs w:val="0"/>
              <w:color w:val="auto"/>
              <w:sz w:val="32"/>
              <w:szCs w:val="32"/>
              <w:highlight w:val="none"/>
            </w:rPr>
            <w:fldChar w:fldCharType="end"/>
          </w:r>
        </w:p>
        <w:p>
          <w:pPr>
            <w:pStyle w:val="2"/>
            <w:tabs>
              <w:tab w:val="right" w:leader="dot" w:pos="8957"/>
            </w:tabs>
            <w:spacing w:line="480" w:lineRule="auto"/>
            <w:rPr>
              <w:color w:val="auto"/>
              <w:sz w:val="32"/>
              <w:szCs w:val="32"/>
              <w:highlight w:val="none"/>
            </w:rPr>
          </w:pPr>
          <w:r>
            <w:rPr>
              <w:color w:val="auto"/>
              <w:highlight w:val="none"/>
            </w:rPr>
            <w:fldChar w:fldCharType="begin"/>
          </w:r>
          <w:r>
            <w:rPr>
              <w:color w:val="auto"/>
              <w:highlight w:val="none"/>
            </w:rPr>
            <w:instrText xml:space="preserve"> HYPERLINK \l "_Toc26237" </w:instrText>
          </w:r>
          <w:r>
            <w:rPr>
              <w:color w:val="auto"/>
              <w:highlight w:val="none"/>
            </w:rPr>
            <w:fldChar w:fldCharType="separate"/>
          </w:r>
          <w:r>
            <w:rPr>
              <w:rFonts w:hint="eastAsia" w:ascii="楷体_GB2312" w:eastAsia="楷体_GB2312"/>
              <w:color w:val="auto"/>
              <w:sz w:val="32"/>
              <w:szCs w:val="32"/>
              <w:highlight w:val="none"/>
            </w:rPr>
            <w:t>（一）资金使用绩效</w:t>
          </w:r>
          <w:r>
            <w:rPr>
              <w:color w:val="auto"/>
              <w:sz w:val="32"/>
              <w:szCs w:val="32"/>
              <w:highlight w:val="none"/>
            </w:rPr>
            <w:tab/>
          </w:r>
          <w:r>
            <w:rPr>
              <w:rFonts w:hint="eastAsia" w:ascii="仿宋" w:hAnsi="仿宋" w:eastAsia="仿宋" w:cs="仿宋"/>
              <w:caps/>
              <w:color w:val="auto"/>
              <w:sz w:val="32"/>
              <w:szCs w:val="32"/>
              <w:highlight w:val="none"/>
            </w:rPr>
            <w:fldChar w:fldCharType="begin"/>
          </w:r>
          <w:r>
            <w:rPr>
              <w:rFonts w:hint="eastAsia" w:ascii="仿宋" w:hAnsi="仿宋" w:eastAsia="仿宋" w:cs="仿宋"/>
              <w:caps/>
              <w:color w:val="auto"/>
              <w:sz w:val="32"/>
              <w:szCs w:val="32"/>
              <w:highlight w:val="none"/>
            </w:rPr>
            <w:instrText xml:space="preserve"> PAGEREF _Toc26237 </w:instrText>
          </w:r>
          <w:r>
            <w:rPr>
              <w:rFonts w:hint="eastAsia" w:ascii="仿宋" w:hAnsi="仿宋" w:eastAsia="仿宋" w:cs="仿宋"/>
              <w:caps/>
              <w:color w:val="auto"/>
              <w:sz w:val="32"/>
              <w:szCs w:val="32"/>
              <w:highlight w:val="none"/>
            </w:rPr>
            <w:fldChar w:fldCharType="separate"/>
          </w:r>
          <w:r>
            <w:rPr>
              <w:rFonts w:ascii="仿宋" w:hAnsi="仿宋" w:eastAsia="仿宋" w:cs="仿宋"/>
              <w:caps/>
              <w:color w:val="auto"/>
              <w:sz w:val="32"/>
              <w:szCs w:val="32"/>
              <w:highlight w:val="none"/>
            </w:rPr>
            <w:t>- 19 -</w:t>
          </w:r>
          <w:r>
            <w:rPr>
              <w:rFonts w:hint="eastAsia" w:ascii="仿宋" w:hAnsi="仿宋" w:eastAsia="仿宋" w:cs="仿宋"/>
              <w:caps/>
              <w:color w:val="auto"/>
              <w:sz w:val="32"/>
              <w:szCs w:val="32"/>
              <w:highlight w:val="none"/>
            </w:rPr>
            <w:fldChar w:fldCharType="end"/>
          </w:r>
          <w:r>
            <w:rPr>
              <w:rFonts w:hint="eastAsia" w:ascii="仿宋" w:hAnsi="仿宋" w:eastAsia="仿宋" w:cs="仿宋"/>
              <w:caps/>
              <w:color w:val="auto"/>
              <w:sz w:val="32"/>
              <w:szCs w:val="32"/>
              <w:highlight w:val="none"/>
            </w:rPr>
            <w:fldChar w:fldCharType="end"/>
          </w:r>
        </w:p>
        <w:p>
          <w:pPr>
            <w:pStyle w:val="2"/>
            <w:tabs>
              <w:tab w:val="right" w:leader="dot" w:pos="8957"/>
            </w:tabs>
            <w:spacing w:line="480" w:lineRule="auto"/>
            <w:rPr>
              <w:color w:val="auto"/>
              <w:sz w:val="32"/>
              <w:szCs w:val="32"/>
              <w:highlight w:val="none"/>
            </w:rPr>
          </w:pPr>
          <w:r>
            <w:rPr>
              <w:color w:val="auto"/>
              <w:highlight w:val="none"/>
            </w:rPr>
            <w:fldChar w:fldCharType="begin"/>
          </w:r>
          <w:r>
            <w:rPr>
              <w:color w:val="auto"/>
              <w:highlight w:val="none"/>
            </w:rPr>
            <w:instrText xml:space="preserve"> HYPERLINK \l "_Toc23567" </w:instrText>
          </w:r>
          <w:r>
            <w:rPr>
              <w:color w:val="auto"/>
              <w:highlight w:val="none"/>
            </w:rPr>
            <w:fldChar w:fldCharType="separate"/>
          </w:r>
          <w:r>
            <w:rPr>
              <w:rFonts w:hint="eastAsia" w:ascii="楷体_GB2312" w:eastAsia="楷体_GB2312"/>
              <w:color w:val="auto"/>
              <w:sz w:val="32"/>
              <w:szCs w:val="32"/>
              <w:highlight w:val="none"/>
            </w:rPr>
            <w:t>（二）存在问题</w:t>
          </w:r>
          <w:r>
            <w:rPr>
              <w:color w:val="auto"/>
              <w:sz w:val="32"/>
              <w:szCs w:val="32"/>
              <w:highlight w:val="none"/>
            </w:rPr>
            <w:tab/>
          </w:r>
          <w:r>
            <w:rPr>
              <w:rFonts w:hint="eastAsia" w:ascii="仿宋" w:hAnsi="仿宋" w:eastAsia="仿宋" w:cs="仿宋"/>
              <w:caps/>
              <w:color w:val="auto"/>
              <w:sz w:val="32"/>
              <w:szCs w:val="32"/>
              <w:highlight w:val="none"/>
            </w:rPr>
            <w:fldChar w:fldCharType="begin"/>
          </w:r>
          <w:r>
            <w:rPr>
              <w:rFonts w:hint="eastAsia" w:ascii="仿宋" w:hAnsi="仿宋" w:eastAsia="仿宋" w:cs="仿宋"/>
              <w:caps/>
              <w:color w:val="auto"/>
              <w:sz w:val="32"/>
              <w:szCs w:val="32"/>
              <w:highlight w:val="none"/>
            </w:rPr>
            <w:instrText xml:space="preserve"> PAGEREF _Toc23567 </w:instrText>
          </w:r>
          <w:r>
            <w:rPr>
              <w:rFonts w:hint="eastAsia" w:ascii="仿宋" w:hAnsi="仿宋" w:eastAsia="仿宋" w:cs="仿宋"/>
              <w:caps/>
              <w:color w:val="auto"/>
              <w:sz w:val="32"/>
              <w:szCs w:val="32"/>
              <w:highlight w:val="none"/>
            </w:rPr>
            <w:fldChar w:fldCharType="separate"/>
          </w:r>
          <w:r>
            <w:rPr>
              <w:rFonts w:ascii="仿宋" w:hAnsi="仿宋" w:eastAsia="仿宋" w:cs="仿宋"/>
              <w:caps/>
              <w:color w:val="auto"/>
              <w:sz w:val="32"/>
              <w:szCs w:val="32"/>
              <w:highlight w:val="none"/>
            </w:rPr>
            <w:t>- 30 -</w:t>
          </w:r>
          <w:r>
            <w:rPr>
              <w:rFonts w:hint="eastAsia" w:ascii="仿宋" w:hAnsi="仿宋" w:eastAsia="仿宋" w:cs="仿宋"/>
              <w:caps/>
              <w:color w:val="auto"/>
              <w:sz w:val="32"/>
              <w:szCs w:val="32"/>
              <w:highlight w:val="none"/>
            </w:rPr>
            <w:fldChar w:fldCharType="end"/>
          </w:r>
          <w:r>
            <w:rPr>
              <w:rFonts w:hint="eastAsia" w:ascii="仿宋" w:hAnsi="仿宋" w:eastAsia="仿宋" w:cs="仿宋"/>
              <w:caps/>
              <w:color w:val="auto"/>
              <w:sz w:val="32"/>
              <w:szCs w:val="32"/>
              <w:highlight w:val="none"/>
            </w:rPr>
            <w:fldChar w:fldCharType="end"/>
          </w:r>
        </w:p>
        <w:p>
          <w:pPr>
            <w:pStyle w:val="12"/>
            <w:tabs>
              <w:tab w:val="right" w:leader="dot" w:pos="8957"/>
            </w:tabs>
            <w:spacing w:line="480" w:lineRule="auto"/>
            <w:rPr>
              <w:b w:val="0"/>
              <w:bCs w:val="0"/>
              <w:color w:val="auto"/>
              <w:sz w:val="32"/>
              <w:szCs w:val="32"/>
              <w:highlight w:val="none"/>
            </w:rPr>
          </w:pPr>
          <w:r>
            <w:rPr>
              <w:color w:val="auto"/>
              <w:highlight w:val="none"/>
            </w:rPr>
            <w:fldChar w:fldCharType="begin"/>
          </w:r>
          <w:r>
            <w:rPr>
              <w:color w:val="auto"/>
              <w:highlight w:val="none"/>
            </w:rPr>
            <w:instrText xml:space="preserve"> HYPERLINK \l "_Toc16967" </w:instrText>
          </w:r>
          <w:r>
            <w:rPr>
              <w:color w:val="auto"/>
              <w:highlight w:val="none"/>
            </w:rPr>
            <w:fldChar w:fldCharType="separate"/>
          </w:r>
          <w:r>
            <w:rPr>
              <w:rFonts w:hint="eastAsia" w:ascii="黑体" w:hAnsi="黑体" w:eastAsia="黑体"/>
              <w:b w:val="0"/>
              <w:bCs w:val="0"/>
              <w:color w:val="auto"/>
              <w:sz w:val="32"/>
              <w:szCs w:val="32"/>
              <w:highlight w:val="none"/>
            </w:rPr>
            <w:t>三、改进意见（计划）</w:t>
          </w:r>
          <w:r>
            <w:rPr>
              <w:b w:val="0"/>
              <w:bCs w:val="0"/>
              <w:color w:val="auto"/>
              <w:sz w:val="32"/>
              <w:szCs w:val="32"/>
              <w:highlight w:val="none"/>
            </w:rPr>
            <w:tab/>
          </w:r>
          <w:r>
            <w:rPr>
              <w:rFonts w:hint="eastAsia" w:ascii="仿宋" w:hAnsi="仿宋" w:eastAsia="仿宋" w:cs="仿宋"/>
              <w:b w:val="0"/>
              <w:bCs w:val="0"/>
              <w:color w:val="auto"/>
              <w:sz w:val="32"/>
              <w:szCs w:val="32"/>
              <w:highlight w:val="none"/>
            </w:rPr>
            <w:fldChar w:fldCharType="begin"/>
          </w:r>
          <w:r>
            <w:rPr>
              <w:rFonts w:hint="eastAsia" w:ascii="仿宋" w:hAnsi="仿宋" w:eastAsia="仿宋" w:cs="仿宋"/>
              <w:b w:val="0"/>
              <w:bCs w:val="0"/>
              <w:color w:val="auto"/>
              <w:sz w:val="32"/>
              <w:szCs w:val="32"/>
              <w:highlight w:val="none"/>
            </w:rPr>
            <w:instrText xml:space="preserve"> PAGEREF _Toc16967 </w:instrText>
          </w:r>
          <w:r>
            <w:rPr>
              <w:rFonts w:hint="eastAsia" w:ascii="仿宋" w:hAnsi="仿宋" w:eastAsia="仿宋" w:cs="仿宋"/>
              <w:b w:val="0"/>
              <w:bCs w:val="0"/>
              <w:color w:val="auto"/>
              <w:sz w:val="32"/>
              <w:szCs w:val="32"/>
              <w:highlight w:val="none"/>
            </w:rPr>
            <w:fldChar w:fldCharType="separate"/>
          </w:r>
          <w:r>
            <w:rPr>
              <w:rFonts w:ascii="仿宋" w:hAnsi="仿宋" w:eastAsia="仿宋" w:cs="仿宋"/>
              <w:b w:val="0"/>
              <w:bCs w:val="0"/>
              <w:color w:val="auto"/>
              <w:sz w:val="32"/>
              <w:szCs w:val="32"/>
              <w:highlight w:val="none"/>
            </w:rPr>
            <w:t>- 32 -</w:t>
          </w:r>
          <w:r>
            <w:rPr>
              <w:rFonts w:hint="eastAsia" w:ascii="仿宋" w:hAnsi="仿宋" w:eastAsia="仿宋" w:cs="仿宋"/>
              <w:b w:val="0"/>
              <w:bCs w:val="0"/>
              <w:color w:val="auto"/>
              <w:sz w:val="32"/>
              <w:szCs w:val="32"/>
              <w:highlight w:val="none"/>
            </w:rPr>
            <w:fldChar w:fldCharType="end"/>
          </w:r>
          <w:r>
            <w:rPr>
              <w:rFonts w:hint="eastAsia" w:ascii="仿宋" w:hAnsi="仿宋" w:eastAsia="仿宋" w:cs="仿宋"/>
              <w:b w:val="0"/>
              <w:bCs w:val="0"/>
              <w:color w:val="auto"/>
              <w:sz w:val="32"/>
              <w:szCs w:val="32"/>
              <w:highlight w:val="none"/>
            </w:rPr>
            <w:fldChar w:fldCharType="end"/>
          </w:r>
        </w:p>
        <w:p>
          <w:pPr>
            <w:pStyle w:val="12"/>
            <w:tabs>
              <w:tab w:val="right" w:leader="dot" w:pos="8957"/>
            </w:tabs>
            <w:spacing w:line="480" w:lineRule="auto"/>
            <w:rPr>
              <w:b w:val="0"/>
              <w:bCs w:val="0"/>
              <w:color w:val="auto"/>
              <w:sz w:val="32"/>
              <w:szCs w:val="32"/>
              <w:highlight w:val="none"/>
            </w:rPr>
          </w:pPr>
          <w:r>
            <w:rPr>
              <w:color w:val="auto"/>
              <w:highlight w:val="none"/>
            </w:rPr>
            <w:fldChar w:fldCharType="begin"/>
          </w:r>
          <w:r>
            <w:rPr>
              <w:color w:val="auto"/>
              <w:highlight w:val="none"/>
            </w:rPr>
            <w:instrText xml:space="preserve"> HYPERLINK \l "_Toc3332" </w:instrText>
          </w:r>
          <w:r>
            <w:rPr>
              <w:color w:val="auto"/>
              <w:highlight w:val="none"/>
            </w:rPr>
            <w:fldChar w:fldCharType="separate"/>
          </w:r>
          <w:r>
            <w:rPr>
              <w:rFonts w:hint="eastAsia" w:ascii="黑体" w:hAnsi="黑体" w:eastAsia="黑体"/>
              <w:b w:val="0"/>
              <w:bCs w:val="0"/>
              <w:color w:val="auto"/>
              <w:sz w:val="32"/>
              <w:szCs w:val="32"/>
              <w:highlight w:val="none"/>
            </w:rPr>
            <w:t>四、其他需要说明的情况</w:t>
          </w:r>
          <w:r>
            <w:rPr>
              <w:b w:val="0"/>
              <w:bCs w:val="0"/>
              <w:color w:val="auto"/>
              <w:sz w:val="32"/>
              <w:szCs w:val="32"/>
              <w:highlight w:val="none"/>
            </w:rPr>
            <w:tab/>
          </w:r>
          <w:r>
            <w:rPr>
              <w:rFonts w:hint="eastAsia" w:ascii="仿宋" w:hAnsi="仿宋" w:eastAsia="仿宋" w:cs="仿宋"/>
              <w:b w:val="0"/>
              <w:bCs w:val="0"/>
              <w:color w:val="auto"/>
              <w:sz w:val="32"/>
              <w:szCs w:val="32"/>
              <w:highlight w:val="none"/>
            </w:rPr>
            <w:fldChar w:fldCharType="begin"/>
          </w:r>
          <w:r>
            <w:rPr>
              <w:rFonts w:hint="eastAsia" w:ascii="仿宋" w:hAnsi="仿宋" w:eastAsia="仿宋" w:cs="仿宋"/>
              <w:b w:val="0"/>
              <w:bCs w:val="0"/>
              <w:color w:val="auto"/>
              <w:sz w:val="32"/>
              <w:szCs w:val="32"/>
              <w:highlight w:val="none"/>
            </w:rPr>
            <w:instrText xml:space="preserve"> PAGEREF _Toc3332 </w:instrText>
          </w:r>
          <w:r>
            <w:rPr>
              <w:rFonts w:hint="eastAsia" w:ascii="仿宋" w:hAnsi="仿宋" w:eastAsia="仿宋" w:cs="仿宋"/>
              <w:b w:val="0"/>
              <w:bCs w:val="0"/>
              <w:color w:val="auto"/>
              <w:sz w:val="32"/>
              <w:szCs w:val="32"/>
              <w:highlight w:val="none"/>
            </w:rPr>
            <w:fldChar w:fldCharType="separate"/>
          </w:r>
          <w:r>
            <w:rPr>
              <w:rFonts w:ascii="仿宋" w:hAnsi="仿宋" w:eastAsia="仿宋" w:cs="仿宋"/>
              <w:b w:val="0"/>
              <w:bCs w:val="0"/>
              <w:color w:val="auto"/>
              <w:sz w:val="32"/>
              <w:szCs w:val="32"/>
              <w:highlight w:val="none"/>
            </w:rPr>
            <w:t>- 34 -</w:t>
          </w:r>
          <w:r>
            <w:rPr>
              <w:rFonts w:hint="eastAsia" w:ascii="仿宋" w:hAnsi="仿宋" w:eastAsia="仿宋" w:cs="仿宋"/>
              <w:b w:val="0"/>
              <w:bCs w:val="0"/>
              <w:color w:val="auto"/>
              <w:sz w:val="32"/>
              <w:szCs w:val="32"/>
              <w:highlight w:val="none"/>
            </w:rPr>
            <w:fldChar w:fldCharType="end"/>
          </w:r>
          <w:r>
            <w:rPr>
              <w:rFonts w:hint="eastAsia" w:ascii="仿宋" w:hAnsi="仿宋" w:eastAsia="仿宋" w:cs="仿宋"/>
              <w:b w:val="0"/>
              <w:bCs w:val="0"/>
              <w:color w:val="auto"/>
              <w:sz w:val="32"/>
              <w:szCs w:val="32"/>
              <w:highlight w:val="none"/>
            </w:rPr>
            <w:fldChar w:fldCharType="end"/>
          </w:r>
        </w:p>
        <w:p>
          <w:pPr>
            <w:pStyle w:val="12"/>
            <w:tabs>
              <w:tab w:val="right" w:leader="dot" w:pos="8957"/>
            </w:tabs>
            <w:spacing w:line="480" w:lineRule="auto"/>
            <w:rPr>
              <w:color w:val="auto"/>
              <w:highlight w:val="none"/>
            </w:rPr>
          </w:pPr>
          <w:r>
            <w:rPr>
              <w:color w:val="auto"/>
              <w:highlight w:val="none"/>
            </w:rPr>
            <w:fldChar w:fldCharType="begin"/>
          </w:r>
          <w:r>
            <w:rPr>
              <w:color w:val="auto"/>
              <w:highlight w:val="none"/>
            </w:rPr>
            <w:instrText xml:space="preserve"> HYPERLINK \l "_Toc32273" </w:instrText>
          </w:r>
          <w:r>
            <w:rPr>
              <w:color w:val="auto"/>
              <w:highlight w:val="none"/>
            </w:rPr>
            <w:fldChar w:fldCharType="separate"/>
          </w:r>
          <w:r>
            <w:rPr>
              <w:rFonts w:hint="eastAsia" w:ascii="黑体" w:hAnsi="黑体" w:eastAsia="黑体"/>
              <w:b w:val="0"/>
              <w:bCs w:val="0"/>
              <w:color w:val="auto"/>
              <w:sz w:val="32"/>
              <w:szCs w:val="32"/>
              <w:highlight w:val="none"/>
            </w:rPr>
            <w:t>附件</w:t>
          </w:r>
          <w:r>
            <w:rPr>
              <w:b w:val="0"/>
              <w:bCs w:val="0"/>
              <w:color w:val="auto"/>
              <w:sz w:val="32"/>
              <w:szCs w:val="32"/>
              <w:highlight w:val="none"/>
            </w:rPr>
            <w:tab/>
          </w:r>
          <w:r>
            <w:rPr>
              <w:rFonts w:hint="eastAsia" w:ascii="仿宋" w:hAnsi="仿宋" w:eastAsia="仿宋" w:cs="仿宋"/>
              <w:b w:val="0"/>
              <w:bCs w:val="0"/>
              <w:color w:val="auto"/>
              <w:sz w:val="32"/>
              <w:szCs w:val="32"/>
              <w:highlight w:val="none"/>
            </w:rPr>
            <w:fldChar w:fldCharType="begin"/>
          </w:r>
          <w:r>
            <w:rPr>
              <w:rFonts w:hint="eastAsia" w:ascii="仿宋" w:hAnsi="仿宋" w:eastAsia="仿宋" w:cs="仿宋"/>
              <w:b w:val="0"/>
              <w:bCs w:val="0"/>
              <w:color w:val="auto"/>
              <w:sz w:val="32"/>
              <w:szCs w:val="32"/>
              <w:highlight w:val="none"/>
            </w:rPr>
            <w:instrText xml:space="preserve"> PAGEREF _Toc32273 </w:instrText>
          </w:r>
          <w:r>
            <w:rPr>
              <w:rFonts w:hint="eastAsia" w:ascii="仿宋" w:hAnsi="仿宋" w:eastAsia="仿宋" w:cs="仿宋"/>
              <w:b w:val="0"/>
              <w:bCs w:val="0"/>
              <w:color w:val="auto"/>
              <w:sz w:val="32"/>
              <w:szCs w:val="32"/>
              <w:highlight w:val="none"/>
            </w:rPr>
            <w:fldChar w:fldCharType="separate"/>
          </w:r>
          <w:r>
            <w:rPr>
              <w:rFonts w:ascii="仿宋" w:hAnsi="仿宋" w:eastAsia="仿宋" w:cs="仿宋"/>
              <w:b w:val="0"/>
              <w:bCs w:val="0"/>
              <w:color w:val="auto"/>
              <w:sz w:val="32"/>
              <w:szCs w:val="32"/>
              <w:highlight w:val="none"/>
            </w:rPr>
            <w:t>- 35 -</w:t>
          </w:r>
          <w:r>
            <w:rPr>
              <w:rFonts w:hint="eastAsia" w:ascii="仿宋" w:hAnsi="仿宋" w:eastAsia="仿宋" w:cs="仿宋"/>
              <w:b w:val="0"/>
              <w:bCs w:val="0"/>
              <w:color w:val="auto"/>
              <w:sz w:val="32"/>
              <w:szCs w:val="32"/>
              <w:highlight w:val="none"/>
            </w:rPr>
            <w:fldChar w:fldCharType="end"/>
          </w:r>
          <w:r>
            <w:rPr>
              <w:rFonts w:hint="eastAsia" w:ascii="仿宋" w:hAnsi="仿宋" w:eastAsia="仿宋" w:cs="仿宋"/>
              <w:b w:val="0"/>
              <w:bCs w:val="0"/>
              <w:color w:val="auto"/>
              <w:sz w:val="32"/>
              <w:szCs w:val="32"/>
              <w:highlight w:val="none"/>
            </w:rPr>
            <w:fldChar w:fldCharType="end"/>
          </w:r>
        </w:p>
        <w:p>
          <w:pPr>
            <w:spacing w:line="480" w:lineRule="auto"/>
            <w:rPr>
              <w:color w:val="auto"/>
              <w:highlight w:val="none"/>
            </w:rPr>
          </w:pPr>
          <w:r>
            <w:rPr>
              <w:bCs/>
              <w:color w:val="auto"/>
              <w:highlight w:val="none"/>
              <w:lang w:val="zh-CN"/>
            </w:rPr>
            <w:fldChar w:fldCharType="end"/>
          </w:r>
        </w:p>
      </w:sdtContent>
    </w:sdt>
    <w:p>
      <w:pPr>
        <w:widowControl/>
        <w:jc w:val="left"/>
        <w:rPr>
          <w:rFonts w:ascii="仿宋_GB2312" w:hAnsi="Times New Roman" w:eastAsia="仿宋_GB2312" w:cs="Times New Roman"/>
          <w:color w:val="auto"/>
          <w:sz w:val="32"/>
          <w:szCs w:val="32"/>
          <w:highlight w:val="none"/>
        </w:rPr>
      </w:pPr>
      <w:r>
        <w:rPr>
          <w:rFonts w:ascii="仿宋_GB2312" w:hAnsi="Times New Roman" w:eastAsia="仿宋_GB2312" w:cs="Times New Roman"/>
          <w:color w:val="auto"/>
          <w:sz w:val="32"/>
          <w:szCs w:val="32"/>
          <w:highlight w:val="none"/>
        </w:rPr>
        <w:br w:type="page"/>
      </w:r>
    </w:p>
    <w:p>
      <w:pPr>
        <w:adjustRightInd w:val="0"/>
        <w:snapToGrid w:val="0"/>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为检验201</w:t>
      </w:r>
      <w:r>
        <w:rPr>
          <w:rFonts w:ascii="仿宋_GB2312" w:hAnsi="Times New Roman" w:eastAsia="仿宋_GB2312" w:cs="Times New Roman"/>
          <w:color w:val="auto"/>
          <w:sz w:val="32"/>
          <w:szCs w:val="32"/>
          <w:highlight w:val="none"/>
        </w:rPr>
        <w:t>8</w:t>
      </w:r>
      <w:r>
        <w:rPr>
          <w:rFonts w:hint="eastAsia" w:ascii="仿宋_GB2312" w:hAnsi="Times New Roman" w:eastAsia="仿宋_GB2312" w:cs="Times New Roman"/>
          <w:color w:val="auto"/>
          <w:sz w:val="32"/>
          <w:szCs w:val="32"/>
          <w:highlight w:val="none"/>
        </w:rPr>
        <w:t>年省级乡村振兴战略专项（构建现代农业体系）省级资金使用绩效，考核专项资金预期绩效目标的实现程度、支出效率和综合效果，全面推进我省乡村振兴战略工作，根据广东省财政厅《关于开展2019年省级财政资金绩效自评工作的通知》（粤财绩函〔2019〕24号）的相关要求，我厅对201</w:t>
      </w:r>
      <w:r>
        <w:rPr>
          <w:rFonts w:ascii="仿宋_GB2312" w:hAnsi="Times New Roman" w:eastAsia="仿宋_GB2312" w:cs="Times New Roman"/>
          <w:color w:val="auto"/>
          <w:sz w:val="32"/>
          <w:szCs w:val="32"/>
          <w:highlight w:val="none"/>
        </w:rPr>
        <w:t>8</w:t>
      </w:r>
      <w:r>
        <w:rPr>
          <w:rFonts w:hint="eastAsia" w:ascii="仿宋_GB2312" w:hAnsi="Times New Roman" w:eastAsia="仿宋_GB2312" w:cs="Times New Roman"/>
          <w:color w:val="auto"/>
          <w:sz w:val="32"/>
          <w:szCs w:val="32"/>
          <w:highlight w:val="none"/>
        </w:rPr>
        <w:t>年省级乡村振兴战略专项（构建现代农业体系）省级资金（以下简称专项资金）使用情况进行绩效自评，评价基准日为2019年3月31日。</w:t>
      </w:r>
    </w:p>
    <w:p>
      <w:pPr>
        <w:spacing w:line="360" w:lineRule="auto"/>
        <w:ind w:firstLine="640" w:firstLineChars="200"/>
        <w:outlineLvl w:val="0"/>
        <w:rPr>
          <w:rFonts w:ascii="黑体" w:hAnsi="黑体" w:eastAsia="黑体"/>
          <w:color w:val="auto"/>
          <w:sz w:val="32"/>
          <w:szCs w:val="32"/>
          <w:highlight w:val="none"/>
        </w:rPr>
      </w:pPr>
      <w:bookmarkStart w:id="0" w:name="_Toc15140364"/>
      <w:bookmarkStart w:id="1" w:name="_Toc15140509"/>
      <w:bookmarkStart w:id="2" w:name="_Toc15140284"/>
      <w:bookmarkStart w:id="3" w:name="_Toc16954"/>
      <w:bookmarkStart w:id="4" w:name="_Toc11913"/>
      <w:r>
        <w:rPr>
          <w:rFonts w:hint="eastAsia" w:ascii="黑体" w:hAnsi="黑体" w:eastAsia="黑体"/>
          <w:color w:val="auto"/>
          <w:sz w:val="32"/>
          <w:szCs w:val="32"/>
          <w:highlight w:val="none"/>
        </w:rPr>
        <w:t>一、</w:t>
      </w:r>
      <w:r>
        <w:rPr>
          <w:rFonts w:ascii="黑体" w:hAnsi="黑体" w:eastAsia="黑体"/>
          <w:color w:val="auto"/>
          <w:sz w:val="32"/>
          <w:szCs w:val="32"/>
          <w:highlight w:val="none"/>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color w:val="auto"/>
          <w:sz w:val="32"/>
          <w:szCs w:val="32"/>
          <w:highlight w:val="none"/>
        </w:rPr>
        <w:instrText xml:space="preserve">ADDIN CNKISM.UserStyle</w:instrText>
      </w:r>
      <w:r>
        <w:rPr>
          <w:rFonts w:ascii="黑体" w:hAnsi="黑体" w:eastAsia="黑体"/>
          <w:color w:val="auto"/>
          <w:sz w:val="32"/>
          <w:szCs w:val="32"/>
          <w:highlight w:val="none"/>
        </w:rPr>
        <w:fldChar w:fldCharType="end"/>
      </w:r>
      <w:r>
        <w:rPr>
          <w:rFonts w:hint="eastAsia" w:ascii="黑体" w:hAnsi="黑体" w:eastAsia="黑体"/>
          <w:color w:val="auto"/>
          <w:sz w:val="32"/>
          <w:szCs w:val="32"/>
          <w:highlight w:val="none"/>
        </w:rPr>
        <w:t>项目基本情况及自评结论</w:t>
      </w:r>
      <w:bookmarkEnd w:id="0"/>
      <w:bookmarkEnd w:id="1"/>
      <w:bookmarkEnd w:id="2"/>
      <w:bookmarkEnd w:id="3"/>
      <w:bookmarkEnd w:id="4"/>
    </w:p>
    <w:p>
      <w:pPr>
        <w:spacing w:line="360" w:lineRule="auto"/>
        <w:ind w:firstLine="640" w:firstLineChars="200"/>
        <w:outlineLvl w:val="1"/>
        <w:rPr>
          <w:rFonts w:ascii="楷体_GB2312" w:eastAsia="楷体_GB2312"/>
          <w:b/>
          <w:bCs/>
          <w:color w:val="auto"/>
          <w:sz w:val="32"/>
          <w:szCs w:val="36"/>
          <w:highlight w:val="none"/>
        </w:rPr>
      </w:pPr>
      <w:bookmarkStart w:id="5" w:name="_Toc24046"/>
      <w:bookmarkStart w:id="6" w:name="_Toc15140510"/>
      <w:bookmarkStart w:id="7" w:name="_Toc15140365"/>
      <w:bookmarkStart w:id="8" w:name="_Toc19283"/>
      <w:bookmarkStart w:id="9" w:name="_Toc15140285"/>
      <w:r>
        <w:rPr>
          <w:rFonts w:hint="eastAsia" w:ascii="楷体_GB2312" w:eastAsia="楷体_GB2312"/>
          <w:b/>
          <w:bCs/>
          <w:color w:val="auto"/>
          <w:sz w:val="32"/>
          <w:szCs w:val="36"/>
          <w:highlight w:val="none"/>
        </w:rPr>
        <w:t>（一）项目资金安排情况</w:t>
      </w:r>
      <w:bookmarkEnd w:id="5"/>
      <w:bookmarkEnd w:id="6"/>
      <w:bookmarkEnd w:id="7"/>
      <w:bookmarkEnd w:id="8"/>
      <w:bookmarkEnd w:id="9"/>
    </w:p>
    <w:p>
      <w:pPr>
        <w:spacing w:line="360" w:lineRule="auto"/>
        <w:ind w:firstLine="640" w:firstLineChars="200"/>
        <w:rPr>
          <w:rFonts w:ascii="仿宋_GB2312" w:hAnsi="Times New Roman" w:eastAsia="仿宋_GB2312" w:cs="Times New Roman"/>
          <w:b/>
          <w:bCs/>
          <w:color w:val="auto"/>
          <w:sz w:val="32"/>
          <w:szCs w:val="32"/>
          <w:highlight w:val="none"/>
        </w:rPr>
      </w:pPr>
      <w:bookmarkStart w:id="10" w:name="_Toc520192250"/>
      <w:r>
        <w:rPr>
          <w:rFonts w:hint="eastAsia" w:ascii="仿宋_GB2312" w:hAnsi="Times New Roman" w:eastAsia="仿宋_GB2312" w:cs="Times New Roman"/>
          <w:b/>
          <w:bCs/>
          <w:color w:val="auto"/>
          <w:sz w:val="32"/>
          <w:szCs w:val="32"/>
          <w:highlight w:val="none"/>
        </w:rPr>
        <w:t>1.资金背景。</w:t>
      </w:r>
      <w:bookmarkEnd w:id="10"/>
    </w:p>
    <w:p>
      <w:pPr>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实施乡村振兴战略</w:t>
      </w:r>
      <w:r>
        <w:rPr>
          <w:rFonts w:ascii="仿宋_GB2312" w:hAnsi="Times New Roman" w:eastAsia="仿宋_GB2312" w:cs="Times New Roman"/>
          <w:color w:val="auto"/>
          <w:sz w:val="32"/>
          <w:szCs w:val="32"/>
          <w:highlight w:val="none"/>
        </w:rPr>
        <w:t>,构建现代农业体系,推进农业农村现代化</w:t>
      </w:r>
      <w:r>
        <w:rPr>
          <w:rFonts w:hint="eastAsia" w:ascii="仿宋_GB2312" w:hAnsi="Times New Roman" w:eastAsia="仿宋_GB2312" w:cs="Times New Roman"/>
          <w:color w:val="auto"/>
          <w:sz w:val="32"/>
          <w:szCs w:val="32"/>
          <w:highlight w:val="none"/>
        </w:rPr>
        <w:t>，</w:t>
      </w:r>
      <w:r>
        <w:rPr>
          <w:rFonts w:ascii="仿宋_GB2312" w:hAnsi="Times New Roman" w:eastAsia="仿宋_GB2312" w:cs="Times New Roman"/>
          <w:color w:val="auto"/>
          <w:sz w:val="32"/>
          <w:szCs w:val="32"/>
          <w:highlight w:val="none"/>
        </w:rPr>
        <w:t>是全面贯彻落实习近平新时代中国特色社会主义思想、决胜全面建成小康社会奋斗目标的必然要求</w:t>
      </w:r>
      <w:r>
        <w:rPr>
          <w:rFonts w:hint="eastAsia" w:ascii="仿宋_GB2312" w:hAnsi="Times New Roman" w:eastAsia="仿宋_GB2312" w:cs="Times New Roman"/>
          <w:color w:val="auto"/>
          <w:sz w:val="32"/>
          <w:szCs w:val="32"/>
          <w:highlight w:val="none"/>
        </w:rPr>
        <w:t>。构建现代农业体系，</w:t>
      </w:r>
      <w:r>
        <w:rPr>
          <w:rFonts w:ascii="仿宋_GB2312" w:hAnsi="Times New Roman" w:eastAsia="仿宋_GB2312" w:cs="Times New Roman"/>
          <w:color w:val="auto"/>
          <w:sz w:val="32"/>
          <w:szCs w:val="32"/>
          <w:highlight w:val="none"/>
        </w:rPr>
        <w:t>发展现代农业</w:t>
      </w:r>
      <w:r>
        <w:rPr>
          <w:rFonts w:hint="eastAsia" w:ascii="仿宋_GB2312" w:hAnsi="Times New Roman" w:eastAsia="仿宋_GB2312" w:cs="Times New Roman"/>
          <w:color w:val="auto"/>
          <w:sz w:val="32"/>
          <w:szCs w:val="32"/>
          <w:highlight w:val="none"/>
        </w:rPr>
        <w:t>，就要</w:t>
      </w:r>
      <w:r>
        <w:rPr>
          <w:rFonts w:ascii="仿宋_GB2312" w:hAnsi="Times New Roman" w:eastAsia="仿宋_GB2312" w:cs="Times New Roman"/>
          <w:color w:val="auto"/>
          <w:sz w:val="32"/>
          <w:szCs w:val="32"/>
          <w:highlight w:val="none"/>
        </w:rPr>
        <w:t>优化农业结构,健全现代农业的产业体系;强化科技支撑,完善现代农业生产体系;发展适度规模经营,构建现代农业经营体系;突出社会化,健全农业社会化服务体系</w:t>
      </w:r>
      <w:r>
        <w:rPr>
          <w:rFonts w:hint="eastAsia" w:ascii="仿宋_GB2312" w:hAnsi="Times New Roman" w:eastAsia="仿宋_GB2312" w:cs="Times New Roman"/>
          <w:color w:val="auto"/>
          <w:sz w:val="32"/>
          <w:szCs w:val="32"/>
          <w:highlight w:val="none"/>
        </w:rPr>
        <w:t>。多措并举，</w:t>
      </w:r>
      <w:r>
        <w:rPr>
          <w:rFonts w:ascii="仿宋_GB2312" w:hAnsi="Times New Roman" w:eastAsia="仿宋_GB2312" w:cs="Times New Roman"/>
          <w:color w:val="auto"/>
          <w:sz w:val="32"/>
          <w:szCs w:val="32"/>
          <w:highlight w:val="none"/>
        </w:rPr>
        <w:t>全面推进我国农业农村现代化建设。</w:t>
      </w:r>
    </w:p>
    <w:p>
      <w:pPr>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2018年广东省政府工作报告中明确提出实施乡村振兴战略，加快农业农村现代化，坚决打好精准脱贫攻坚战。要坚持全省一盘棋的思路，深入实施乡村振兴战略、区域协调发展战略，优化珠三角、东西两翼和粤北山区发展格局，健全城乡融合发展体制机制，加快实现基本公共服务均等化、基础设施通达程度比较均衡、人民生活水平大体相当，加快补齐区域城乡发展不平衡这块最大的短板。</w:t>
      </w:r>
    </w:p>
    <w:p>
      <w:pPr>
        <w:snapToGrid w:val="0"/>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实施乡村振兴战略的关键在农民，落脚点在农村，重点在农业。为实施我省乡村振兴战略，构建现代农业体系，进一步保障完成我省2018年农业发展和农村工作各项任务，省财政在上年度省级农业发展和农村工作专项资金的基础上，整合设立2018年省级乡村振兴战略专项（构建现代农业体系）省级资金。</w:t>
      </w:r>
    </w:p>
    <w:p>
      <w:pPr>
        <w:spacing w:line="360" w:lineRule="auto"/>
        <w:ind w:firstLine="640" w:firstLineChars="200"/>
        <w:rPr>
          <w:rFonts w:ascii="仿宋_GB2312" w:hAnsi="Times New Roman" w:eastAsia="仿宋_GB2312" w:cs="Times New Roman"/>
          <w:b/>
          <w:bCs/>
          <w:color w:val="auto"/>
          <w:sz w:val="32"/>
          <w:szCs w:val="32"/>
          <w:highlight w:val="none"/>
        </w:rPr>
      </w:pPr>
      <w:bookmarkStart w:id="11" w:name="_Toc520192251"/>
      <w:r>
        <w:rPr>
          <w:rFonts w:hint="eastAsia" w:ascii="仿宋_GB2312" w:hAnsi="Times New Roman" w:eastAsia="仿宋_GB2312" w:cs="Times New Roman"/>
          <w:b/>
          <w:bCs/>
          <w:color w:val="auto"/>
          <w:sz w:val="32"/>
          <w:szCs w:val="32"/>
          <w:highlight w:val="none"/>
        </w:rPr>
        <w:t>2.资金概况。</w:t>
      </w:r>
      <w:bookmarkEnd w:id="11"/>
    </w:p>
    <w:p>
      <w:pPr>
        <w:pStyle w:val="13"/>
        <w:widowControl/>
        <w:spacing w:before="0" w:beforeAutospacing="0" w:after="0" w:afterAutospacing="0" w:line="360" w:lineRule="auto"/>
        <w:ind w:firstLine="640" w:firstLineChars="200"/>
        <w:jc w:val="both"/>
        <w:rPr>
          <w:rFonts w:ascii="仿宋_GB2312" w:hAnsi="Times New Roman" w:eastAsia="仿宋_GB2312"/>
          <w:color w:val="auto"/>
          <w:kern w:val="2"/>
          <w:sz w:val="32"/>
          <w:szCs w:val="32"/>
          <w:highlight w:val="none"/>
        </w:rPr>
      </w:pPr>
      <w:bookmarkStart w:id="12" w:name="_Toc520191467"/>
      <w:r>
        <w:rPr>
          <w:rFonts w:hint="eastAsia" w:ascii="仿宋_GB2312" w:hAnsi="Times New Roman" w:eastAsia="仿宋_GB2312"/>
          <w:color w:val="auto"/>
          <w:kern w:val="2"/>
          <w:sz w:val="32"/>
          <w:szCs w:val="32"/>
          <w:highlight w:val="none"/>
        </w:rPr>
        <w:t>根据农业农村部和省委省政府工作部署以及《广东省省级财政专项资金管理办法》（粤府〔2016〕86号）、《</w:t>
      </w:r>
      <w:r>
        <w:rPr>
          <w:rFonts w:ascii="仿宋_GB2312" w:hAnsi="Times New Roman" w:eastAsia="仿宋_GB2312"/>
          <w:color w:val="auto"/>
          <w:kern w:val="2"/>
          <w:sz w:val="32"/>
          <w:szCs w:val="32"/>
          <w:highlight w:val="none"/>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hAnsi="Times New Roman" w:eastAsia="仿宋_GB2312"/>
          <w:color w:val="auto"/>
          <w:kern w:val="2"/>
          <w:sz w:val="32"/>
          <w:szCs w:val="32"/>
          <w:highlight w:val="none"/>
        </w:rPr>
        <w:instrText xml:space="preserve">ADDIN CNKISM.UserStyle</w:instrText>
      </w:r>
      <w:r>
        <w:rPr>
          <w:rFonts w:ascii="仿宋_GB2312" w:hAnsi="Times New Roman" w:eastAsia="仿宋_GB2312"/>
          <w:color w:val="auto"/>
          <w:kern w:val="2"/>
          <w:sz w:val="32"/>
          <w:szCs w:val="32"/>
          <w:highlight w:val="none"/>
        </w:rPr>
        <w:fldChar w:fldCharType="end"/>
      </w:r>
      <w:r>
        <w:rPr>
          <w:rFonts w:hint="eastAsia" w:ascii="仿宋_GB2312" w:hAnsi="Times New Roman" w:eastAsia="仿宋_GB2312"/>
          <w:color w:val="auto"/>
          <w:kern w:val="2"/>
          <w:sz w:val="32"/>
          <w:szCs w:val="32"/>
          <w:highlight w:val="none"/>
        </w:rPr>
        <w:t>广东省人民政府关于印发广东省省级财政专项资金管理办法（试行）的通知》（粤府〔2018〕120号）等文件的有关规定,对下转移支付市县的专项资金实行“大专项+任务清单”管理模式，采用因素法等方法进行分配。省直单位主要采用项目制方式，通过竞争性分配、专家评审论证、集体研究审核等方法进行分配。</w:t>
      </w:r>
    </w:p>
    <w:p>
      <w:pPr>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2018年共安排下达省级乡村振兴战略专项（构建现代农业体系）省级资金91483万元。</w:t>
      </w:r>
    </w:p>
    <w:p>
      <w:pPr>
        <w:snapToGrid w:val="0"/>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专项资金用途主要是新型经营主体培育等18个方向（详见表1-1）。</w:t>
      </w:r>
    </w:p>
    <w:p>
      <w:pPr>
        <w:pStyle w:val="2"/>
        <w:rPr>
          <w:color w:val="auto"/>
          <w:highlight w:val="none"/>
        </w:rPr>
      </w:pPr>
    </w:p>
    <w:p>
      <w:pPr>
        <w:snapToGrid w:val="0"/>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表1-1. 2018年专项资金用途安排情况表</w:t>
      </w:r>
    </w:p>
    <w:tbl>
      <w:tblPr>
        <w:tblStyle w:val="18"/>
        <w:tblW w:w="83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566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vMerge w:val="restart"/>
            <w:vAlign w:val="center"/>
          </w:tcPr>
          <w:p>
            <w:pPr>
              <w:snapToGrid w:val="0"/>
              <w:jc w:val="center"/>
              <w:rPr>
                <w:rFonts w:ascii="仿宋_GB2312" w:hAnsi="等线" w:eastAsia="仿宋_GB2312" w:cs="仿宋_GB2312"/>
                <w:b/>
                <w:color w:val="auto"/>
                <w:kern w:val="0"/>
                <w:sz w:val="24"/>
                <w:szCs w:val="24"/>
                <w:highlight w:val="none"/>
              </w:rPr>
            </w:pPr>
            <w:r>
              <w:rPr>
                <w:rFonts w:hint="eastAsia" w:ascii="仿宋_GB2312" w:hAnsi="等线" w:eastAsia="仿宋_GB2312" w:cs="仿宋_GB2312"/>
                <w:b/>
                <w:color w:val="auto"/>
                <w:kern w:val="0"/>
                <w:sz w:val="24"/>
                <w:szCs w:val="24"/>
                <w:highlight w:val="none"/>
              </w:rPr>
              <w:t>序号</w:t>
            </w:r>
          </w:p>
        </w:tc>
        <w:tc>
          <w:tcPr>
            <w:tcW w:w="5667" w:type="dxa"/>
            <w:vAlign w:val="center"/>
          </w:tcPr>
          <w:p>
            <w:pPr>
              <w:snapToGrid w:val="0"/>
              <w:jc w:val="center"/>
              <w:rPr>
                <w:rFonts w:ascii="仿宋_GB2312" w:hAnsi="仿宋" w:eastAsia="仿宋_GB2312"/>
                <w:color w:val="auto"/>
                <w:sz w:val="24"/>
                <w:szCs w:val="24"/>
                <w:highlight w:val="none"/>
              </w:rPr>
            </w:pPr>
            <w:r>
              <w:rPr>
                <w:rFonts w:hint="eastAsia" w:ascii="仿宋_GB2312" w:hAnsi="等线" w:eastAsia="仿宋_GB2312" w:cs="仿宋_GB2312"/>
                <w:b/>
                <w:color w:val="auto"/>
                <w:kern w:val="0"/>
                <w:sz w:val="24"/>
                <w:szCs w:val="24"/>
                <w:highlight w:val="none"/>
              </w:rPr>
              <w:t>资金用途（方向）</w:t>
            </w:r>
          </w:p>
        </w:tc>
        <w:tc>
          <w:tcPr>
            <w:tcW w:w="1707" w:type="dxa"/>
            <w:vAlign w:val="center"/>
          </w:tcPr>
          <w:p>
            <w:pPr>
              <w:snapToGrid w:val="0"/>
              <w:jc w:val="center"/>
              <w:rPr>
                <w:rFonts w:ascii="仿宋_GB2312" w:hAnsi="仿宋" w:eastAsia="仿宋_GB2312"/>
                <w:color w:val="auto"/>
                <w:sz w:val="24"/>
                <w:szCs w:val="24"/>
                <w:highlight w:val="none"/>
              </w:rPr>
            </w:pPr>
            <w:r>
              <w:rPr>
                <w:rFonts w:hint="eastAsia" w:ascii="仿宋_GB2312" w:hAnsi="等线" w:eastAsia="仿宋_GB2312" w:cs="仿宋_GB2312"/>
                <w:b/>
                <w:color w:val="auto"/>
                <w:kern w:val="0"/>
                <w:sz w:val="24"/>
                <w:szCs w:val="24"/>
                <w:highlight w:val="none"/>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vMerge w:val="continue"/>
            <w:vAlign w:val="center"/>
          </w:tcPr>
          <w:p>
            <w:pPr>
              <w:snapToGrid w:val="0"/>
              <w:jc w:val="center"/>
              <w:rPr>
                <w:rFonts w:ascii="仿宋_GB2312" w:hAnsi="等线" w:eastAsia="仿宋_GB2312" w:cs="仿宋_GB2312"/>
                <w:color w:val="auto"/>
                <w:kern w:val="0"/>
                <w:sz w:val="24"/>
                <w:szCs w:val="24"/>
                <w:highlight w:val="none"/>
              </w:rPr>
            </w:pPr>
          </w:p>
        </w:tc>
        <w:tc>
          <w:tcPr>
            <w:tcW w:w="5667" w:type="dxa"/>
            <w:vAlign w:val="center"/>
          </w:tcPr>
          <w:p>
            <w:pPr>
              <w:snapToGrid w:val="0"/>
              <w:jc w:val="center"/>
              <w:rPr>
                <w:rFonts w:ascii="仿宋_GB2312" w:hAnsi="等线" w:eastAsia="仿宋_GB2312" w:cs="仿宋_GB2312"/>
                <w:color w:val="auto"/>
                <w:kern w:val="0"/>
                <w:sz w:val="24"/>
                <w:szCs w:val="24"/>
                <w:highlight w:val="none"/>
              </w:rPr>
            </w:pPr>
            <w:r>
              <w:rPr>
                <w:rFonts w:hint="eastAsia" w:ascii="仿宋_GB2312" w:hAnsi="等线" w:eastAsia="仿宋_GB2312" w:cs="仿宋_GB2312"/>
                <w:color w:val="auto"/>
                <w:kern w:val="0"/>
                <w:sz w:val="24"/>
                <w:szCs w:val="24"/>
                <w:highlight w:val="none"/>
              </w:rPr>
              <w:t>合  计</w:t>
            </w:r>
          </w:p>
        </w:tc>
        <w:tc>
          <w:tcPr>
            <w:tcW w:w="1707" w:type="dxa"/>
            <w:vAlign w:val="center"/>
          </w:tcPr>
          <w:p>
            <w:pPr>
              <w:snapToGrid w:val="0"/>
              <w:jc w:val="center"/>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91483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hAnsi="等线" w:eastAsia="仿宋_GB2312" w:cs="仿宋_GB2312"/>
                <w:color w:val="auto"/>
                <w:kern w:val="0"/>
                <w:sz w:val="24"/>
                <w:szCs w:val="24"/>
                <w:highlight w:val="none"/>
              </w:rPr>
              <w:t>1</w:t>
            </w:r>
          </w:p>
        </w:tc>
        <w:tc>
          <w:tcPr>
            <w:tcW w:w="5667"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新型经营主体培育</w:t>
            </w:r>
          </w:p>
        </w:tc>
        <w:tc>
          <w:tcPr>
            <w:tcW w:w="1707" w:type="dxa"/>
            <w:tcBorders>
              <w:top w:val="single" w:color="auto" w:sz="4" w:space="0"/>
              <w:left w:val="nil"/>
              <w:bottom w:val="single" w:color="auto" w:sz="4" w:space="0"/>
              <w:right w:val="single" w:color="auto" w:sz="4" w:space="0"/>
            </w:tcBorders>
            <w:shd w:val="clear" w:color="000000" w:fill="FFFFFF"/>
            <w:vAlign w:val="center"/>
          </w:tcPr>
          <w:p>
            <w:pPr>
              <w:snapToGrid w:val="0"/>
              <w:jc w:val="center"/>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nil"/>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w:t>
            </w:r>
          </w:p>
        </w:tc>
        <w:tc>
          <w:tcPr>
            <w:tcW w:w="5667" w:type="dxa"/>
            <w:tcBorders>
              <w:top w:val="nil"/>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草地畜牧业及畜禽品种保护</w:t>
            </w:r>
          </w:p>
        </w:tc>
        <w:tc>
          <w:tcPr>
            <w:tcW w:w="1707" w:type="dxa"/>
            <w:tcBorders>
              <w:top w:val="nil"/>
              <w:left w:val="nil"/>
              <w:bottom w:val="single" w:color="auto" w:sz="4" w:space="0"/>
              <w:right w:val="single" w:color="auto" w:sz="4" w:space="0"/>
            </w:tcBorders>
            <w:shd w:val="clear" w:color="000000" w:fill="FFFFFF"/>
            <w:vAlign w:val="center"/>
          </w:tcPr>
          <w:p>
            <w:pPr>
              <w:snapToGrid w:val="0"/>
              <w:jc w:val="center"/>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nil"/>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3</w:t>
            </w:r>
          </w:p>
        </w:tc>
        <w:tc>
          <w:tcPr>
            <w:tcW w:w="5667" w:type="dxa"/>
            <w:tcBorders>
              <w:top w:val="nil"/>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农业先进机械装备采购及引进与区域性社会化服务</w:t>
            </w:r>
          </w:p>
        </w:tc>
        <w:tc>
          <w:tcPr>
            <w:tcW w:w="1707" w:type="dxa"/>
            <w:tcBorders>
              <w:top w:val="nil"/>
              <w:left w:val="nil"/>
              <w:bottom w:val="single" w:color="auto" w:sz="4" w:space="0"/>
              <w:right w:val="single" w:color="auto" w:sz="4" w:space="0"/>
            </w:tcBorders>
            <w:shd w:val="clear" w:color="000000" w:fill="FFFFFF"/>
            <w:vAlign w:val="center"/>
          </w:tcPr>
          <w:p>
            <w:pPr>
              <w:snapToGrid w:val="0"/>
              <w:jc w:val="center"/>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nil"/>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4</w:t>
            </w:r>
          </w:p>
        </w:tc>
        <w:tc>
          <w:tcPr>
            <w:tcW w:w="5667" w:type="dxa"/>
            <w:tcBorders>
              <w:top w:val="nil"/>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设施农业</w:t>
            </w:r>
          </w:p>
        </w:tc>
        <w:tc>
          <w:tcPr>
            <w:tcW w:w="1707" w:type="dxa"/>
            <w:tcBorders>
              <w:top w:val="nil"/>
              <w:left w:val="nil"/>
              <w:bottom w:val="single" w:color="auto" w:sz="4" w:space="0"/>
              <w:right w:val="single" w:color="auto" w:sz="4" w:space="0"/>
            </w:tcBorders>
            <w:shd w:val="clear" w:color="000000" w:fill="FFFFFF"/>
            <w:vAlign w:val="center"/>
          </w:tcPr>
          <w:p>
            <w:pPr>
              <w:snapToGrid w:val="0"/>
              <w:jc w:val="center"/>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nil"/>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5</w:t>
            </w:r>
          </w:p>
        </w:tc>
        <w:tc>
          <w:tcPr>
            <w:tcW w:w="5667" w:type="dxa"/>
            <w:tcBorders>
              <w:top w:val="nil"/>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现代种业创新提升</w:t>
            </w:r>
          </w:p>
        </w:tc>
        <w:tc>
          <w:tcPr>
            <w:tcW w:w="1707" w:type="dxa"/>
            <w:tcBorders>
              <w:top w:val="nil"/>
              <w:left w:val="nil"/>
              <w:bottom w:val="single" w:color="auto" w:sz="4" w:space="0"/>
              <w:right w:val="single" w:color="auto" w:sz="4" w:space="0"/>
            </w:tcBorders>
            <w:shd w:val="clear" w:color="000000" w:fill="FFFFFF"/>
            <w:vAlign w:val="center"/>
          </w:tcPr>
          <w:p>
            <w:pPr>
              <w:snapToGrid w:val="0"/>
              <w:jc w:val="center"/>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nil"/>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6</w:t>
            </w:r>
          </w:p>
        </w:tc>
        <w:tc>
          <w:tcPr>
            <w:tcW w:w="5667" w:type="dxa"/>
            <w:tcBorders>
              <w:top w:val="nil"/>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岭南佳果良种试验示范基地</w:t>
            </w:r>
          </w:p>
        </w:tc>
        <w:tc>
          <w:tcPr>
            <w:tcW w:w="1707" w:type="dxa"/>
            <w:tcBorders>
              <w:top w:val="nil"/>
              <w:left w:val="nil"/>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nil"/>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7</w:t>
            </w:r>
          </w:p>
        </w:tc>
        <w:tc>
          <w:tcPr>
            <w:tcW w:w="5667" w:type="dxa"/>
            <w:tcBorders>
              <w:top w:val="nil"/>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农业科技创新及推广项目</w:t>
            </w:r>
          </w:p>
        </w:tc>
        <w:tc>
          <w:tcPr>
            <w:tcW w:w="1707" w:type="dxa"/>
            <w:tcBorders>
              <w:top w:val="nil"/>
              <w:left w:val="nil"/>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nil"/>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8</w:t>
            </w:r>
          </w:p>
        </w:tc>
        <w:tc>
          <w:tcPr>
            <w:tcW w:w="5667" w:type="dxa"/>
            <w:tcBorders>
              <w:top w:val="nil"/>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特色农产品优势区创建与“互联网+”品牌宣传推广</w:t>
            </w:r>
          </w:p>
        </w:tc>
        <w:tc>
          <w:tcPr>
            <w:tcW w:w="1707" w:type="dxa"/>
            <w:tcBorders>
              <w:top w:val="nil"/>
              <w:left w:val="nil"/>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nil"/>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9</w:t>
            </w:r>
          </w:p>
        </w:tc>
        <w:tc>
          <w:tcPr>
            <w:tcW w:w="5667" w:type="dxa"/>
            <w:tcBorders>
              <w:top w:val="nil"/>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农业公园创建</w:t>
            </w:r>
          </w:p>
        </w:tc>
        <w:tc>
          <w:tcPr>
            <w:tcW w:w="1707" w:type="dxa"/>
            <w:tcBorders>
              <w:top w:val="nil"/>
              <w:left w:val="nil"/>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nil"/>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10</w:t>
            </w:r>
          </w:p>
        </w:tc>
        <w:tc>
          <w:tcPr>
            <w:tcW w:w="5667" w:type="dxa"/>
            <w:tcBorders>
              <w:top w:val="nil"/>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“三高”农业和发展粮食生产</w:t>
            </w:r>
          </w:p>
        </w:tc>
        <w:tc>
          <w:tcPr>
            <w:tcW w:w="1707" w:type="dxa"/>
            <w:tcBorders>
              <w:top w:val="nil"/>
              <w:left w:val="nil"/>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5170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nil"/>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11</w:t>
            </w:r>
          </w:p>
        </w:tc>
        <w:tc>
          <w:tcPr>
            <w:tcW w:w="5667" w:type="dxa"/>
            <w:tcBorders>
              <w:top w:val="nil"/>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良种良法示范基地建设</w:t>
            </w:r>
          </w:p>
        </w:tc>
        <w:tc>
          <w:tcPr>
            <w:tcW w:w="1707" w:type="dxa"/>
            <w:tcBorders>
              <w:top w:val="nil"/>
              <w:left w:val="nil"/>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nil"/>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12</w:t>
            </w:r>
          </w:p>
        </w:tc>
        <w:tc>
          <w:tcPr>
            <w:tcW w:w="5667" w:type="dxa"/>
            <w:tcBorders>
              <w:top w:val="nil"/>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土地确权颁证及农村集体产权制度改革</w:t>
            </w:r>
          </w:p>
        </w:tc>
        <w:tc>
          <w:tcPr>
            <w:tcW w:w="1707" w:type="dxa"/>
            <w:tcBorders>
              <w:top w:val="nil"/>
              <w:left w:val="nil"/>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nil"/>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13</w:t>
            </w:r>
          </w:p>
        </w:tc>
        <w:tc>
          <w:tcPr>
            <w:tcW w:w="5667" w:type="dxa"/>
            <w:tcBorders>
              <w:top w:val="nil"/>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农业农村实用人才与新型职业农民培训</w:t>
            </w:r>
          </w:p>
        </w:tc>
        <w:tc>
          <w:tcPr>
            <w:tcW w:w="1707" w:type="dxa"/>
            <w:tcBorders>
              <w:top w:val="nil"/>
              <w:left w:val="nil"/>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nil"/>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14</w:t>
            </w:r>
          </w:p>
        </w:tc>
        <w:tc>
          <w:tcPr>
            <w:tcW w:w="5667" w:type="dxa"/>
            <w:tcBorders>
              <w:top w:val="nil"/>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农业产业精准扶贫</w:t>
            </w:r>
          </w:p>
        </w:tc>
        <w:tc>
          <w:tcPr>
            <w:tcW w:w="1707" w:type="dxa"/>
            <w:tcBorders>
              <w:top w:val="nil"/>
              <w:left w:val="nil"/>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15</w:t>
            </w:r>
          </w:p>
        </w:tc>
        <w:tc>
          <w:tcPr>
            <w:tcW w:w="5667"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“两区”划定省级工作经费</w:t>
            </w:r>
          </w:p>
        </w:tc>
        <w:tc>
          <w:tcPr>
            <w:tcW w:w="1707" w:type="dxa"/>
            <w:tcBorders>
              <w:top w:val="single" w:color="auto" w:sz="4" w:space="0"/>
              <w:left w:val="nil"/>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16</w:t>
            </w:r>
          </w:p>
        </w:tc>
        <w:tc>
          <w:tcPr>
            <w:tcW w:w="5667"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乡村振兴战略规划、展示、示范、宣传、培训经费</w:t>
            </w:r>
          </w:p>
        </w:tc>
        <w:tc>
          <w:tcPr>
            <w:tcW w:w="1707" w:type="dxa"/>
            <w:tcBorders>
              <w:top w:val="single" w:color="auto" w:sz="4" w:space="0"/>
              <w:left w:val="nil"/>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17</w:t>
            </w:r>
          </w:p>
        </w:tc>
        <w:tc>
          <w:tcPr>
            <w:tcW w:w="5667"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农民负担监测</w:t>
            </w:r>
          </w:p>
        </w:tc>
        <w:tc>
          <w:tcPr>
            <w:tcW w:w="1707" w:type="dxa"/>
            <w:tcBorders>
              <w:top w:val="single" w:color="auto" w:sz="4" w:space="0"/>
              <w:left w:val="nil"/>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945"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18</w:t>
            </w:r>
          </w:p>
        </w:tc>
        <w:tc>
          <w:tcPr>
            <w:tcW w:w="5667"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jc w:val="left"/>
              <w:rPr>
                <w:rFonts w:ascii="仿宋_GB2312" w:hAnsi="仿宋" w:eastAsia="仿宋_GB2312"/>
                <w:color w:val="auto"/>
                <w:sz w:val="24"/>
                <w:szCs w:val="24"/>
                <w:highlight w:val="none"/>
              </w:rPr>
            </w:pPr>
            <w:r>
              <w:rPr>
                <w:rFonts w:hint="eastAsia" w:ascii="仿宋_GB2312" w:eastAsia="仿宋_GB2312"/>
                <w:color w:val="auto"/>
                <w:sz w:val="24"/>
                <w:szCs w:val="24"/>
                <w:highlight w:val="none"/>
              </w:rPr>
              <w:t>现代农业成果交流展示</w:t>
            </w:r>
          </w:p>
        </w:tc>
        <w:tc>
          <w:tcPr>
            <w:tcW w:w="1707" w:type="dxa"/>
            <w:tcBorders>
              <w:top w:val="single" w:color="auto" w:sz="4" w:space="0"/>
              <w:left w:val="nil"/>
              <w:bottom w:val="single" w:color="auto" w:sz="4" w:space="0"/>
              <w:right w:val="single" w:color="auto" w:sz="4" w:space="0"/>
            </w:tcBorders>
            <w:shd w:val="clear" w:color="000000" w:fill="FFFFFF"/>
            <w:vAlign w:val="center"/>
          </w:tcPr>
          <w:p>
            <w:pPr>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1153</w:t>
            </w:r>
          </w:p>
        </w:tc>
      </w:tr>
    </w:tbl>
    <w:p>
      <w:pPr>
        <w:snapToGrid w:val="0"/>
        <w:spacing w:line="360" w:lineRule="auto"/>
        <w:ind w:firstLine="480" w:firstLineChars="200"/>
        <w:rPr>
          <w:rFonts w:ascii="仿宋_GB2312" w:hAnsi="Times New Roman" w:eastAsia="仿宋_GB2312" w:cs="Times New Roman"/>
          <w:color w:val="auto"/>
          <w:sz w:val="24"/>
          <w:szCs w:val="24"/>
          <w:highlight w:val="none"/>
        </w:rPr>
      </w:pPr>
    </w:p>
    <w:bookmarkEnd w:id="12"/>
    <w:p>
      <w:pPr>
        <w:snapToGrid w:val="0"/>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专项资金支持范围涉及全省除深圳市以外的20个地级以上市和省直有关单位（详见表1-2）。</w:t>
      </w:r>
    </w:p>
    <w:p>
      <w:pPr>
        <w:snapToGrid w:val="0"/>
        <w:spacing w:line="360" w:lineRule="auto"/>
        <w:jc w:val="center"/>
        <w:rPr>
          <w:rFonts w:ascii="黑体" w:hAnsi="黑体" w:eastAsia="黑体"/>
          <w:color w:val="auto"/>
          <w:sz w:val="28"/>
          <w:szCs w:val="28"/>
          <w:highlight w:val="none"/>
        </w:rPr>
      </w:pPr>
    </w:p>
    <w:p>
      <w:pPr>
        <w:snapToGrid w:val="0"/>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 xml:space="preserve">表1-2. </w:t>
      </w:r>
      <w:r>
        <w:rPr>
          <w:rFonts w:ascii="黑体" w:hAnsi="黑体" w:eastAsia="黑体"/>
          <w:color w:val="auto"/>
          <w:sz w:val="28"/>
          <w:szCs w:val="28"/>
          <w:highlight w:val="none"/>
        </w:rPr>
        <w:t>2018年构建现代农业体系专项资金分配情况表</w:t>
      </w:r>
    </w:p>
    <w:p>
      <w:pPr>
        <w:pStyle w:val="2"/>
        <w:ind w:right="210"/>
        <w:jc w:val="right"/>
        <w:rPr>
          <w:color w:val="auto"/>
          <w:highlight w:val="none"/>
        </w:rPr>
      </w:pPr>
      <w:r>
        <w:rPr>
          <w:rFonts w:hint="eastAsia" w:ascii="黑体" w:hAnsi="黑体" w:eastAsia="黑体" w:cs="黑体"/>
          <w:color w:val="auto"/>
          <w:highlight w:val="none"/>
        </w:rPr>
        <w:t>单位：万元</w:t>
      </w:r>
    </w:p>
    <w:tbl>
      <w:tblPr>
        <w:tblStyle w:val="17"/>
        <w:tblW w:w="8871" w:type="dxa"/>
        <w:jc w:val="center"/>
        <w:tblInd w:w="0" w:type="dxa"/>
        <w:tblLayout w:type="fixed"/>
        <w:tblCellMar>
          <w:top w:w="0" w:type="dxa"/>
          <w:left w:w="108" w:type="dxa"/>
          <w:bottom w:w="0" w:type="dxa"/>
          <w:right w:w="108" w:type="dxa"/>
        </w:tblCellMar>
      </w:tblPr>
      <w:tblGrid>
        <w:gridCol w:w="1570"/>
        <w:gridCol w:w="1571"/>
        <w:gridCol w:w="1658"/>
        <w:gridCol w:w="2036"/>
        <w:gridCol w:w="2036"/>
      </w:tblGrid>
      <w:tr>
        <w:tblPrEx>
          <w:tblLayout w:type="fixed"/>
          <w:tblCellMar>
            <w:top w:w="0" w:type="dxa"/>
            <w:left w:w="108" w:type="dxa"/>
            <w:bottom w:w="0" w:type="dxa"/>
            <w:right w:w="108" w:type="dxa"/>
          </w:tblCellMar>
        </w:tblPrEx>
        <w:trPr>
          <w:trHeight w:val="313" w:hRule="atLeast"/>
          <w:jc w:val="center"/>
        </w:trPr>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序号</w:t>
            </w:r>
          </w:p>
        </w:tc>
        <w:tc>
          <w:tcPr>
            <w:tcW w:w="157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地市</w:t>
            </w:r>
          </w:p>
        </w:tc>
        <w:tc>
          <w:tcPr>
            <w:tcW w:w="165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合计</w:t>
            </w:r>
          </w:p>
        </w:tc>
        <w:tc>
          <w:tcPr>
            <w:tcW w:w="203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约束性任务</w:t>
            </w:r>
          </w:p>
        </w:tc>
        <w:tc>
          <w:tcPr>
            <w:tcW w:w="203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指导性任务</w:t>
            </w:r>
          </w:p>
        </w:tc>
      </w:tr>
      <w:tr>
        <w:tblPrEx>
          <w:tblLayout w:type="fixed"/>
          <w:tblCellMar>
            <w:top w:w="0" w:type="dxa"/>
            <w:left w:w="108" w:type="dxa"/>
            <w:bottom w:w="0" w:type="dxa"/>
            <w:right w:w="108" w:type="dxa"/>
          </w:tblCellMar>
        </w:tblPrEx>
        <w:trPr>
          <w:trHeight w:val="313" w:hRule="atLeast"/>
          <w:jc w:val="center"/>
        </w:trPr>
        <w:tc>
          <w:tcPr>
            <w:tcW w:w="3141"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合计</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91483</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79763</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11720</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广州市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3788.35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3608.35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180</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珠海市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682.05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534.05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148</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汕头市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1838.25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1318.25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520</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佛山市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854.2</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600.2</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254</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韶关市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5771.5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5388.5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383</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河源市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5433.3</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4954.3</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479</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7</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梅州市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6870.4</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6049.4</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821</w:t>
            </w:r>
          </w:p>
        </w:tc>
      </w:tr>
      <w:tr>
        <w:tblPrEx>
          <w:tblLayout w:type="fixed"/>
          <w:tblCellMar>
            <w:top w:w="0" w:type="dxa"/>
            <w:left w:w="108" w:type="dxa"/>
            <w:bottom w:w="0" w:type="dxa"/>
            <w:right w:w="108" w:type="dxa"/>
          </w:tblCellMar>
        </w:tblPrEx>
        <w:trPr>
          <w:trHeight w:val="313" w:hRule="atLeast"/>
          <w:jc w:val="center"/>
        </w:trPr>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8</w:t>
            </w:r>
          </w:p>
        </w:tc>
        <w:tc>
          <w:tcPr>
            <w:tcW w:w="157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惠州市</w:t>
            </w:r>
          </w:p>
        </w:tc>
        <w:tc>
          <w:tcPr>
            <w:tcW w:w="165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3004.25</w:t>
            </w:r>
          </w:p>
        </w:tc>
        <w:tc>
          <w:tcPr>
            <w:tcW w:w="203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2626.25</w:t>
            </w:r>
          </w:p>
        </w:tc>
        <w:tc>
          <w:tcPr>
            <w:tcW w:w="203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378</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9</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汕尾市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1870.25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1204.25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666</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东莞市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704.05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548.05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156</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11</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中山市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597.05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456.05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141</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12</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江门市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1687.3</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839.3</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848</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13</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阳江市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1715.25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1131.25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584</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14</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湛江市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7279.4</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5213.4</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2066</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15</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茂名市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3770.25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3103.25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667</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16</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肇庆市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3396.35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2353.35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1043</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17</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清远市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3277.4</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2451.4</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826</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18</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潮州市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1195.2</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696.2</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499</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19</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揭阳市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1500.35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1101.35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399</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云浮市</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2436.25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1774.25</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662</w:t>
            </w:r>
          </w:p>
        </w:tc>
      </w:tr>
      <w:tr>
        <w:tblPrEx>
          <w:tblLayout w:type="fixed"/>
          <w:tblCellMar>
            <w:top w:w="0" w:type="dxa"/>
            <w:left w:w="108" w:type="dxa"/>
            <w:bottom w:w="0" w:type="dxa"/>
            <w:right w:w="108" w:type="dxa"/>
          </w:tblCellMar>
        </w:tblPrEx>
        <w:trPr>
          <w:trHeight w:val="313" w:hRule="atLeast"/>
          <w:jc w:val="center"/>
        </w:trPr>
        <w:tc>
          <w:tcPr>
            <w:tcW w:w="157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21</w:t>
            </w:r>
          </w:p>
        </w:tc>
        <w:tc>
          <w:tcPr>
            <w:tcW w:w="15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省直单位</w:t>
            </w:r>
          </w:p>
        </w:tc>
        <w:tc>
          <w:tcPr>
            <w:tcW w:w="1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33811.6</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33811.6</w:t>
            </w:r>
          </w:p>
        </w:tc>
        <w:tc>
          <w:tcPr>
            <w:tcW w:w="20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bl>
    <w:p>
      <w:pPr>
        <w:snapToGrid w:val="0"/>
        <w:spacing w:line="360" w:lineRule="auto"/>
        <w:rPr>
          <w:rFonts w:ascii="仿宋_GB2312" w:hAnsi="仿宋"/>
          <w:color w:val="auto"/>
          <w:szCs w:val="32"/>
          <w:highlight w:val="none"/>
        </w:rPr>
      </w:pPr>
    </w:p>
    <w:p>
      <w:pPr>
        <w:spacing w:line="360" w:lineRule="auto"/>
        <w:ind w:firstLine="640" w:firstLineChars="200"/>
        <w:outlineLvl w:val="1"/>
        <w:rPr>
          <w:rFonts w:ascii="楷体_GB2312" w:eastAsia="楷体_GB2312"/>
          <w:b/>
          <w:bCs/>
          <w:color w:val="auto"/>
          <w:sz w:val="32"/>
          <w:szCs w:val="36"/>
          <w:highlight w:val="none"/>
        </w:rPr>
      </w:pPr>
      <w:bookmarkStart w:id="13" w:name="_Toc15140366"/>
      <w:bookmarkStart w:id="14" w:name="_Toc15140286"/>
      <w:bookmarkStart w:id="15" w:name="_Toc15140511"/>
      <w:bookmarkStart w:id="16" w:name="_Toc9897"/>
      <w:bookmarkStart w:id="17" w:name="_Toc11835"/>
      <w:r>
        <w:rPr>
          <w:rFonts w:hint="eastAsia" w:ascii="楷体_GB2312" w:eastAsia="楷体_GB2312"/>
          <w:b/>
          <w:bCs/>
          <w:color w:val="auto"/>
          <w:sz w:val="32"/>
          <w:szCs w:val="36"/>
          <w:highlight w:val="none"/>
        </w:rPr>
        <w:t>（二）项目实施主要内容及实施程序</w:t>
      </w:r>
      <w:bookmarkEnd w:id="13"/>
      <w:bookmarkEnd w:id="14"/>
      <w:bookmarkEnd w:id="15"/>
      <w:bookmarkEnd w:id="16"/>
      <w:bookmarkEnd w:id="17"/>
    </w:p>
    <w:p>
      <w:pPr>
        <w:spacing w:line="360" w:lineRule="auto"/>
        <w:ind w:firstLine="640" w:firstLineChars="200"/>
        <w:rPr>
          <w:rFonts w:ascii="仿宋_GB2312" w:hAnsi="Times New Roman" w:eastAsia="仿宋_GB2312" w:cs="Times New Roman"/>
          <w:b/>
          <w:bCs/>
          <w:color w:val="auto"/>
          <w:sz w:val="32"/>
          <w:szCs w:val="32"/>
          <w:highlight w:val="none"/>
        </w:rPr>
      </w:pPr>
      <w:bookmarkStart w:id="18" w:name="_Toc520191468"/>
      <w:r>
        <w:rPr>
          <w:rFonts w:hint="eastAsia" w:ascii="仿宋_GB2312" w:hAnsi="Times New Roman" w:eastAsia="仿宋_GB2312" w:cs="Times New Roman"/>
          <w:b/>
          <w:bCs/>
          <w:color w:val="auto"/>
          <w:sz w:val="32"/>
          <w:szCs w:val="32"/>
          <w:highlight w:val="none"/>
        </w:rPr>
        <w:t>1.项目实施主要内容。</w:t>
      </w:r>
    </w:p>
    <w:bookmarkEnd w:id="18"/>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（1）新型经营主体培育专项资金。主要用于</w:t>
      </w:r>
      <w:r>
        <w:rPr>
          <w:rFonts w:hint="eastAsia" w:ascii="仿宋" w:hAnsi="仿宋" w:eastAsia="仿宋" w:cs="仿宋"/>
          <w:color w:val="auto"/>
          <w:sz w:val="32"/>
          <w:szCs w:val="32"/>
          <w:highlight w:val="none"/>
        </w:rPr>
        <w:t>扶持龙头企业、农民合作社和家庭农场三类新型农业经营主体发展。</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（2）草地畜牧业及畜禽品种保护专项资金。</w:t>
      </w:r>
      <w:r>
        <w:rPr>
          <w:rFonts w:hint="eastAsia" w:ascii="仿宋_GB2312" w:hAnsi="仿宋_GB2312" w:eastAsia="仿宋_GB2312" w:cs="仿宋_GB2312"/>
          <w:bCs/>
          <w:color w:val="auto"/>
          <w:kern w:val="0"/>
          <w:sz w:val="32"/>
          <w:szCs w:val="32"/>
          <w:highlight w:val="none"/>
        </w:rPr>
        <w:t>重点用于推进地方及特色品种资源保护及开发利用，支持保种场、核心育种场、种畜禽场建设，建设草食动物养殖示范基地等规模化养殖场，开展畜禽养殖废弃物资源化利用，强化饲料安全监管等。</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（3）农业先进机械装备采购及引进与区域性社会化服务专项资金。主要用于推进我省农作物生产机械化，购置农机设备，</w:t>
      </w:r>
      <w:r>
        <w:rPr>
          <w:rFonts w:hint="eastAsia" w:ascii="仿宋_GB2312" w:hAnsi="仿宋_GB2312" w:eastAsia="仿宋_GB2312" w:cs="仿宋_GB2312"/>
          <w:color w:val="auto"/>
          <w:sz w:val="32"/>
          <w:szCs w:val="32"/>
          <w:highlight w:val="none"/>
        </w:rPr>
        <w:t>引导小农户接受现代农业社会化服务。</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（4）设施农业专项资金。主要用于建设温室大棚</w:t>
      </w:r>
      <w:r>
        <w:rPr>
          <w:rFonts w:ascii="仿宋_GB2312" w:eastAsia="仿宋_GB2312"/>
          <w:color w:val="auto"/>
          <w:sz w:val="32"/>
          <w:szCs w:val="36"/>
          <w:highlight w:val="none"/>
        </w:rPr>
        <w:t>(含中小棚)</w:t>
      </w:r>
      <w:r>
        <w:rPr>
          <w:rFonts w:hint="eastAsia" w:ascii="仿宋_GB2312" w:eastAsia="仿宋_GB2312"/>
          <w:color w:val="auto"/>
          <w:sz w:val="32"/>
          <w:szCs w:val="36"/>
          <w:highlight w:val="none"/>
        </w:rPr>
        <w:t>、</w:t>
      </w:r>
      <w:r>
        <w:rPr>
          <w:rFonts w:ascii="仿宋_GB2312" w:eastAsia="仿宋_GB2312"/>
          <w:color w:val="auto"/>
          <w:sz w:val="32"/>
          <w:szCs w:val="36"/>
          <w:highlight w:val="none"/>
        </w:rPr>
        <w:t>灌溉施肥</w:t>
      </w:r>
      <w:r>
        <w:rPr>
          <w:rFonts w:hint="eastAsia" w:ascii="仿宋_GB2312" w:eastAsia="仿宋_GB2312"/>
          <w:color w:val="auto"/>
          <w:sz w:val="32"/>
          <w:szCs w:val="36"/>
          <w:highlight w:val="none"/>
        </w:rPr>
        <w:t>、和</w:t>
      </w:r>
      <w:r>
        <w:rPr>
          <w:rFonts w:ascii="仿宋_GB2312" w:eastAsia="仿宋_GB2312"/>
          <w:color w:val="auto"/>
          <w:sz w:val="32"/>
          <w:szCs w:val="36"/>
          <w:highlight w:val="none"/>
        </w:rPr>
        <w:t>农产品田头冷库。</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（5）现代种业创新提升专项资金。主要</w:t>
      </w:r>
      <w:r>
        <w:rPr>
          <w:rFonts w:hint="eastAsia" w:ascii="仿宋_GB2312" w:hAnsi="仿宋_GB2312" w:eastAsia="仿宋_GB2312" w:cs="仿宋_GB2312"/>
          <w:color w:val="auto"/>
          <w:sz w:val="32"/>
          <w:szCs w:val="32"/>
          <w:highlight w:val="none"/>
        </w:rPr>
        <w:t>用于扶持育繁推一体化创新发展联盟建设、农作物种质资源库建设、优势特色农作物品种资源保护与开发利用等。</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（6）岭南佳果良种试验示范基地专项资金。主要用于建设100个岭南佳果良种试验示范基地。</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（7）农业科技创新及推广项目专项资金。主要用于</w:t>
      </w:r>
      <w:r>
        <w:rPr>
          <w:rFonts w:hint="eastAsia" w:ascii="仿宋_GB2312" w:hAnsi="仿宋_GB2312" w:eastAsia="仿宋_GB2312" w:cs="仿宋_GB2312"/>
          <w:color w:val="auto"/>
          <w:kern w:val="0"/>
          <w:sz w:val="32"/>
          <w:szCs w:val="32"/>
          <w:highlight w:val="none"/>
        </w:rPr>
        <w:t>构建农业科技创新与推广的新体制机制，加强产学研合作，切</w:t>
      </w:r>
      <w:r>
        <w:rPr>
          <w:rFonts w:hint="eastAsia" w:ascii="仿宋_GB2312" w:eastAsia="仿宋_GB2312"/>
          <w:color w:val="auto"/>
          <w:sz w:val="32"/>
          <w:szCs w:val="36"/>
          <w:highlight w:val="none"/>
        </w:rPr>
        <w:t>实推进农业科技创新和成果转化，建设现代农业产业技术体系创新团队。</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（8）特色农产品优势区创建与“互联网+”品牌宣传推广专项资金。主要用于建设10个以上特色农产品优势区。</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（9）农业公园创建专项资金。主要用于创建我省10-12个农业公园。</w:t>
      </w:r>
    </w:p>
    <w:p>
      <w:pPr>
        <w:spacing w:line="360" w:lineRule="auto"/>
        <w:ind w:firstLine="640" w:firstLineChars="200"/>
        <w:rPr>
          <w:rFonts w:ascii="仿宋_GB2312" w:hAnsi="仿宋" w:eastAsia="仿宋_GB2312"/>
          <w:color w:val="auto"/>
          <w:szCs w:val="32"/>
          <w:highlight w:val="none"/>
        </w:rPr>
      </w:pPr>
      <w:r>
        <w:rPr>
          <w:rFonts w:hint="eastAsia" w:ascii="仿宋_GB2312" w:eastAsia="仿宋_GB2312"/>
          <w:color w:val="auto"/>
          <w:sz w:val="32"/>
          <w:szCs w:val="36"/>
          <w:highlight w:val="none"/>
        </w:rPr>
        <w:t>（10）“三高”农业和发展粮食生产专项资金。主要用于扶持“三高”农业试验示范基地的建设、改造项目，包括种植业、养殖业的生产和加工项目等。</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11）良种良法示范基地建设专项资金。用于扶持农作物良种良法示范基地建设项目，重点扶持农作物品种（区域和生产）试验站（场、所）和良种良法示范基地的能力建设，建设3个以上500亩连片高标准绿色种植示范基地。</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（12）土地确权颁证及农村集体产权制度改革专项资金。</w:t>
      </w:r>
      <w:r>
        <w:rPr>
          <w:rFonts w:hint="eastAsia" w:ascii="仿宋" w:hAnsi="仿宋" w:eastAsia="仿宋" w:cs="仿宋"/>
          <w:color w:val="auto"/>
          <w:sz w:val="32"/>
          <w:szCs w:val="32"/>
          <w:highlight w:val="none"/>
        </w:rPr>
        <w:t>主要用于农村土地承包经营权确权工作的督导检查、问题跟踪研究、确权数据成果的立档建库、总结验收、成果汇编等和农村集体产权制度改革工作的宣传、培训、资料编印、问题研究以及试点工作补助等。</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（13）农业农村实用人才与新型职业农民培训专项资金。主要用于</w:t>
      </w:r>
      <w:r>
        <w:rPr>
          <w:rFonts w:hint="eastAsia" w:ascii="仿宋_GB2312" w:hAnsi="宋体" w:eastAsia="仿宋_GB2312" w:cs="宋体"/>
          <w:bCs/>
          <w:color w:val="auto"/>
          <w:sz w:val="32"/>
          <w:szCs w:val="32"/>
          <w:highlight w:val="none"/>
        </w:rPr>
        <w:t>农业农村人才培训能力建设、信息系统建设、项目管理人员、培训机构负责人及师资队伍培训和农村实用人才带头人示范性培训。</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（14）农业产业精准扶贫专项资金。</w:t>
      </w:r>
      <w:r>
        <w:rPr>
          <w:rFonts w:hint="eastAsia" w:ascii="仿宋_GB2312" w:hAnsi="仿宋_GB2312" w:eastAsia="仿宋_GB2312" w:cs="仿宋_GB2312"/>
          <w:color w:val="auto"/>
          <w:sz w:val="32"/>
          <w:szCs w:val="32"/>
          <w:highlight w:val="none"/>
        </w:rPr>
        <w:t>用于</w:t>
      </w:r>
      <w:r>
        <w:rPr>
          <w:rFonts w:hint="eastAsia" w:ascii="仿宋_GB2312" w:hAnsi="仿宋_GB2312" w:eastAsia="仿宋_GB2312" w:cs="仿宋_GB2312"/>
          <w:color w:val="auto"/>
          <w:kern w:val="0"/>
          <w:sz w:val="32"/>
          <w:szCs w:val="32"/>
          <w:highlight w:val="none"/>
        </w:rPr>
        <w:t>省定贫困村的农民专业合作社建设农业产业扶贫示范项目，由各地</w:t>
      </w:r>
      <w:r>
        <w:rPr>
          <w:rFonts w:hint="eastAsia" w:ascii="仿宋_GB2312" w:hAnsi="仿宋_GB2312" w:eastAsia="仿宋_GB2312" w:cs="仿宋_GB2312"/>
          <w:color w:val="auto"/>
          <w:sz w:val="32"/>
          <w:szCs w:val="32"/>
          <w:highlight w:val="none"/>
        </w:rPr>
        <w:t>因地制宜，以建立利益联结为导向，自行确定</w:t>
      </w:r>
      <w:r>
        <w:rPr>
          <w:rFonts w:hint="eastAsia" w:ascii="仿宋_GB2312" w:hAnsi="仿宋_GB2312" w:eastAsia="仿宋_GB2312" w:cs="仿宋_GB2312"/>
          <w:color w:val="auto"/>
          <w:kern w:val="0"/>
          <w:sz w:val="32"/>
          <w:szCs w:val="32"/>
          <w:highlight w:val="none"/>
        </w:rPr>
        <w:t>项目承担单位和资金额。</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（15）“两区”划定省级工作经费专项资金。主要用于对划定的粮食生产功能区土壤酸化情况进行分析，组建省级专家组，举办技术培训班，深入基层实地指导。</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（16）乡村振兴战略规划、展示、示范、宣传、培训经费专项资金。主要作为日常工作经费深入实施乡村振兴战略。</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（17）农民负担监测专项资金。用于</w:t>
      </w:r>
      <w:r>
        <w:rPr>
          <w:rFonts w:hint="eastAsia" w:ascii="仿宋_GB2312" w:hAnsi="仿宋_GB2312" w:eastAsia="仿宋_GB2312" w:cs="仿宋_GB2312"/>
          <w:color w:val="auto"/>
          <w:sz w:val="32"/>
          <w:szCs w:val="32"/>
          <w:highlight w:val="none"/>
        </w:rPr>
        <w:t>农民负担专项治理、工作督导及监测工作各项经费支出。</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 xml:space="preserve">（18）现代农业成果交流展示专项资金。主要用于省农展馆各类交流展示会的各项经费支出。 </w:t>
      </w:r>
    </w:p>
    <w:p>
      <w:pPr>
        <w:spacing w:line="360" w:lineRule="auto"/>
        <w:ind w:firstLine="640" w:firstLineChars="200"/>
        <w:rPr>
          <w:rFonts w:ascii="仿宋_GB2312" w:hAnsi="Times New Roman" w:eastAsia="仿宋_GB2312" w:cs="Times New Roman"/>
          <w:b/>
          <w:bCs/>
          <w:color w:val="auto"/>
          <w:sz w:val="32"/>
          <w:szCs w:val="32"/>
          <w:highlight w:val="none"/>
        </w:rPr>
      </w:pPr>
      <w:r>
        <w:rPr>
          <w:rFonts w:hint="eastAsia" w:ascii="仿宋_GB2312" w:hAnsi="Times New Roman" w:eastAsia="仿宋_GB2312" w:cs="Times New Roman"/>
          <w:b/>
          <w:bCs/>
          <w:color w:val="auto"/>
          <w:sz w:val="32"/>
          <w:szCs w:val="32"/>
          <w:highlight w:val="none"/>
        </w:rPr>
        <w:t>２．项目实施程序。</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根据2018年我省实施乡村振兴战略和农业农村工作的规划布局，按照预算法和省级专项资金管理办法，从构建现代农业体系的实际工作需要出发，我厅在上年度</w:t>
      </w:r>
      <w:r>
        <w:rPr>
          <w:rFonts w:hint="eastAsia" w:ascii="仿宋_GB2312" w:hAnsi="Times New Roman" w:eastAsia="仿宋_GB2312" w:cs="Times New Roman"/>
          <w:color w:val="auto"/>
          <w:sz w:val="32"/>
          <w:szCs w:val="32"/>
          <w:highlight w:val="none"/>
        </w:rPr>
        <w:t>省级农业发展和农村工作专项资金的基础上，</w:t>
      </w:r>
      <w:r>
        <w:rPr>
          <w:rFonts w:hint="eastAsia" w:ascii="仿宋_GB2312" w:eastAsia="仿宋_GB2312"/>
          <w:color w:val="auto"/>
          <w:sz w:val="32"/>
          <w:szCs w:val="36"/>
          <w:highlight w:val="none"/>
        </w:rPr>
        <w:t>将“2018年省级乡村振兴战略专项（构建现代农业体系）省级资金”纳入专项资金目录清单，经厅党组会议集体审议，报分管省领导审核批准，报送省财政厅复核后报分管财政的副省长核呈省长审批，列入2018年省级财政预算草案报省人民代表大会批准年度预算后，我厅拟定2018年省级乡村振兴战略专项（构建现代农业体系）省级资金分配方案，经公示无异议后，报送省财政厅，由省财政厅将专项资金预算指标下达有关地市（对下转移支付）和省直单位，我厅同步下达任务清单（包括约束性任务、指导性任务清单），对下转移支付的专项资金实行“大专项+任务清单”管理模式，有关地市和县（市、区）逐级将预算指标和任务清单分解下达到县（市、区）和有关项目承担单位。</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专项资金下达后，市县项目承担单位应按照专项资金有关管理办法加快项目组织实施，按照规定的开支范围加快支出进度。省直单位承担的项目均是约束性任务，需按照省财政厅下达的预算指标和我厅下达的任务清单组织项目实施工作。</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项目实施完毕后，省农业农村厅、地市农业农村主管部门和项目承担单位按照“谁审批具体项目，谁验收考评”的原则，自主或委托第三方专业机构组织项目验收或考评，并及时将验收或考评结果报同级财政部门备案。</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预算年度终了及专项资金预算执行完毕，由市县主管部门和项目承担单位开展专项资金使用情况绩效自评，我厅对部分项目或市县开展绩效评价，形成自评报告报省财政厅备案，省财政厅根据工作安排组织重点绩效评价。专项资金的分配、执行和结果等全过程信息按照“谁制定、谁分配、谁使用、谁公开”的原则向社会公开，我厅是专项资金信息公开公示的责任主体，项目承担单位要及时以适当方式公开财政资金使用情况。下放项目审批权限的专项资金，由市县业务主管部门、项目承担单位参照省级做法，对管理过程产生的相关信息进行公开公示。</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color w:val="auto"/>
          <w:sz w:val="32"/>
          <w:szCs w:val="36"/>
          <w:highlight w:val="none"/>
        </w:rPr>
        <w:t>我厅负责对下达省直单位和市县的专项资金执行情况承担指导和监管责任。市县承担省级下达专项资金的预算执行、绩效目标监控、任务清单实施的主体责任，确保完成省业务主管部门下达的任务清单和绩效目标。项目承担单位对项目实施和资金使用负责，严格执行专项资金预算，具体组织项目实施，加强财务管理，接受验收考评、监督检查和绩效评价。</w:t>
      </w:r>
    </w:p>
    <w:p>
      <w:pPr>
        <w:spacing w:line="360" w:lineRule="auto"/>
        <w:ind w:firstLine="640" w:firstLineChars="200"/>
        <w:outlineLvl w:val="1"/>
        <w:rPr>
          <w:rFonts w:ascii="楷体_GB2312" w:eastAsia="楷体_GB2312"/>
          <w:b/>
          <w:bCs/>
          <w:color w:val="auto"/>
          <w:sz w:val="32"/>
          <w:szCs w:val="36"/>
          <w:highlight w:val="none"/>
        </w:rPr>
      </w:pPr>
      <w:bookmarkStart w:id="19" w:name="_Toc15140287"/>
      <w:bookmarkStart w:id="20" w:name="_Toc8719"/>
      <w:bookmarkStart w:id="21" w:name="_Toc12346"/>
      <w:bookmarkStart w:id="22" w:name="_Toc15140367"/>
      <w:bookmarkStart w:id="23" w:name="_Toc15140512"/>
      <w:r>
        <w:rPr>
          <w:rFonts w:hint="eastAsia" w:ascii="楷体_GB2312" w:eastAsia="楷体_GB2312"/>
          <w:b/>
          <w:bCs/>
          <w:color w:val="auto"/>
          <w:sz w:val="32"/>
          <w:szCs w:val="36"/>
          <w:highlight w:val="none"/>
        </w:rPr>
        <w:t>（三）项目自评等级和分数</w:t>
      </w:r>
      <w:bookmarkEnd w:id="19"/>
      <w:bookmarkEnd w:id="20"/>
      <w:bookmarkEnd w:id="21"/>
      <w:bookmarkEnd w:id="22"/>
      <w:bookmarkEnd w:id="23"/>
      <w:r>
        <w:rPr>
          <w:rFonts w:hint="eastAsia" w:ascii="楷体_GB2312" w:hAnsi="Calibri" w:eastAsia="楷体_GB2312" w:cs="Times New Roman"/>
          <w:b/>
          <w:color w:val="auto"/>
          <w:sz w:val="32"/>
          <w:szCs w:val="36"/>
          <w:highlight w:val="none"/>
          <w:lang w:bidi="ar"/>
        </w:rPr>
        <w:t>评价指标分析</w:t>
      </w:r>
    </w:p>
    <w:p>
      <w:pPr>
        <w:spacing w:line="36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综合分析2018年省级乡村振兴战略专项（构建现代农业体系）省级资金项目的投入、过程、产出和效益，专项资金项目取得了较好成效，但也存在一些问题。2018年专项资金使用绩效自评分数为92.</w:t>
      </w:r>
      <w:r>
        <w:rPr>
          <w:rFonts w:hint="eastAsia" w:ascii="仿宋_GB2312" w:hAnsi="Times New Roman" w:eastAsia="仿宋_GB2312" w:cs="Times New Roman"/>
          <w:color w:val="auto"/>
          <w:sz w:val="32"/>
          <w:szCs w:val="32"/>
          <w:highlight w:val="none"/>
          <w:lang w:val="en-US" w:eastAsia="zh-CN"/>
        </w:rPr>
        <w:t>30</w:t>
      </w:r>
      <w:r>
        <w:rPr>
          <w:rFonts w:hint="eastAsia" w:ascii="仿宋_GB2312" w:hAnsi="Times New Roman" w:eastAsia="仿宋_GB2312" w:cs="Times New Roman"/>
          <w:color w:val="auto"/>
          <w:sz w:val="32"/>
          <w:szCs w:val="32"/>
          <w:highlight w:val="none"/>
        </w:rPr>
        <w:t>分，绩效等级为“优”（一级指标得分情况见表1-3，详细评分情况详见附件）。</w:t>
      </w:r>
    </w:p>
    <w:p>
      <w:pPr>
        <w:pStyle w:val="2"/>
        <w:rPr>
          <w:color w:val="auto"/>
          <w:highlight w:val="none"/>
        </w:rPr>
      </w:pPr>
    </w:p>
    <w:p>
      <w:pPr>
        <w:widowControl/>
        <w:spacing w:line="360" w:lineRule="auto"/>
        <w:jc w:val="center"/>
        <w:rPr>
          <w:rFonts w:ascii="黑体" w:hAnsi="黑体" w:eastAsia="黑体"/>
          <w:color w:val="auto"/>
          <w:sz w:val="28"/>
          <w:szCs w:val="28"/>
          <w:highlight w:val="none"/>
        </w:rPr>
      </w:pPr>
      <w:r>
        <w:rPr>
          <w:rFonts w:hint="eastAsia" w:ascii="黑体" w:hAnsi="黑体" w:eastAsia="黑体"/>
          <w:color w:val="auto"/>
          <w:sz w:val="28"/>
          <w:szCs w:val="28"/>
          <w:highlight w:val="none"/>
        </w:rPr>
        <w:t>表1-3. 一级指标自评得分情况表</w:t>
      </w:r>
    </w:p>
    <w:tbl>
      <w:tblPr>
        <w:tblStyle w:val="18"/>
        <w:tblW w:w="838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1835"/>
        <w:gridCol w:w="1931"/>
        <w:gridCol w:w="19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2689" w:type="dxa"/>
            <w:tcBorders>
              <w:left w:val="single" w:color="auto" w:sz="4" w:space="0"/>
            </w:tcBorders>
          </w:tcPr>
          <w:p>
            <w:pPr>
              <w:widowControl/>
              <w:spacing w:line="30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一级指标（评价因素）</w:t>
            </w:r>
          </w:p>
        </w:tc>
        <w:tc>
          <w:tcPr>
            <w:tcW w:w="1835" w:type="dxa"/>
          </w:tcPr>
          <w:p>
            <w:pPr>
              <w:widowControl/>
              <w:spacing w:line="30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分值</w:t>
            </w:r>
          </w:p>
        </w:tc>
        <w:tc>
          <w:tcPr>
            <w:tcW w:w="1931" w:type="dxa"/>
          </w:tcPr>
          <w:p>
            <w:pPr>
              <w:widowControl/>
              <w:spacing w:line="30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自评得分</w:t>
            </w:r>
          </w:p>
        </w:tc>
        <w:tc>
          <w:tcPr>
            <w:tcW w:w="1933" w:type="dxa"/>
            <w:tcBorders>
              <w:right w:val="single" w:color="auto" w:sz="4" w:space="0"/>
            </w:tcBorders>
          </w:tcPr>
          <w:p>
            <w:pPr>
              <w:widowControl/>
              <w:spacing w:line="30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得分率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Borders>
              <w:left w:val="single" w:color="auto" w:sz="4" w:space="0"/>
            </w:tcBorders>
          </w:tcPr>
          <w:p>
            <w:pPr>
              <w:widowControl/>
              <w:spacing w:line="30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总得分</w:t>
            </w:r>
          </w:p>
        </w:tc>
        <w:tc>
          <w:tcPr>
            <w:tcW w:w="1835" w:type="dxa"/>
          </w:tcPr>
          <w:p>
            <w:pPr>
              <w:widowControl/>
              <w:spacing w:line="30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100</w:t>
            </w:r>
          </w:p>
        </w:tc>
        <w:tc>
          <w:tcPr>
            <w:tcW w:w="1931" w:type="dxa"/>
          </w:tcPr>
          <w:p>
            <w:pPr>
              <w:widowControl/>
              <w:spacing w:line="30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92.30</w:t>
            </w:r>
          </w:p>
        </w:tc>
        <w:tc>
          <w:tcPr>
            <w:tcW w:w="1933" w:type="dxa"/>
            <w:tcBorders>
              <w:right w:val="single" w:color="auto" w:sz="4" w:space="0"/>
            </w:tcBorders>
          </w:tcPr>
          <w:p>
            <w:pPr>
              <w:widowControl/>
              <w:spacing w:line="300" w:lineRule="exact"/>
              <w:jc w:val="center"/>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92.30%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Borders>
              <w:left w:val="single" w:color="auto" w:sz="4" w:space="0"/>
            </w:tcBorders>
          </w:tcPr>
          <w:p>
            <w:pPr>
              <w:widowControl/>
              <w:spacing w:line="3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一、投入</w:t>
            </w:r>
          </w:p>
        </w:tc>
        <w:tc>
          <w:tcPr>
            <w:tcW w:w="1835" w:type="dxa"/>
          </w:tcPr>
          <w:p>
            <w:pPr>
              <w:widowControl/>
              <w:spacing w:line="3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w:t>
            </w:r>
          </w:p>
        </w:tc>
        <w:tc>
          <w:tcPr>
            <w:tcW w:w="1931" w:type="dxa"/>
          </w:tcPr>
          <w:p>
            <w:pPr>
              <w:widowControl/>
              <w:spacing w:line="3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19.15</w:t>
            </w:r>
          </w:p>
        </w:tc>
        <w:tc>
          <w:tcPr>
            <w:tcW w:w="1933" w:type="dxa"/>
            <w:tcBorders>
              <w:right w:val="single" w:color="auto" w:sz="4" w:space="0"/>
            </w:tcBorders>
          </w:tcPr>
          <w:p>
            <w:pPr>
              <w:widowControl/>
              <w:spacing w:line="3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95.75%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Borders>
              <w:left w:val="single" w:color="auto" w:sz="4" w:space="0"/>
            </w:tcBorders>
          </w:tcPr>
          <w:p>
            <w:pPr>
              <w:widowControl/>
              <w:spacing w:line="3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二、过程</w:t>
            </w:r>
          </w:p>
        </w:tc>
        <w:tc>
          <w:tcPr>
            <w:tcW w:w="1835" w:type="dxa"/>
          </w:tcPr>
          <w:p>
            <w:pPr>
              <w:widowControl/>
              <w:spacing w:line="3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w:t>
            </w:r>
          </w:p>
        </w:tc>
        <w:tc>
          <w:tcPr>
            <w:tcW w:w="1931" w:type="dxa"/>
          </w:tcPr>
          <w:p>
            <w:pPr>
              <w:widowControl/>
              <w:spacing w:line="3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17.00</w:t>
            </w:r>
          </w:p>
        </w:tc>
        <w:tc>
          <w:tcPr>
            <w:tcW w:w="1933" w:type="dxa"/>
            <w:tcBorders>
              <w:right w:val="single" w:color="auto" w:sz="4" w:space="0"/>
            </w:tcBorders>
          </w:tcPr>
          <w:p>
            <w:pPr>
              <w:widowControl/>
              <w:spacing w:line="3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Borders>
              <w:left w:val="single" w:color="auto" w:sz="4" w:space="0"/>
            </w:tcBorders>
          </w:tcPr>
          <w:p>
            <w:pPr>
              <w:widowControl/>
              <w:spacing w:line="3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三、产出</w:t>
            </w:r>
          </w:p>
        </w:tc>
        <w:tc>
          <w:tcPr>
            <w:tcW w:w="1835" w:type="dxa"/>
          </w:tcPr>
          <w:p>
            <w:pPr>
              <w:widowControl/>
              <w:spacing w:line="3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30</w:t>
            </w:r>
          </w:p>
        </w:tc>
        <w:tc>
          <w:tcPr>
            <w:tcW w:w="1931" w:type="dxa"/>
          </w:tcPr>
          <w:p>
            <w:pPr>
              <w:widowControl/>
              <w:spacing w:line="3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27.50</w:t>
            </w:r>
          </w:p>
        </w:tc>
        <w:tc>
          <w:tcPr>
            <w:tcW w:w="1933" w:type="dxa"/>
            <w:tcBorders>
              <w:right w:val="single" w:color="auto" w:sz="4" w:space="0"/>
            </w:tcBorders>
          </w:tcPr>
          <w:p>
            <w:pPr>
              <w:widowControl/>
              <w:spacing w:line="3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91.67%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Borders>
              <w:left w:val="single" w:color="auto" w:sz="4" w:space="0"/>
            </w:tcBorders>
          </w:tcPr>
          <w:p>
            <w:pPr>
              <w:widowControl/>
              <w:spacing w:line="3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四、效益</w:t>
            </w:r>
          </w:p>
        </w:tc>
        <w:tc>
          <w:tcPr>
            <w:tcW w:w="1835" w:type="dxa"/>
          </w:tcPr>
          <w:p>
            <w:pPr>
              <w:widowControl/>
              <w:spacing w:line="3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30</w:t>
            </w:r>
          </w:p>
        </w:tc>
        <w:tc>
          <w:tcPr>
            <w:tcW w:w="1931" w:type="dxa"/>
          </w:tcPr>
          <w:p>
            <w:pPr>
              <w:widowControl/>
              <w:spacing w:line="3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28.65</w:t>
            </w:r>
          </w:p>
        </w:tc>
        <w:tc>
          <w:tcPr>
            <w:tcW w:w="1933" w:type="dxa"/>
            <w:tcBorders>
              <w:right w:val="single" w:color="auto" w:sz="4" w:space="0"/>
            </w:tcBorders>
          </w:tcPr>
          <w:p>
            <w:pPr>
              <w:widowControl/>
              <w:spacing w:line="300" w:lineRule="exact"/>
              <w:jc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95.50%</w:t>
            </w:r>
          </w:p>
        </w:tc>
      </w:tr>
    </w:tbl>
    <w:p>
      <w:pPr>
        <w:spacing w:line="360" w:lineRule="auto"/>
        <w:ind w:firstLine="640" w:firstLineChars="200"/>
        <w:rPr>
          <w:rFonts w:ascii="仿宋_GB2312" w:hAnsi="Times New Roman" w:eastAsia="仿宋_GB2312" w:cs="Times New Roman"/>
          <w:b/>
          <w:bCs/>
          <w:color w:val="auto"/>
          <w:sz w:val="32"/>
          <w:szCs w:val="32"/>
          <w:highlight w:val="none"/>
        </w:rPr>
      </w:pPr>
    </w:p>
    <w:p>
      <w:pPr>
        <w:spacing w:line="360" w:lineRule="auto"/>
        <w:ind w:firstLine="640" w:firstLineChars="200"/>
        <w:rPr>
          <w:rFonts w:ascii="仿宋_GB2312" w:hAnsi="Times New Roman" w:eastAsia="仿宋_GB2312" w:cs="Times New Roman"/>
          <w:b/>
          <w:bCs/>
          <w:color w:val="auto"/>
          <w:sz w:val="32"/>
          <w:szCs w:val="32"/>
          <w:highlight w:val="none"/>
        </w:rPr>
      </w:pPr>
      <w:r>
        <w:rPr>
          <w:rFonts w:hint="eastAsia" w:ascii="仿宋_GB2312" w:hAnsi="Times New Roman" w:eastAsia="仿宋_GB2312" w:cs="Times New Roman"/>
          <w:b/>
          <w:bCs/>
          <w:color w:val="auto"/>
          <w:sz w:val="32"/>
          <w:szCs w:val="32"/>
          <w:highlight w:val="none"/>
        </w:rPr>
        <w:t>专项资金三级评价指标分析如下：</w:t>
      </w:r>
    </w:p>
    <w:p>
      <w:pPr>
        <w:spacing w:line="360" w:lineRule="auto"/>
        <w:ind w:firstLine="640" w:firstLineChars="200"/>
        <w:rPr>
          <w:rFonts w:ascii="仿宋_GB2312" w:hAnsi="Times New Roman" w:eastAsia="仿宋_GB2312" w:cs="Times New Roman"/>
          <w:color w:val="auto"/>
          <w:sz w:val="32"/>
          <w:szCs w:val="32"/>
          <w:highlight w:val="none"/>
        </w:rPr>
      </w:pPr>
      <w:bookmarkStart w:id="24" w:name="_Toc11918616"/>
      <w:r>
        <w:rPr>
          <w:rFonts w:hint="eastAsia" w:ascii="仿宋_GB2312" w:hAnsi="Times New Roman" w:eastAsia="仿宋_GB2312" w:cs="Times New Roman"/>
          <w:b/>
          <w:bCs/>
          <w:color w:val="auto"/>
          <w:sz w:val="32"/>
          <w:szCs w:val="32"/>
          <w:highlight w:val="none"/>
        </w:rPr>
        <w:t>1．论证决策。</w:t>
      </w:r>
      <w:r>
        <w:rPr>
          <w:rFonts w:hint="eastAsia" w:ascii="仿宋_GB2312" w:hAnsi="仿宋_GB2312" w:eastAsia="仿宋_GB2312" w:cs="仿宋_GB2312"/>
          <w:color w:val="auto"/>
          <w:sz w:val="32"/>
          <w:szCs w:val="32"/>
          <w:highlight w:val="none"/>
        </w:rPr>
        <w:t>指标分值4分，评价得分4分，得分率为100%。</w:t>
      </w:r>
      <w:r>
        <w:rPr>
          <w:rFonts w:ascii="仿宋_GB2312" w:hAnsi="仿宋_GB2312" w:eastAsia="仿宋_GB2312" w:cs="仿宋_GB2312"/>
          <w:color w:val="auto"/>
          <w:sz w:val="32"/>
          <w:szCs w:val="32"/>
          <w:highlight w:val="none"/>
        </w:rPr>
        <w:t>根据《国务院关于探索建立涉农资金统筹整合长效机制的意见》（国发〔2017〕54号）、《中共广东省委办公厅 广东省人民政府办公厅印发〈关于深化省级预算编制执行监督管理改革的意见〉》（粤办发〔2018〕17号）、《广东省人民政府关于印发广东省省级财政专项资金管理试行办法的通知》（粤府〔2016〕86号）等文件和我省2018年农业农村工作的规划布局，经过集体会议研究</w:t>
      </w:r>
      <w:r>
        <w:rPr>
          <w:rFonts w:hint="eastAsia" w:ascii="仿宋_GB2312" w:hAnsi="仿宋_GB2312" w:eastAsia="仿宋_GB2312" w:cs="仿宋_GB2312"/>
          <w:color w:val="auto"/>
          <w:sz w:val="32"/>
          <w:szCs w:val="32"/>
          <w:highlight w:val="none"/>
        </w:rPr>
        <w:t>审议等规定程序</w:t>
      </w:r>
      <w:r>
        <w:rPr>
          <w:rFonts w:ascii="仿宋_GB2312" w:hAnsi="仿宋_GB2312" w:eastAsia="仿宋_GB2312" w:cs="仿宋_GB2312"/>
          <w:color w:val="auto"/>
          <w:sz w:val="32"/>
          <w:szCs w:val="32"/>
          <w:highlight w:val="none"/>
        </w:rPr>
        <w:t>，我厅拟定了专项资金年度使用总体计划，经省财政厅审核后报省领导审批，并列</w:t>
      </w:r>
      <w:r>
        <w:rPr>
          <w:rFonts w:hint="eastAsia" w:ascii="仿宋_GB2312" w:hAnsi="仿宋_GB2312" w:eastAsia="仿宋_GB2312" w:cs="仿宋_GB2312"/>
          <w:color w:val="auto"/>
          <w:sz w:val="32"/>
          <w:szCs w:val="32"/>
          <w:highlight w:val="none"/>
        </w:rPr>
        <w:t>入</w:t>
      </w:r>
      <w:r>
        <w:rPr>
          <w:rFonts w:ascii="仿宋_GB2312" w:hAnsi="仿宋_GB2312" w:eastAsia="仿宋_GB2312" w:cs="仿宋_GB2312"/>
          <w:color w:val="auto"/>
          <w:sz w:val="32"/>
          <w:szCs w:val="32"/>
          <w:highlight w:val="none"/>
        </w:rPr>
        <w:t>2018年省级财政预算草案报省人大审批后，将专项资金预算指标下达</w:t>
      </w:r>
      <w:r>
        <w:rPr>
          <w:rFonts w:hint="eastAsia" w:ascii="仿宋_GB2312" w:hAnsi="仿宋_GB2312" w:eastAsia="仿宋_GB2312" w:cs="仿宋_GB2312"/>
          <w:color w:val="auto"/>
          <w:sz w:val="32"/>
          <w:szCs w:val="32"/>
          <w:highlight w:val="none"/>
        </w:rPr>
        <w:t>给</w:t>
      </w:r>
      <w:r>
        <w:rPr>
          <w:rFonts w:ascii="仿宋_GB2312" w:hAnsi="仿宋_GB2312" w:eastAsia="仿宋_GB2312" w:cs="仿宋_GB2312"/>
          <w:color w:val="auto"/>
          <w:sz w:val="32"/>
          <w:szCs w:val="32"/>
          <w:highlight w:val="none"/>
        </w:rPr>
        <w:t>有关省直单位和有关地市（对下转移支付）。专项资金主要用于乡村振兴战略实施过程中，</w:t>
      </w:r>
      <w:r>
        <w:rPr>
          <w:rFonts w:hint="eastAsia" w:ascii="仿宋_GB2312" w:hAnsi="仿宋_GB2312" w:eastAsia="仿宋_GB2312" w:cs="仿宋_GB2312"/>
          <w:color w:val="auto"/>
          <w:sz w:val="32"/>
          <w:szCs w:val="32"/>
          <w:highlight w:val="none"/>
        </w:rPr>
        <w:t>加快农业农村发展，构建现代农业体系</w:t>
      </w:r>
      <w:r>
        <w:rPr>
          <w:rFonts w:ascii="仿宋_GB2312" w:hAnsi="仿宋_GB2312" w:eastAsia="仿宋_GB2312" w:cs="仿宋_GB2312"/>
          <w:color w:val="auto"/>
          <w:sz w:val="32"/>
          <w:szCs w:val="32"/>
          <w:highlight w:val="none"/>
        </w:rPr>
        <w:t>，涉及</w:t>
      </w:r>
      <w:r>
        <w:rPr>
          <w:rFonts w:hint="eastAsia" w:ascii="仿宋_GB2312" w:hAnsi="仿宋_GB2312" w:eastAsia="仿宋_GB2312" w:cs="仿宋_GB2312"/>
          <w:color w:val="auto"/>
          <w:sz w:val="32"/>
          <w:szCs w:val="32"/>
          <w:highlight w:val="none"/>
        </w:rPr>
        <w:t>新型经营主体培育、草地畜牧业及畜禽品种保护、农业先进机械装备采购及引进与区域性社会化服务等十八</w:t>
      </w:r>
      <w:r>
        <w:rPr>
          <w:rFonts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rPr>
        <w:t>方向</w:t>
      </w:r>
      <w:r>
        <w:rPr>
          <w:rFonts w:ascii="仿宋_GB2312" w:hAnsi="仿宋_GB2312" w:eastAsia="仿宋_GB2312" w:cs="仿宋_GB2312"/>
          <w:color w:val="auto"/>
          <w:sz w:val="32"/>
          <w:szCs w:val="32"/>
          <w:highlight w:val="none"/>
        </w:rPr>
        <w:t>。资金投向合理，符合</w:t>
      </w:r>
      <w:r>
        <w:rPr>
          <w:rFonts w:hint="eastAsia" w:ascii="仿宋_GB2312" w:hAnsi="仿宋_GB2312" w:eastAsia="仿宋_GB2312" w:cs="仿宋_GB2312"/>
          <w:color w:val="auto"/>
          <w:sz w:val="32"/>
          <w:szCs w:val="32"/>
          <w:highlight w:val="none"/>
        </w:rPr>
        <w:t>有</w:t>
      </w:r>
      <w:r>
        <w:rPr>
          <w:rFonts w:ascii="仿宋_GB2312" w:hAnsi="仿宋_GB2312" w:eastAsia="仿宋_GB2312" w:cs="仿宋_GB2312"/>
          <w:color w:val="auto"/>
          <w:sz w:val="32"/>
          <w:szCs w:val="32"/>
          <w:highlight w:val="none"/>
        </w:rPr>
        <w:t>关文件精神和公共财政扶持方向。</w:t>
      </w:r>
    </w:p>
    <w:p>
      <w:pPr>
        <w:snapToGrid w:val="0"/>
        <w:spacing w:line="360" w:lineRule="auto"/>
        <w:ind w:firstLine="640" w:firstLineChars="200"/>
        <w:rPr>
          <w:rFonts w:ascii="仿宋_GB2312" w:eastAsia="仿宋_GB2312"/>
          <w:color w:val="auto"/>
          <w:sz w:val="32"/>
          <w:szCs w:val="32"/>
          <w:highlight w:val="none"/>
        </w:rPr>
      </w:pPr>
      <w:r>
        <w:rPr>
          <w:rFonts w:hint="eastAsia" w:ascii="仿宋_GB2312" w:hAnsi="Times New Roman" w:eastAsia="仿宋_GB2312" w:cs="Times New Roman"/>
          <w:b/>
          <w:bCs/>
          <w:color w:val="auto"/>
          <w:sz w:val="32"/>
          <w:szCs w:val="32"/>
          <w:highlight w:val="none"/>
        </w:rPr>
        <w:t>2．目标设置。</w:t>
      </w:r>
      <w:r>
        <w:rPr>
          <w:rFonts w:hint="eastAsia" w:ascii="仿宋_GB2312" w:eastAsia="仿宋_GB2312"/>
          <w:color w:val="auto"/>
          <w:sz w:val="32"/>
          <w:szCs w:val="32"/>
          <w:highlight w:val="none"/>
        </w:rPr>
        <w:t>指标分值6分，评价得分5.4分，得分率为9</w:t>
      </w:r>
      <w:r>
        <w:rPr>
          <w:rFonts w:ascii="仿宋_GB2312" w:eastAsia="仿宋_GB2312"/>
          <w:color w:val="auto"/>
          <w:sz w:val="32"/>
          <w:szCs w:val="32"/>
          <w:highlight w:val="none"/>
        </w:rPr>
        <w:t>0</w:t>
      </w:r>
      <w:r>
        <w:rPr>
          <w:rFonts w:hint="eastAsia" w:ascii="仿宋_GB2312" w:eastAsia="仿宋_GB2312"/>
          <w:color w:val="auto"/>
          <w:sz w:val="32"/>
          <w:szCs w:val="32"/>
          <w:highlight w:val="none"/>
        </w:rPr>
        <w:t>.0%。我厅以构建现代农业体系为目标，加快推进广东乡村振兴，设置了专项资金整体绩效目标：在稳定粮食生产和安全的基础上，发展现代广东特色农业、现代畜牧业，发展高附加值、高品质农产品，发展农产品加工和流通业，优化农业区域布局，推动农业供给侧改革；推动一二三产业融合发展，创建</w:t>
      </w:r>
      <w:r>
        <w:rPr>
          <w:rFonts w:ascii="仿宋_GB2312" w:eastAsia="仿宋_GB2312"/>
          <w:color w:val="auto"/>
          <w:sz w:val="32"/>
          <w:szCs w:val="32"/>
          <w:highlight w:val="none"/>
        </w:rPr>
        <w:t>5-6个现代农业产业园、100个岭南佳果良种试验示范基地、10-12个农业公园、10个以上特色农产品优势区等，力争农业产业园区农民收入高于当地平均水平30%以上，岭南佳果良种试验示范基地示范园区品种优质率提高10%以上，产值提高20%以上，项目县节本增效5%以上</w:t>
      </w:r>
      <w:r>
        <w:rPr>
          <w:rFonts w:hint="eastAsia" w:ascii="仿宋_GB2312" w:eastAsia="仿宋_GB2312"/>
          <w:color w:val="auto"/>
          <w:sz w:val="32"/>
          <w:szCs w:val="32"/>
          <w:highlight w:val="none"/>
        </w:rPr>
        <w:t>等。绩效目标设置完整明确，包含总目标和阶段性目标；综合考虑了我省农业发展现状，结合了全省不同区域现代农业体系建设情况，目标设置基本合理，目标参数清晰，符合“可量化、可评估”的要求。但</w:t>
      </w:r>
      <w:r>
        <w:rPr>
          <w:rFonts w:hint="eastAsia" w:ascii="仿宋_GB2312" w:hAnsi="Times New Roman" w:eastAsia="仿宋_GB2312"/>
          <w:color w:val="auto"/>
          <w:sz w:val="32"/>
          <w:szCs w:val="32"/>
          <w:highlight w:val="none"/>
        </w:rPr>
        <w:t>部分地市农业农村主管部门对“大专项+任务清单”管理模式理解领会不到位，未能及时按省财政厅下达的专项资金预算指标和我厅下达的任务清单，结合本地实际分解细化绩效目标</w:t>
      </w:r>
      <w:r>
        <w:rPr>
          <w:rFonts w:hint="eastAsia" w:ascii="仿宋_GB2312" w:eastAsia="仿宋_GB2312"/>
          <w:color w:val="auto"/>
          <w:sz w:val="32"/>
          <w:szCs w:val="32"/>
          <w:highlight w:val="none"/>
        </w:rPr>
        <w:t>。扣0.6分。</w:t>
      </w:r>
    </w:p>
    <w:p>
      <w:pPr>
        <w:snapToGrid w:val="0"/>
        <w:spacing w:line="360" w:lineRule="auto"/>
        <w:ind w:firstLine="640" w:firstLineChars="200"/>
        <w:rPr>
          <w:rFonts w:ascii="仿宋_GB2312" w:hAnsi="宋体" w:eastAsia="仿宋_GB2312" w:cs="宋体"/>
          <w:color w:val="auto"/>
          <w:sz w:val="32"/>
          <w:szCs w:val="32"/>
          <w:highlight w:val="none"/>
        </w:rPr>
      </w:pPr>
      <w:r>
        <w:rPr>
          <w:rFonts w:hint="eastAsia" w:ascii="仿宋_GB2312" w:hAnsi="Times New Roman" w:eastAsia="仿宋_GB2312"/>
          <w:b/>
          <w:bCs/>
          <w:color w:val="auto"/>
          <w:sz w:val="32"/>
          <w:szCs w:val="32"/>
          <w:highlight w:val="none"/>
        </w:rPr>
        <w:t>3．保障措施。</w:t>
      </w:r>
      <w:r>
        <w:rPr>
          <w:rFonts w:hint="eastAsia" w:ascii="仿宋_GB2312" w:eastAsia="仿宋_GB2312"/>
          <w:color w:val="auto"/>
          <w:sz w:val="32"/>
          <w:szCs w:val="32"/>
          <w:highlight w:val="none"/>
        </w:rPr>
        <w:t>指标分值2分，评价得分1.9分，得分率为95.0%。专项资金使用单位资金管理及项目实施的保障机制健全，人员分工和管理责任基本落实到位，计划安排较为合理。</w:t>
      </w:r>
      <w:r>
        <w:rPr>
          <w:rFonts w:hint="eastAsia" w:ascii="仿宋_GB2312" w:hAnsi="仿宋_GB2312" w:eastAsia="仿宋_GB2312" w:cs="仿宋_GB2312"/>
          <w:color w:val="auto"/>
          <w:sz w:val="32"/>
          <w:szCs w:val="32"/>
          <w:highlight w:val="none"/>
        </w:rPr>
        <w:t>专项资金按《广东省人民政府关于印发广东省省级财政专项资金管理试行办法的通知》（粤府〔2016〕86号）、《广东省人民政府关于印发广东省省级财政专项资金管理办法（试行）的通知》（粤府〔2018〕120号）、《广东省人民政府关于印发广东省涉农资金统筹整合实施方案（试行）的通知》（粤府〔2018〕123号）、《关于印发&lt;广东省农业厅省级农业项目管理试行办法&gt;的通知》（粤农〔2016〕191号）等有关文件规定设立、分配、使用和管理，总体上</w:t>
      </w:r>
      <w:r>
        <w:rPr>
          <w:rFonts w:hint="eastAsia" w:ascii="仿宋_GB2312" w:eastAsia="仿宋_GB2312"/>
          <w:color w:val="auto"/>
          <w:sz w:val="32"/>
          <w:szCs w:val="32"/>
          <w:highlight w:val="none"/>
        </w:rPr>
        <w:t>项目工作进度计划安排基本合理。但部分地市由于对专项资金</w:t>
      </w:r>
      <w:r>
        <w:rPr>
          <w:rFonts w:hint="eastAsia" w:ascii="仿宋_GB2312" w:hAnsi="Times New Roman" w:eastAsia="仿宋_GB2312"/>
          <w:color w:val="auto"/>
          <w:sz w:val="32"/>
          <w:szCs w:val="32"/>
          <w:highlight w:val="none"/>
        </w:rPr>
        <w:t>“大专项+任务清单”</w:t>
      </w:r>
      <w:r>
        <w:rPr>
          <w:rFonts w:hint="eastAsia" w:ascii="仿宋_GB2312" w:eastAsia="仿宋_GB2312"/>
          <w:color w:val="auto"/>
          <w:sz w:val="32"/>
          <w:szCs w:val="32"/>
          <w:highlight w:val="none"/>
        </w:rPr>
        <w:t>管理办法的理解领会不够到位，部分项目计划安排合理性有待进一步提升</w:t>
      </w:r>
      <w:r>
        <w:rPr>
          <w:rFonts w:hint="eastAsia" w:ascii="仿宋_GB2312" w:hAnsi="宋体" w:eastAsia="仿宋_GB2312" w:cs="宋体"/>
          <w:color w:val="auto"/>
          <w:sz w:val="32"/>
          <w:szCs w:val="32"/>
          <w:highlight w:val="none"/>
        </w:rPr>
        <w:t>。</w:t>
      </w:r>
      <w:r>
        <w:rPr>
          <w:rFonts w:hint="eastAsia" w:ascii="仿宋_GB2312" w:eastAsia="仿宋_GB2312"/>
          <w:color w:val="auto"/>
          <w:sz w:val="32"/>
          <w:szCs w:val="32"/>
          <w:highlight w:val="none"/>
        </w:rPr>
        <w:t>扣0.1分</w:t>
      </w:r>
      <w:r>
        <w:rPr>
          <w:rFonts w:hint="eastAsia" w:ascii="仿宋_GB2312" w:hAnsi="宋体" w:eastAsia="仿宋_GB2312" w:cs="宋体"/>
          <w:color w:val="auto"/>
          <w:sz w:val="32"/>
          <w:szCs w:val="32"/>
          <w:highlight w:val="none"/>
        </w:rPr>
        <w:t>。</w:t>
      </w:r>
      <w:bookmarkStart w:id="25" w:name="_Toc28351"/>
      <w:bookmarkStart w:id="26" w:name="_Toc15140288"/>
      <w:bookmarkStart w:id="27" w:name="_Toc11918603"/>
      <w:bookmarkStart w:id="28" w:name="_Toc15140368"/>
    </w:p>
    <w:p>
      <w:pPr>
        <w:snapToGrid w:val="0"/>
        <w:spacing w:line="360" w:lineRule="auto"/>
        <w:ind w:firstLine="640" w:firstLineChars="200"/>
        <w:rPr>
          <w:rFonts w:ascii="仿宋_GB2312" w:hAnsi="Calibri" w:eastAsia="仿宋_GB2312" w:cs="Times New Roman"/>
          <w:color w:val="auto"/>
          <w:kern w:val="0"/>
          <w:sz w:val="32"/>
          <w:szCs w:val="32"/>
          <w:highlight w:val="none"/>
        </w:rPr>
      </w:pPr>
      <w:r>
        <w:rPr>
          <w:rFonts w:hint="eastAsia" w:ascii="仿宋_GB2312" w:hAnsi="Times New Roman" w:eastAsia="仿宋_GB2312" w:cs="Times New Roman"/>
          <w:b/>
          <w:bCs/>
          <w:color w:val="auto"/>
          <w:kern w:val="0"/>
          <w:sz w:val="32"/>
          <w:szCs w:val="32"/>
          <w:highlight w:val="none"/>
        </w:rPr>
        <w:t>4．资金到位</w:t>
      </w:r>
      <w:bookmarkEnd w:id="25"/>
      <w:bookmarkEnd w:id="26"/>
      <w:bookmarkEnd w:id="27"/>
      <w:bookmarkEnd w:id="28"/>
      <w:r>
        <w:rPr>
          <w:rFonts w:hint="eastAsia" w:ascii="仿宋_GB2312" w:hAnsi="Times New Roman" w:eastAsia="仿宋_GB2312" w:cs="Times New Roman"/>
          <w:b/>
          <w:bCs/>
          <w:color w:val="auto"/>
          <w:kern w:val="0"/>
          <w:sz w:val="32"/>
          <w:szCs w:val="32"/>
          <w:highlight w:val="none"/>
        </w:rPr>
        <w:t>。</w:t>
      </w:r>
      <w:r>
        <w:rPr>
          <w:rFonts w:hint="eastAsia" w:ascii="仿宋_GB2312" w:hAnsi="Calibri" w:eastAsia="仿宋_GB2312" w:cs="Times New Roman"/>
          <w:color w:val="auto"/>
          <w:kern w:val="0"/>
          <w:sz w:val="32"/>
          <w:szCs w:val="32"/>
          <w:highlight w:val="none"/>
        </w:rPr>
        <w:t>指标分值5分，评价得分5分，得分率为100%。省财政厅已按规定程序将专项资金预算指标下达有关市县（对下转移支付）和有关省直单位，有关市县也按规定将专项资金预算指标转分配下达县级和有关项目承担单位，各项用途的资金已足额到位。</w:t>
      </w:r>
    </w:p>
    <w:p>
      <w:pPr>
        <w:pStyle w:val="2"/>
        <w:rPr>
          <w:color w:val="auto"/>
          <w:highlight w:val="none"/>
        </w:rPr>
      </w:pPr>
    </w:p>
    <w:p>
      <w:pPr>
        <w:rPr>
          <w:color w:val="auto"/>
          <w:highlight w:val="none"/>
        </w:rPr>
      </w:pPr>
    </w:p>
    <w:p>
      <w:pPr>
        <w:snapToGrid w:val="0"/>
        <w:spacing w:line="360" w:lineRule="auto"/>
        <w:jc w:val="center"/>
        <w:rPr>
          <w:rFonts w:ascii="黑体" w:hAnsi="黑体" w:eastAsia="黑体" w:cs="仿宋"/>
          <w:color w:val="auto"/>
          <w:kern w:val="0"/>
          <w:sz w:val="28"/>
          <w:szCs w:val="28"/>
          <w:highlight w:val="none"/>
        </w:rPr>
      </w:pPr>
      <w:r>
        <w:rPr>
          <w:rFonts w:hint="eastAsia" w:ascii="黑体" w:hAnsi="黑体" w:eastAsia="黑体" w:cs="仿宋"/>
          <w:color w:val="auto"/>
          <w:kern w:val="0"/>
          <w:sz w:val="28"/>
          <w:szCs w:val="28"/>
          <w:highlight w:val="none"/>
        </w:rPr>
        <w:t>表1-4</w:t>
      </w:r>
      <w:r>
        <w:rPr>
          <w:rFonts w:ascii="黑体" w:hAnsi="黑体" w:eastAsia="黑体" w:cs="仿宋"/>
          <w:color w:val="auto"/>
          <w:kern w:val="0"/>
          <w:sz w:val="28"/>
          <w:szCs w:val="28"/>
          <w:highlight w:val="none"/>
        </w:rPr>
        <w:t xml:space="preserve">  </w:t>
      </w:r>
      <w:r>
        <w:rPr>
          <w:rFonts w:hint="eastAsia" w:ascii="黑体" w:hAnsi="黑体" w:eastAsia="黑体" w:cs="仿宋"/>
          <w:color w:val="auto"/>
          <w:kern w:val="0"/>
          <w:sz w:val="28"/>
          <w:szCs w:val="28"/>
          <w:highlight w:val="none"/>
        </w:rPr>
        <w:t>构建现代农业体系</w:t>
      </w:r>
      <w:r>
        <w:rPr>
          <w:rFonts w:ascii="黑体" w:hAnsi="黑体" w:eastAsia="黑体" w:cs="仿宋"/>
          <w:color w:val="auto"/>
          <w:kern w:val="0"/>
          <w:sz w:val="28"/>
          <w:szCs w:val="28"/>
          <w:highlight w:val="none"/>
        </w:rPr>
        <w:t>省级资金</w:t>
      </w:r>
      <w:r>
        <w:rPr>
          <w:rFonts w:hint="eastAsia" w:ascii="黑体" w:hAnsi="黑体" w:eastAsia="黑体" w:cs="仿宋"/>
          <w:color w:val="auto"/>
          <w:kern w:val="0"/>
          <w:sz w:val="28"/>
          <w:szCs w:val="28"/>
          <w:highlight w:val="none"/>
        </w:rPr>
        <w:t>安排情况</w:t>
      </w:r>
    </w:p>
    <w:p>
      <w:pPr>
        <w:snapToGrid w:val="0"/>
        <w:spacing w:line="360" w:lineRule="auto"/>
        <w:jc w:val="right"/>
        <w:rPr>
          <w:rFonts w:ascii="黑体" w:hAnsi="黑体" w:eastAsia="黑体" w:cs="仿宋"/>
          <w:b w:val="0"/>
          <w:bCs w:val="0"/>
          <w:color w:val="auto"/>
          <w:kern w:val="0"/>
          <w:sz w:val="24"/>
          <w:szCs w:val="24"/>
          <w:highlight w:val="none"/>
        </w:rPr>
      </w:pPr>
      <w:r>
        <w:rPr>
          <w:rFonts w:hint="eastAsia" w:ascii="黑体" w:hAnsi="黑体" w:eastAsia="黑体" w:cs="仿宋"/>
          <w:b w:val="0"/>
          <w:bCs w:val="0"/>
          <w:color w:val="auto"/>
          <w:kern w:val="0"/>
          <w:sz w:val="24"/>
          <w:szCs w:val="24"/>
          <w:highlight w:val="none"/>
        </w:rPr>
        <w:t>单位：万元</w:t>
      </w:r>
    </w:p>
    <w:tbl>
      <w:tblPr>
        <w:tblStyle w:val="18"/>
        <w:tblW w:w="92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556"/>
        <w:gridCol w:w="4874"/>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752"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序号</w:t>
            </w:r>
          </w:p>
        </w:tc>
        <w:tc>
          <w:tcPr>
            <w:tcW w:w="2556"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文号</w:t>
            </w:r>
          </w:p>
        </w:tc>
        <w:tc>
          <w:tcPr>
            <w:tcW w:w="4874"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下达预算指标文件摘要</w:t>
            </w:r>
          </w:p>
        </w:tc>
        <w:tc>
          <w:tcPr>
            <w:tcW w:w="1056"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1</w:t>
            </w:r>
          </w:p>
        </w:tc>
        <w:tc>
          <w:tcPr>
            <w:tcW w:w="2556"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粤财农</w:t>
            </w:r>
            <w:r>
              <w:rPr>
                <w:rFonts w:hint="eastAsia" w:ascii="仿宋_GB2312" w:hAnsi="仿宋_GB2312" w:eastAsia="仿宋_GB2312" w:cs="仿宋_GB2312"/>
                <w:color w:val="auto"/>
                <w:sz w:val="24"/>
                <w:szCs w:val="24"/>
                <w:highlight w:val="none"/>
              </w:rPr>
              <w:t>〔2018〕</w:t>
            </w:r>
            <w:r>
              <w:rPr>
                <w:rFonts w:hint="eastAsia" w:ascii="仿宋_GB2312" w:hAnsi="仿宋" w:eastAsia="仿宋_GB2312" w:cs="仿宋"/>
                <w:color w:val="auto"/>
                <w:kern w:val="0"/>
                <w:sz w:val="24"/>
                <w:szCs w:val="24"/>
                <w:highlight w:val="none"/>
              </w:rPr>
              <w:t>125</w:t>
            </w:r>
            <w:r>
              <w:rPr>
                <w:rFonts w:ascii="仿宋_GB2312" w:hAnsi="仿宋" w:eastAsia="仿宋_GB2312" w:cs="仿宋"/>
                <w:color w:val="auto"/>
                <w:kern w:val="0"/>
                <w:sz w:val="24"/>
                <w:szCs w:val="24"/>
                <w:highlight w:val="none"/>
              </w:rPr>
              <w:t>号</w:t>
            </w:r>
          </w:p>
        </w:tc>
        <w:tc>
          <w:tcPr>
            <w:tcW w:w="4874"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2018年省级乡村振兴战略专项（</w:t>
            </w:r>
            <w:r>
              <w:rPr>
                <w:rFonts w:hint="eastAsia" w:ascii="仿宋_GB2312" w:hAnsi="仿宋" w:eastAsia="仿宋_GB2312" w:cs="仿宋"/>
                <w:color w:val="auto"/>
                <w:kern w:val="0"/>
                <w:sz w:val="24"/>
                <w:szCs w:val="24"/>
                <w:highlight w:val="none"/>
              </w:rPr>
              <w:t>构建现代农业体系</w:t>
            </w:r>
            <w:r>
              <w:rPr>
                <w:rFonts w:ascii="仿宋_GB2312" w:hAnsi="仿宋" w:eastAsia="仿宋_GB2312" w:cs="仿宋"/>
                <w:color w:val="auto"/>
                <w:kern w:val="0"/>
                <w:sz w:val="24"/>
                <w:szCs w:val="24"/>
                <w:highlight w:val="none"/>
              </w:rPr>
              <w:t>）省级资金（第一批）</w:t>
            </w:r>
          </w:p>
        </w:tc>
        <w:tc>
          <w:tcPr>
            <w:tcW w:w="1056" w:type="dxa"/>
            <w:vAlign w:val="center"/>
          </w:tcPr>
          <w:p>
            <w:pPr>
              <w:snapToGrid w:val="0"/>
              <w:jc w:val="right"/>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7603.6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2</w:t>
            </w:r>
          </w:p>
        </w:tc>
        <w:tc>
          <w:tcPr>
            <w:tcW w:w="2556"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粤财农</w:t>
            </w:r>
            <w:r>
              <w:rPr>
                <w:rFonts w:hint="eastAsia" w:ascii="仿宋_GB2312" w:hAnsi="仿宋_GB2312" w:eastAsia="仿宋_GB2312" w:cs="仿宋_GB2312"/>
                <w:color w:val="auto"/>
                <w:sz w:val="24"/>
                <w:szCs w:val="24"/>
                <w:highlight w:val="none"/>
              </w:rPr>
              <w:t>〔2018〕</w:t>
            </w:r>
            <w:r>
              <w:rPr>
                <w:rFonts w:hint="eastAsia" w:ascii="仿宋_GB2312" w:hAnsi="仿宋" w:eastAsia="仿宋_GB2312" w:cs="仿宋"/>
                <w:color w:val="auto"/>
                <w:kern w:val="0"/>
                <w:sz w:val="24"/>
                <w:szCs w:val="24"/>
                <w:highlight w:val="none"/>
              </w:rPr>
              <w:t>143</w:t>
            </w:r>
            <w:r>
              <w:rPr>
                <w:rFonts w:ascii="仿宋_GB2312" w:hAnsi="仿宋" w:eastAsia="仿宋_GB2312" w:cs="仿宋"/>
                <w:color w:val="auto"/>
                <w:kern w:val="0"/>
                <w:sz w:val="24"/>
                <w:szCs w:val="24"/>
                <w:highlight w:val="none"/>
              </w:rPr>
              <w:t>号</w:t>
            </w:r>
          </w:p>
        </w:tc>
        <w:tc>
          <w:tcPr>
            <w:tcW w:w="4874"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2018年省级乡村振兴战略专项（</w:t>
            </w:r>
            <w:r>
              <w:rPr>
                <w:rFonts w:hint="eastAsia" w:ascii="仿宋_GB2312" w:hAnsi="仿宋" w:eastAsia="仿宋_GB2312" w:cs="仿宋"/>
                <w:color w:val="auto"/>
                <w:kern w:val="0"/>
                <w:sz w:val="24"/>
                <w:szCs w:val="24"/>
                <w:highlight w:val="none"/>
              </w:rPr>
              <w:t>构建现代农业体系</w:t>
            </w:r>
            <w:r>
              <w:rPr>
                <w:rFonts w:ascii="仿宋_GB2312" w:hAnsi="仿宋" w:eastAsia="仿宋_GB2312" w:cs="仿宋"/>
                <w:color w:val="auto"/>
                <w:kern w:val="0"/>
                <w:sz w:val="24"/>
                <w:szCs w:val="24"/>
                <w:highlight w:val="none"/>
              </w:rPr>
              <w:t>）</w:t>
            </w:r>
            <w:r>
              <w:rPr>
                <w:rFonts w:hint="eastAsia" w:ascii="仿宋_GB2312" w:hAnsi="仿宋" w:eastAsia="仿宋_GB2312" w:cs="仿宋"/>
                <w:color w:val="auto"/>
                <w:kern w:val="0"/>
                <w:sz w:val="24"/>
                <w:szCs w:val="24"/>
                <w:highlight w:val="none"/>
              </w:rPr>
              <w:t>省级</w:t>
            </w:r>
            <w:r>
              <w:rPr>
                <w:rFonts w:ascii="仿宋_GB2312" w:hAnsi="仿宋" w:eastAsia="仿宋_GB2312" w:cs="仿宋"/>
                <w:color w:val="auto"/>
                <w:kern w:val="0"/>
                <w:sz w:val="24"/>
                <w:szCs w:val="24"/>
                <w:highlight w:val="none"/>
              </w:rPr>
              <w:t>资金（第</w:t>
            </w:r>
            <w:r>
              <w:rPr>
                <w:rFonts w:hint="eastAsia" w:ascii="仿宋_GB2312" w:hAnsi="仿宋" w:eastAsia="仿宋_GB2312" w:cs="仿宋"/>
                <w:color w:val="auto"/>
                <w:kern w:val="0"/>
                <w:sz w:val="24"/>
                <w:szCs w:val="24"/>
                <w:highlight w:val="none"/>
              </w:rPr>
              <w:t>二</w:t>
            </w:r>
            <w:r>
              <w:rPr>
                <w:rFonts w:ascii="仿宋_GB2312" w:hAnsi="仿宋" w:eastAsia="仿宋_GB2312" w:cs="仿宋"/>
                <w:color w:val="auto"/>
                <w:kern w:val="0"/>
                <w:sz w:val="24"/>
                <w:szCs w:val="24"/>
                <w:highlight w:val="none"/>
              </w:rPr>
              <w:t>批）</w:t>
            </w:r>
            <w:r>
              <w:rPr>
                <w:rFonts w:hint="eastAsia" w:ascii="仿宋_GB2312" w:hAnsi="仿宋" w:eastAsia="仿宋_GB2312" w:cs="仿宋"/>
                <w:color w:val="auto"/>
                <w:kern w:val="0"/>
                <w:sz w:val="24"/>
                <w:szCs w:val="24"/>
                <w:highlight w:val="none"/>
              </w:rPr>
              <w:t xml:space="preserve"> </w:t>
            </w:r>
          </w:p>
        </w:tc>
        <w:tc>
          <w:tcPr>
            <w:tcW w:w="1056" w:type="dxa"/>
            <w:vAlign w:val="center"/>
          </w:tcPr>
          <w:p>
            <w:pPr>
              <w:snapToGrid w:val="0"/>
              <w:jc w:val="right"/>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26208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3</w:t>
            </w:r>
          </w:p>
        </w:tc>
        <w:tc>
          <w:tcPr>
            <w:tcW w:w="2556"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粤财农</w:t>
            </w:r>
            <w:r>
              <w:rPr>
                <w:rFonts w:hint="eastAsia" w:ascii="仿宋_GB2312" w:hAnsi="仿宋_GB2312" w:eastAsia="仿宋_GB2312" w:cs="仿宋_GB2312"/>
                <w:color w:val="auto"/>
                <w:sz w:val="24"/>
                <w:szCs w:val="24"/>
                <w:highlight w:val="none"/>
              </w:rPr>
              <w:t>〔2018〕</w:t>
            </w:r>
            <w:r>
              <w:rPr>
                <w:rFonts w:hint="eastAsia" w:ascii="仿宋_GB2312" w:hAnsi="仿宋" w:eastAsia="仿宋_GB2312" w:cs="仿宋"/>
                <w:color w:val="auto"/>
                <w:kern w:val="0"/>
                <w:sz w:val="24"/>
                <w:szCs w:val="24"/>
                <w:highlight w:val="none"/>
              </w:rPr>
              <w:t>111</w:t>
            </w:r>
            <w:r>
              <w:rPr>
                <w:rFonts w:ascii="仿宋_GB2312" w:hAnsi="仿宋" w:eastAsia="仿宋_GB2312" w:cs="仿宋"/>
                <w:color w:val="auto"/>
                <w:kern w:val="0"/>
                <w:sz w:val="24"/>
                <w:szCs w:val="24"/>
                <w:highlight w:val="none"/>
              </w:rPr>
              <w:t>号</w:t>
            </w:r>
          </w:p>
        </w:tc>
        <w:tc>
          <w:tcPr>
            <w:tcW w:w="4874"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2018 年省级乡村振兴战略专项（构</w:t>
            </w:r>
            <w:r>
              <w:rPr>
                <w:rFonts w:hint="eastAsia" w:ascii="仿宋_GB2312" w:hAnsi="仿宋" w:eastAsia="仿宋_GB2312" w:cs="仿宋"/>
                <w:color w:val="auto"/>
                <w:kern w:val="0"/>
                <w:sz w:val="24"/>
                <w:szCs w:val="24"/>
                <w:highlight w:val="none"/>
              </w:rPr>
              <w:t>建现代农业体系）对下转移支付资金（第一批）</w:t>
            </w:r>
          </w:p>
        </w:tc>
        <w:tc>
          <w:tcPr>
            <w:tcW w:w="1056" w:type="dxa"/>
            <w:vAlign w:val="center"/>
          </w:tcPr>
          <w:p>
            <w:pPr>
              <w:snapToGrid w:val="0"/>
              <w:jc w:val="right"/>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54221.4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4</w:t>
            </w:r>
          </w:p>
        </w:tc>
        <w:tc>
          <w:tcPr>
            <w:tcW w:w="2556"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粤财农</w:t>
            </w:r>
            <w:r>
              <w:rPr>
                <w:rFonts w:hint="eastAsia" w:ascii="仿宋_GB2312" w:hAnsi="仿宋_GB2312" w:eastAsia="仿宋_GB2312" w:cs="仿宋_GB2312"/>
                <w:color w:val="auto"/>
                <w:sz w:val="24"/>
                <w:szCs w:val="24"/>
                <w:highlight w:val="none"/>
              </w:rPr>
              <w:t>〔2018〕</w:t>
            </w:r>
            <w:r>
              <w:rPr>
                <w:rFonts w:hint="eastAsia" w:ascii="仿宋_GB2312" w:hAnsi="仿宋" w:eastAsia="仿宋_GB2312" w:cs="仿宋"/>
                <w:color w:val="auto"/>
                <w:kern w:val="0"/>
                <w:sz w:val="24"/>
                <w:szCs w:val="24"/>
                <w:highlight w:val="none"/>
              </w:rPr>
              <w:t>142</w:t>
            </w:r>
            <w:r>
              <w:rPr>
                <w:rFonts w:ascii="仿宋_GB2312" w:hAnsi="仿宋" w:eastAsia="仿宋_GB2312" w:cs="仿宋"/>
                <w:color w:val="auto"/>
                <w:kern w:val="0"/>
                <w:sz w:val="24"/>
                <w:szCs w:val="24"/>
                <w:highlight w:val="none"/>
              </w:rPr>
              <w:t>号</w:t>
            </w:r>
          </w:p>
        </w:tc>
        <w:tc>
          <w:tcPr>
            <w:tcW w:w="4874" w:type="dxa"/>
            <w:vAlign w:val="center"/>
          </w:tcPr>
          <w:p>
            <w:pPr>
              <w:snapToGrid w:val="0"/>
              <w:jc w:val="center"/>
              <w:rPr>
                <w:rFonts w:ascii="仿宋_GB2312" w:hAnsi="仿宋" w:eastAsia="仿宋_GB2312" w:cs="仿宋"/>
                <w:color w:val="auto"/>
                <w:kern w:val="0"/>
                <w:sz w:val="24"/>
                <w:szCs w:val="24"/>
                <w:highlight w:val="none"/>
              </w:rPr>
            </w:pPr>
            <w:r>
              <w:rPr>
                <w:rFonts w:ascii="仿宋_GB2312" w:hAnsi="仿宋" w:eastAsia="仿宋_GB2312" w:cs="仿宋"/>
                <w:color w:val="auto"/>
                <w:kern w:val="0"/>
                <w:sz w:val="24"/>
                <w:szCs w:val="24"/>
                <w:highlight w:val="none"/>
              </w:rPr>
              <w:t>2018 年省级乡村振兴战略专项（构</w:t>
            </w:r>
            <w:r>
              <w:rPr>
                <w:rFonts w:hint="eastAsia" w:ascii="仿宋_GB2312" w:hAnsi="仿宋" w:eastAsia="仿宋_GB2312" w:cs="仿宋"/>
                <w:color w:val="auto"/>
                <w:kern w:val="0"/>
                <w:sz w:val="24"/>
                <w:szCs w:val="24"/>
                <w:highlight w:val="none"/>
              </w:rPr>
              <w:t>建现代农业体系）对下转移支付资金（第一批）</w:t>
            </w:r>
          </w:p>
        </w:tc>
        <w:tc>
          <w:tcPr>
            <w:tcW w:w="1056" w:type="dxa"/>
            <w:vAlign w:val="center"/>
          </w:tcPr>
          <w:p>
            <w:pPr>
              <w:snapToGrid w:val="0"/>
              <w:jc w:val="right"/>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3450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2" w:type="dxa"/>
            <w:gridSpan w:val="3"/>
            <w:vAlign w:val="center"/>
          </w:tcPr>
          <w:p>
            <w:pPr>
              <w:snapToGrid w:val="0"/>
              <w:jc w:val="center"/>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合  计</w:t>
            </w:r>
          </w:p>
        </w:tc>
        <w:tc>
          <w:tcPr>
            <w:tcW w:w="1056" w:type="dxa"/>
            <w:vAlign w:val="center"/>
          </w:tcPr>
          <w:p>
            <w:pPr>
              <w:snapToGrid w:val="0"/>
              <w:jc w:val="right"/>
              <w:rPr>
                <w:rFonts w:ascii="仿宋_GB2312" w:hAnsi="仿宋" w:eastAsia="仿宋_GB2312" w:cs="仿宋"/>
                <w:color w:val="auto"/>
                <w:kern w:val="0"/>
                <w:sz w:val="24"/>
                <w:szCs w:val="24"/>
                <w:highlight w:val="none"/>
              </w:rPr>
            </w:pPr>
            <w:r>
              <w:rPr>
                <w:rFonts w:hint="eastAsia" w:ascii="仿宋_GB2312" w:hAnsi="仿宋" w:eastAsia="仿宋_GB2312" w:cs="仿宋"/>
                <w:color w:val="auto"/>
                <w:kern w:val="0"/>
                <w:sz w:val="24"/>
                <w:szCs w:val="24"/>
                <w:highlight w:val="none"/>
              </w:rPr>
              <w:t>91483</w:t>
            </w:r>
          </w:p>
        </w:tc>
      </w:tr>
    </w:tbl>
    <w:p>
      <w:pPr>
        <w:snapToGrid w:val="0"/>
        <w:spacing w:line="360" w:lineRule="auto"/>
        <w:rPr>
          <w:rFonts w:ascii="仿宋_GB2312" w:hAnsi="仿宋" w:eastAsia="仿宋_GB2312" w:cs="仿宋"/>
          <w:color w:val="auto"/>
          <w:kern w:val="0"/>
          <w:sz w:val="32"/>
          <w:szCs w:val="32"/>
          <w:highlight w:val="none"/>
        </w:rPr>
      </w:pPr>
    </w:p>
    <w:p>
      <w:pPr>
        <w:spacing w:line="360" w:lineRule="auto"/>
        <w:ind w:firstLine="640" w:firstLineChars="200"/>
        <w:rPr>
          <w:rFonts w:ascii="仿宋_GB2312" w:eastAsia="仿宋_GB2312"/>
          <w:color w:val="auto"/>
          <w:sz w:val="32"/>
          <w:szCs w:val="32"/>
          <w:highlight w:val="none"/>
        </w:rPr>
      </w:pPr>
      <w:bookmarkStart w:id="29" w:name="_Toc22456"/>
      <w:bookmarkStart w:id="30" w:name="_Toc15140289"/>
      <w:bookmarkStart w:id="31" w:name="_Toc15140369"/>
      <w:bookmarkStart w:id="32" w:name="_Toc11918604"/>
      <w:r>
        <w:rPr>
          <w:rFonts w:hint="eastAsia" w:ascii="仿宋_GB2312" w:hAnsi="Times New Roman" w:eastAsia="仿宋_GB2312" w:cs="Times New Roman"/>
          <w:b/>
          <w:bCs/>
          <w:color w:val="auto"/>
          <w:kern w:val="0"/>
          <w:sz w:val="32"/>
          <w:szCs w:val="32"/>
          <w:highlight w:val="none"/>
        </w:rPr>
        <w:t>5．资金分配</w:t>
      </w:r>
      <w:bookmarkEnd w:id="29"/>
      <w:bookmarkEnd w:id="30"/>
      <w:bookmarkEnd w:id="31"/>
      <w:bookmarkEnd w:id="32"/>
      <w:r>
        <w:rPr>
          <w:rFonts w:hint="eastAsia" w:ascii="仿宋_GB2312" w:hAnsi="Times New Roman" w:eastAsia="仿宋_GB2312" w:cs="Times New Roman"/>
          <w:b/>
          <w:bCs/>
          <w:color w:val="auto"/>
          <w:kern w:val="0"/>
          <w:sz w:val="32"/>
          <w:szCs w:val="32"/>
          <w:highlight w:val="none"/>
        </w:rPr>
        <w:t>。</w:t>
      </w:r>
      <w:r>
        <w:rPr>
          <w:rFonts w:hint="eastAsia" w:ascii="仿宋_GB2312" w:hAnsi="黑体" w:eastAsia="仿宋_GB2312"/>
          <w:color w:val="auto"/>
          <w:sz w:val="32"/>
          <w:szCs w:val="32"/>
          <w:highlight w:val="none"/>
        </w:rPr>
        <w:t>指标分值3分，评价得分2.85分，得分率为95</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w:t>
      </w:r>
      <w:r>
        <w:rPr>
          <w:rFonts w:hint="eastAsia" w:ascii="仿宋_GB2312" w:eastAsia="仿宋_GB2312"/>
          <w:color w:val="auto"/>
          <w:sz w:val="32"/>
          <w:szCs w:val="32"/>
          <w:highlight w:val="none"/>
        </w:rPr>
        <w:t>我厅根据省人大批准的预算草案，按照专项资金总体使用计划，拟定专项资金分配方案，报省财政厅审核后，由省财政厅下达预算指标。同时，我厅向有关地市下达了专项资金任务清单（包括约束性任务和指导性任务）。专项资金的分配原则主要是按照国家和省</w:t>
      </w:r>
      <w:r>
        <w:rPr>
          <w:rFonts w:hint="eastAsia" w:ascii="仿宋_GB2312" w:hAnsi="Times New Roman" w:eastAsia="仿宋_GB2312" w:cs="Times New Roman"/>
          <w:color w:val="auto"/>
          <w:sz w:val="32"/>
          <w:szCs w:val="32"/>
          <w:highlight w:val="none"/>
        </w:rPr>
        <w:t>乡村振兴战略的大政策，</w:t>
      </w:r>
      <w:r>
        <w:rPr>
          <w:rFonts w:hint="eastAsia" w:ascii="仿宋_GB2312" w:eastAsia="仿宋_GB2312"/>
          <w:color w:val="auto"/>
          <w:sz w:val="32"/>
          <w:szCs w:val="32"/>
          <w:highlight w:val="none"/>
        </w:rPr>
        <w:t>根据2018年我省农业农村工作</w:t>
      </w:r>
      <w:r>
        <w:rPr>
          <w:rFonts w:hint="eastAsia" w:ascii="仿宋_GB2312" w:hAnsi="Times New Roman" w:eastAsia="仿宋_GB2312" w:cs="Times New Roman"/>
          <w:color w:val="auto"/>
          <w:sz w:val="32"/>
          <w:szCs w:val="32"/>
          <w:highlight w:val="none"/>
        </w:rPr>
        <w:t>构建现代农业体系</w:t>
      </w:r>
      <w:r>
        <w:rPr>
          <w:rFonts w:hint="eastAsia" w:ascii="仿宋_GB2312" w:eastAsia="仿宋_GB2312"/>
          <w:color w:val="auto"/>
          <w:sz w:val="32"/>
          <w:szCs w:val="32"/>
          <w:highlight w:val="none"/>
        </w:rPr>
        <w:t>的重点方向，结合专项资金支持领域的实际情况，资金分配基本明确合理，扶持类型、扶持对象和主要用途符合相关规定，较好地支持了构建现代农业体系各项工作的开展，有利于绩效目标的实现。但是在</w:t>
      </w:r>
      <w:r>
        <w:rPr>
          <w:rFonts w:hint="eastAsia" w:ascii="仿宋_GB2312" w:hAnsi="Times New Roman" w:eastAsia="仿宋_GB2312"/>
          <w:color w:val="auto"/>
          <w:sz w:val="32"/>
          <w:szCs w:val="32"/>
          <w:highlight w:val="none"/>
        </w:rPr>
        <w:t>“大专项+任务清单”管理方式下，</w:t>
      </w:r>
      <w:r>
        <w:rPr>
          <w:rFonts w:hint="eastAsia" w:ascii="仿宋_GB2312" w:eastAsia="仿宋_GB2312"/>
          <w:color w:val="auto"/>
          <w:sz w:val="32"/>
          <w:szCs w:val="32"/>
          <w:highlight w:val="none"/>
        </w:rPr>
        <w:t>部分市县存在项目库管理薄弱，项目储备不足，资金逐级分配不及时的问题。扣0.15分。</w:t>
      </w:r>
    </w:p>
    <w:p>
      <w:pPr>
        <w:spacing w:line="360" w:lineRule="auto"/>
        <w:ind w:firstLine="640" w:firstLineChars="200"/>
        <w:rPr>
          <w:rFonts w:ascii="仿宋_GB2312" w:hAnsi="黑体" w:eastAsia="仿宋_GB2312"/>
          <w:color w:val="auto"/>
          <w:sz w:val="32"/>
          <w:szCs w:val="32"/>
          <w:highlight w:val="none"/>
        </w:rPr>
      </w:pPr>
      <w:bookmarkStart w:id="33" w:name="_Toc15140370"/>
      <w:bookmarkStart w:id="34" w:name="_Toc15140290"/>
      <w:bookmarkStart w:id="35" w:name="_Toc11918606"/>
      <w:bookmarkStart w:id="36" w:name="_Toc19617"/>
      <w:r>
        <w:rPr>
          <w:rFonts w:hint="eastAsia" w:ascii="仿宋_GB2312" w:hAnsi="Times New Roman" w:eastAsia="仿宋_GB2312" w:cs="Times New Roman"/>
          <w:b/>
          <w:bCs/>
          <w:color w:val="auto"/>
          <w:kern w:val="0"/>
          <w:sz w:val="32"/>
          <w:szCs w:val="32"/>
          <w:highlight w:val="none"/>
        </w:rPr>
        <w:t>6．资金支付</w:t>
      </w:r>
      <w:bookmarkEnd w:id="33"/>
      <w:bookmarkEnd w:id="34"/>
      <w:bookmarkEnd w:id="35"/>
      <w:bookmarkEnd w:id="36"/>
      <w:r>
        <w:rPr>
          <w:rFonts w:hint="eastAsia" w:ascii="仿宋_GB2312" w:hAnsi="Times New Roman" w:eastAsia="仿宋_GB2312" w:cs="Times New Roman"/>
          <w:b/>
          <w:bCs/>
          <w:color w:val="auto"/>
          <w:kern w:val="0"/>
          <w:sz w:val="32"/>
          <w:szCs w:val="32"/>
          <w:highlight w:val="none"/>
        </w:rPr>
        <w:t>。</w:t>
      </w:r>
      <w:r>
        <w:rPr>
          <w:rFonts w:hint="eastAsia" w:ascii="仿宋_GB2312" w:hAnsi="黑体" w:eastAsia="仿宋_GB2312"/>
          <w:color w:val="auto"/>
          <w:sz w:val="32"/>
          <w:szCs w:val="32"/>
          <w:highlight w:val="none"/>
        </w:rPr>
        <w:t>指标分值6分，评价得分4.8分，得分率为80</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w:t>
      </w:r>
      <w:bookmarkStart w:id="37" w:name="_Toc24308"/>
      <w:r>
        <w:rPr>
          <w:rFonts w:hint="eastAsia" w:ascii="仿宋_GB2312" w:hAnsi="黑体" w:eastAsia="仿宋_GB2312"/>
          <w:color w:val="auto"/>
          <w:sz w:val="32"/>
          <w:szCs w:val="32"/>
          <w:highlight w:val="none"/>
        </w:rPr>
        <w:t>根据已报送自评材料的地市和省直项目承担单位基础信息资料，截至2019年3月31日，2018年专项资金基本上按进度支付，但部分市县资金支付存在滞后于项目完成进度的情况，支付率偏低。扣1.2分</w:t>
      </w:r>
      <w:r>
        <w:rPr>
          <w:rFonts w:hint="eastAsia" w:ascii="仿宋_GB2312" w:eastAsia="仿宋_GB2312"/>
          <w:color w:val="auto"/>
          <w:sz w:val="32"/>
          <w:szCs w:val="32"/>
          <w:highlight w:val="none"/>
        </w:rPr>
        <w:t>。</w:t>
      </w:r>
    </w:p>
    <w:p>
      <w:pPr>
        <w:spacing w:line="360" w:lineRule="auto"/>
        <w:ind w:firstLine="640" w:firstLineChars="200"/>
        <w:rPr>
          <w:rFonts w:ascii="仿宋_GB2312" w:hAnsi="黑体" w:eastAsia="仿宋_GB2312"/>
          <w:color w:val="auto"/>
          <w:sz w:val="32"/>
          <w:szCs w:val="32"/>
          <w:highlight w:val="none"/>
        </w:rPr>
      </w:pPr>
      <w:bookmarkStart w:id="38" w:name="_Toc15140291"/>
      <w:bookmarkStart w:id="39" w:name="_Toc17940"/>
      <w:bookmarkStart w:id="40" w:name="_Toc11918607"/>
      <w:bookmarkStart w:id="41" w:name="_Toc15140371"/>
      <w:r>
        <w:rPr>
          <w:rFonts w:hint="eastAsia" w:ascii="仿宋_GB2312" w:hAnsi="Times New Roman" w:eastAsia="仿宋_GB2312" w:cs="Times New Roman"/>
          <w:b/>
          <w:bCs/>
          <w:color w:val="auto"/>
          <w:kern w:val="0"/>
          <w:sz w:val="32"/>
          <w:szCs w:val="32"/>
          <w:highlight w:val="none"/>
        </w:rPr>
        <w:t>7．支出规范性</w:t>
      </w:r>
      <w:bookmarkEnd w:id="37"/>
      <w:bookmarkEnd w:id="38"/>
      <w:bookmarkEnd w:id="39"/>
      <w:bookmarkEnd w:id="40"/>
      <w:bookmarkEnd w:id="41"/>
      <w:r>
        <w:rPr>
          <w:rFonts w:hint="eastAsia" w:ascii="仿宋_GB2312" w:hAnsi="Times New Roman" w:eastAsia="仿宋_GB2312" w:cs="Times New Roman"/>
          <w:b/>
          <w:bCs/>
          <w:color w:val="auto"/>
          <w:kern w:val="0"/>
          <w:sz w:val="32"/>
          <w:szCs w:val="32"/>
          <w:highlight w:val="none"/>
        </w:rPr>
        <w:t>。</w:t>
      </w:r>
      <w:r>
        <w:rPr>
          <w:rFonts w:hint="eastAsia" w:ascii="仿宋_GB2312" w:hAnsi="黑体" w:eastAsia="仿宋_GB2312"/>
          <w:color w:val="auto"/>
          <w:sz w:val="32"/>
          <w:szCs w:val="32"/>
          <w:highlight w:val="none"/>
        </w:rPr>
        <w:t>指标分值6分，评价得分5.1分，得分率为85</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市县和省直项目承担单位在使用专项资金过程中，基本上能够按照有关专项资金管理办法和财务制度规定管理、使用专项资金。规范执行会计核算制度得满分，按规定设专账核算，支出凭证基本符合规定。但少数项目承担单位在会计核算方面存在不足，如未设明细账核算专项资金项目支出等。扣0.9分。</w:t>
      </w:r>
    </w:p>
    <w:p>
      <w:pPr>
        <w:spacing w:line="360" w:lineRule="auto"/>
        <w:ind w:firstLine="640" w:firstLineChars="200"/>
        <w:rPr>
          <w:rFonts w:ascii="仿宋_GB2312" w:hAnsi="黑体" w:eastAsia="仿宋_GB2312"/>
          <w:color w:val="auto"/>
          <w:sz w:val="32"/>
          <w:szCs w:val="32"/>
          <w:highlight w:val="none"/>
        </w:rPr>
      </w:pPr>
      <w:bookmarkStart w:id="42" w:name="_Toc15140372"/>
      <w:bookmarkStart w:id="43" w:name="_Toc15140292"/>
      <w:bookmarkStart w:id="44" w:name="_Toc11918608"/>
      <w:bookmarkStart w:id="45" w:name="_Toc23075"/>
      <w:r>
        <w:rPr>
          <w:rFonts w:hint="eastAsia" w:ascii="仿宋_GB2312" w:hAnsi="Times New Roman" w:eastAsia="仿宋_GB2312" w:cs="Times New Roman"/>
          <w:b/>
          <w:bCs/>
          <w:color w:val="auto"/>
          <w:kern w:val="0"/>
          <w:sz w:val="32"/>
          <w:szCs w:val="32"/>
          <w:highlight w:val="none"/>
        </w:rPr>
        <w:t>8．实施程序</w:t>
      </w:r>
      <w:bookmarkEnd w:id="42"/>
      <w:bookmarkEnd w:id="43"/>
      <w:bookmarkEnd w:id="44"/>
      <w:bookmarkEnd w:id="45"/>
      <w:r>
        <w:rPr>
          <w:rFonts w:hint="eastAsia" w:ascii="仿宋_GB2312" w:hAnsi="Times New Roman" w:eastAsia="仿宋_GB2312" w:cs="Times New Roman"/>
          <w:b/>
          <w:bCs/>
          <w:color w:val="auto"/>
          <w:kern w:val="0"/>
          <w:sz w:val="32"/>
          <w:szCs w:val="32"/>
          <w:highlight w:val="none"/>
        </w:rPr>
        <w:t>。</w:t>
      </w:r>
      <w:r>
        <w:rPr>
          <w:rFonts w:hint="eastAsia" w:ascii="仿宋_GB2312" w:hAnsi="黑体" w:eastAsia="仿宋_GB2312"/>
          <w:color w:val="auto"/>
          <w:sz w:val="32"/>
          <w:szCs w:val="32"/>
          <w:highlight w:val="none"/>
        </w:rPr>
        <w:t>指标分值4分，评价得分3.5分，得分率为8</w:t>
      </w:r>
      <w:r>
        <w:rPr>
          <w:rFonts w:hint="eastAsia" w:ascii="仿宋_GB2312" w:hAnsi="黑体" w:eastAsia="仿宋_GB2312"/>
          <w:color w:val="auto"/>
          <w:sz w:val="32"/>
          <w:szCs w:val="32"/>
          <w:highlight w:val="none"/>
          <w:lang w:val="en-US" w:eastAsia="zh-CN"/>
        </w:rPr>
        <w:t>7.5</w:t>
      </w:r>
      <w:r>
        <w:rPr>
          <w:rFonts w:hint="eastAsia" w:ascii="仿宋_GB2312" w:hAnsi="黑体" w:eastAsia="仿宋_GB2312"/>
          <w:color w:val="auto"/>
          <w:sz w:val="32"/>
          <w:szCs w:val="32"/>
          <w:highlight w:val="none"/>
        </w:rPr>
        <w:t>%。</w:t>
      </w:r>
      <w:r>
        <w:rPr>
          <w:rFonts w:hint="eastAsia" w:ascii="仿宋_GB2312" w:hAnsi="Times New Roman" w:eastAsia="仿宋_GB2312"/>
          <w:color w:val="auto"/>
          <w:sz w:val="32"/>
          <w:szCs w:val="32"/>
          <w:highlight w:val="none"/>
        </w:rPr>
        <w:t>专项资金项目实施过程总体上比较规范,大部分市县收到省财政厅下达的预算指标和我厅下达的任务清单后，能够按要求及时认真做好本地项目实施方案的编制工作，把各项</w:t>
      </w:r>
      <w:r>
        <w:rPr>
          <w:rFonts w:hint="eastAsia" w:ascii="仿宋_GB2312" w:eastAsia="仿宋_GB2312"/>
          <w:color w:val="auto"/>
          <w:sz w:val="32"/>
          <w:szCs w:val="32"/>
          <w:highlight w:val="none"/>
        </w:rPr>
        <w:t>约束性任务和指导性任务</w:t>
      </w:r>
      <w:r>
        <w:rPr>
          <w:rFonts w:hint="eastAsia" w:ascii="仿宋_GB2312" w:hAnsi="Times New Roman" w:eastAsia="仿宋_GB2312"/>
          <w:color w:val="auto"/>
          <w:sz w:val="32"/>
          <w:szCs w:val="32"/>
          <w:highlight w:val="none"/>
        </w:rPr>
        <w:t>分解落实到项目承担单位。在项目实施过程中，项目承担单位基本上能够按规定执行有关招投标、项目调整、完成验收申请等规定。完成建设内容的项目，有关市县主管部门和省直单位能够按管理权限做好项目的结项验收。存在问题是部分地市未按要求及时制定项目实施方案并报我厅备案。扣0.5分。</w:t>
      </w:r>
    </w:p>
    <w:p>
      <w:pPr>
        <w:spacing w:line="360" w:lineRule="auto"/>
        <w:ind w:firstLine="640" w:firstLineChars="200"/>
        <w:rPr>
          <w:rFonts w:ascii="仿宋_GB2312" w:eastAsia="仿宋_GB2312"/>
          <w:color w:val="auto"/>
          <w:sz w:val="32"/>
          <w:szCs w:val="32"/>
          <w:highlight w:val="none"/>
          <w:shd w:val="clear" w:color="auto" w:fill="FFFFFF"/>
        </w:rPr>
      </w:pPr>
      <w:bookmarkStart w:id="46" w:name="_Toc16880"/>
      <w:bookmarkStart w:id="47" w:name="_Toc11918609"/>
      <w:bookmarkStart w:id="48" w:name="_Toc15140293"/>
      <w:bookmarkStart w:id="49" w:name="_Toc15140373"/>
      <w:r>
        <w:rPr>
          <w:rFonts w:hint="eastAsia" w:ascii="仿宋_GB2312" w:hAnsi="Times New Roman" w:eastAsia="仿宋_GB2312" w:cs="Times New Roman"/>
          <w:b/>
          <w:bCs/>
          <w:color w:val="auto"/>
          <w:kern w:val="0"/>
          <w:sz w:val="32"/>
          <w:szCs w:val="32"/>
          <w:highlight w:val="none"/>
        </w:rPr>
        <w:t>9．管理情况</w:t>
      </w:r>
      <w:bookmarkEnd w:id="46"/>
      <w:bookmarkEnd w:id="47"/>
      <w:bookmarkEnd w:id="48"/>
      <w:bookmarkEnd w:id="49"/>
      <w:r>
        <w:rPr>
          <w:rFonts w:hint="eastAsia" w:ascii="仿宋_GB2312" w:hAnsi="Times New Roman" w:eastAsia="仿宋_GB2312" w:cs="Times New Roman"/>
          <w:b/>
          <w:bCs/>
          <w:color w:val="auto"/>
          <w:kern w:val="0"/>
          <w:sz w:val="32"/>
          <w:szCs w:val="32"/>
          <w:highlight w:val="none"/>
        </w:rPr>
        <w:t>。</w:t>
      </w:r>
      <w:r>
        <w:rPr>
          <w:rFonts w:hint="eastAsia" w:ascii="仿宋_GB2312" w:hAnsi="黑体" w:eastAsia="仿宋_GB2312"/>
          <w:color w:val="auto"/>
          <w:sz w:val="32"/>
          <w:szCs w:val="32"/>
          <w:highlight w:val="none"/>
        </w:rPr>
        <w:t>指标分值4分，评价得分3.6分，得分率为90</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w:t>
      </w:r>
      <w:r>
        <w:rPr>
          <w:rFonts w:hint="eastAsia" w:ascii="仿宋_GB2312" w:hAnsi="Times New Roman" w:eastAsia="仿宋_GB2312"/>
          <w:color w:val="auto"/>
          <w:sz w:val="32"/>
          <w:szCs w:val="32"/>
          <w:highlight w:val="none"/>
        </w:rPr>
        <w:t>专项资金管理机制比较完善，大部分市县和项目承担单位的管理制度比较健全，并且各项管理制度的落实情况较好。但各级业务主管部门在考核市县和项目承担单位完成“约束性任务”方面仍需要加强。扣0.4分。</w:t>
      </w:r>
    </w:p>
    <w:p>
      <w:pPr>
        <w:spacing w:line="360" w:lineRule="auto"/>
        <w:ind w:firstLine="640" w:firstLineChars="200"/>
        <w:rPr>
          <w:rFonts w:ascii="仿宋_GB2312" w:eastAsia="仿宋_GB2312"/>
          <w:color w:val="auto"/>
          <w:sz w:val="32"/>
          <w:szCs w:val="32"/>
          <w:highlight w:val="none"/>
        </w:rPr>
      </w:pPr>
      <w:bookmarkStart w:id="50" w:name="_Toc15140294"/>
      <w:bookmarkStart w:id="51" w:name="_Toc15140374"/>
      <w:bookmarkStart w:id="52" w:name="_Toc15140513"/>
      <w:bookmarkStart w:id="53" w:name="_Toc11916707"/>
      <w:bookmarkStart w:id="54" w:name="_Toc11918611"/>
      <w:bookmarkStart w:id="55" w:name="_Toc28428"/>
      <w:r>
        <w:rPr>
          <w:rFonts w:hint="eastAsia" w:ascii="仿宋_GB2312" w:hAnsi="Times New Roman" w:eastAsia="仿宋_GB2312" w:cs="Times New Roman"/>
          <w:b/>
          <w:bCs/>
          <w:color w:val="auto"/>
          <w:kern w:val="0"/>
          <w:sz w:val="32"/>
          <w:szCs w:val="32"/>
          <w:highlight w:val="none"/>
        </w:rPr>
        <w:t>10．预算控制</w:t>
      </w:r>
      <w:bookmarkEnd w:id="50"/>
      <w:bookmarkEnd w:id="51"/>
      <w:r>
        <w:rPr>
          <w:rFonts w:hint="eastAsia" w:ascii="仿宋_GB2312" w:hAnsi="Times New Roman" w:eastAsia="仿宋_GB2312" w:cs="Times New Roman"/>
          <w:b/>
          <w:bCs/>
          <w:color w:val="auto"/>
          <w:kern w:val="0"/>
          <w:sz w:val="32"/>
          <w:szCs w:val="32"/>
          <w:highlight w:val="none"/>
        </w:rPr>
        <w:t>。</w:t>
      </w:r>
      <w:bookmarkEnd w:id="52"/>
      <w:r>
        <w:rPr>
          <w:rFonts w:hint="eastAsia" w:ascii="仿宋_GB2312" w:eastAsia="仿宋_GB2312"/>
          <w:color w:val="auto"/>
          <w:sz w:val="32"/>
          <w:szCs w:val="32"/>
          <w:highlight w:val="none"/>
        </w:rPr>
        <w:t>指标分值3分，评价得分3分，得分率为100%。</w:t>
      </w:r>
      <w:bookmarkEnd w:id="53"/>
      <w:bookmarkEnd w:id="54"/>
      <w:bookmarkStart w:id="56" w:name="_Toc11916708"/>
      <w:bookmarkStart w:id="57" w:name="_Toc11918612"/>
      <w:r>
        <w:rPr>
          <w:rFonts w:hint="eastAsia" w:ascii="仿宋_GB2312" w:eastAsia="仿宋_GB2312"/>
          <w:color w:val="auto"/>
          <w:sz w:val="32"/>
          <w:szCs w:val="32"/>
          <w:highlight w:val="none"/>
        </w:rPr>
        <w:t>总体上专项资金预算执行进度与事项完成进度基本匹配，实际支出未超过预算计划。</w:t>
      </w:r>
      <w:bookmarkEnd w:id="55"/>
    </w:p>
    <w:p>
      <w:pPr>
        <w:spacing w:line="360" w:lineRule="auto"/>
        <w:ind w:firstLine="640" w:firstLineChars="200"/>
        <w:rPr>
          <w:rFonts w:ascii="仿宋_GB2312" w:eastAsia="仿宋_GB2312"/>
          <w:color w:val="auto"/>
          <w:sz w:val="32"/>
          <w:szCs w:val="32"/>
          <w:highlight w:val="none"/>
        </w:rPr>
      </w:pPr>
      <w:bookmarkStart w:id="58" w:name="_Toc15140375"/>
      <w:bookmarkStart w:id="59" w:name="_Toc15140295"/>
      <w:bookmarkStart w:id="60" w:name="_Toc15140514"/>
      <w:bookmarkStart w:id="61" w:name="_Toc2270"/>
      <w:r>
        <w:rPr>
          <w:rFonts w:hint="eastAsia" w:ascii="仿宋_GB2312" w:hAnsi="Times New Roman" w:eastAsia="仿宋_GB2312" w:cs="Times New Roman"/>
          <w:b/>
          <w:bCs/>
          <w:color w:val="auto"/>
          <w:kern w:val="0"/>
          <w:sz w:val="32"/>
          <w:szCs w:val="32"/>
          <w:highlight w:val="none"/>
        </w:rPr>
        <w:t>11．成本</w:t>
      </w:r>
      <w:r>
        <w:rPr>
          <w:rFonts w:ascii="仿宋_GB2312" w:hAnsi="Times New Roman" w:eastAsia="仿宋_GB2312" w:cs="Times New Roman"/>
          <w:b/>
          <w:bCs/>
          <w:color w:val="auto"/>
          <w:kern w:val="0"/>
          <w:sz w:val="32"/>
          <w:szCs w:val="32"/>
          <w:highlight w:val="none"/>
        </w:rPr>
        <w:t>控制</w:t>
      </w:r>
      <w:bookmarkEnd w:id="58"/>
      <w:bookmarkEnd w:id="59"/>
      <w:r>
        <w:rPr>
          <w:rFonts w:hint="eastAsia" w:ascii="仿宋_GB2312" w:hAnsi="Times New Roman" w:eastAsia="仿宋_GB2312" w:cs="Times New Roman"/>
          <w:b/>
          <w:bCs/>
          <w:color w:val="auto"/>
          <w:kern w:val="0"/>
          <w:sz w:val="32"/>
          <w:szCs w:val="32"/>
          <w:highlight w:val="none"/>
        </w:rPr>
        <w:t>。</w:t>
      </w:r>
      <w:bookmarkEnd w:id="60"/>
      <w:r>
        <w:rPr>
          <w:rFonts w:hint="eastAsia" w:ascii="仿宋_GB2312" w:eastAsia="仿宋_GB2312"/>
          <w:color w:val="auto"/>
          <w:sz w:val="32"/>
          <w:szCs w:val="32"/>
          <w:highlight w:val="none"/>
        </w:rPr>
        <w:t>指标分值2分，评价得分2分，得分率为100%。</w:t>
      </w:r>
      <w:bookmarkEnd w:id="56"/>
      <w:bookmarkEnd w:id="57"/>
      <w:r>
        <w:rPr>
          <w:rFonts w:hint="eastAsia" w:ascii="仿宋_GB2312" w:eastAsia="仿宋_GB2312"/>
          <w:color w:val="auto"/>
          <w:sz w:val="32"/>
          <w:szCs w:val="32"/>
          <w:highlight w:val="none"/>
        </w:rPr>
        <w:t>专项资金项目成本支出基本控制在合理范围，总体上呈投入成本较低与产出效益较高的状态。</w:t>
      </w:r>
      <w:bookmarkEnd w:id="61"/>
    </w:p>
    <w:p>
      <w:pPr>
        <w:spacing w:line="360" w:lineRule="auto"/>
        <w:ind w:firstLine="640" w:firstLineChars="200"/>
        <w:rPr>
          <w:rFonts w:ascii="仿宋_GB2312" w:hAnsi="黑体" w:eastAsia="仿宋_GB2312"/>
          <w:color w:val="auto"/>
          <w:sz w:val="32"/>
          <w:szCs w:val="32"/>
          <w:highlight w:val="none"/>
        </w:rPr>
      </w:pPr>
      <w:bookmarkStart w:id="62" w:name="_Toc11918613"/>
      <w:bookmarkStart w:id="63" w:name="_Toc11241"/>
      <w:bookmarkStart w:id="64" w:name="_Toc15140296"/>
      <w:bookmarkStart w:id="65" w:name="_Toc15140376"/>
      <w:bookmarkStart w:id="66" w:name="_Toc15140515"/>
      <w:r>
        <w:rPr>
          <w:rFonts w:hint="eastAsia" w:ascii="仿宋_GB2312" w:hAnsi="Times New Roman" w:eastAsia="仿宋_GB2312" w:cs="Times New Roman"/>
          <w:b/>
          <w:bCs/>
          <w:color w:val="auto"/>
          <w:kern w:val="0"/>
          <w:sz w:val="32"/>
          <w:szCs w:val="32"/>
          <w:highlight w:val="none"/>
        </w:rPr>
        <w:t>12．完成进度</w:t>
      </w:r>
      <w:bookmarkEnd w:id="62"/>
      <w:bookmarkEnd w:id="63"/>
      <w:bookmarkEnd w:id="64"/>
      <w:bookmarkEnd w:id="65"/>
      <w:r>
        <w:rPr>
          <w:rFonts w:hint="eastAsia" w:ascii="仿宋_GB2312" w:hAnsi="Times New Roman" w:eastAsia="仿宋_GB2312" w:cs="Times New Roman"/>
          <w:b/>
          <w:bCs/>
          <w:color w:val="auto"/>
          <w:kern w:val="0"/>
          <w:sz w:val="32"/>
          <w:szCs w:val="32"/>
          <w:highlight w:val="none"/>
        </w:rPr>
        <w:t>。</w:t>
      </w:r>
      <w:bookmarkEnd w:id="66"/>
      <w:r>
        <w:rPr>
          <w:rFonts w:hint="eastAsia" w:ascii="仿宋_GB2312" w:hAnsi="黑体" w:eastAsia="仿宋_GB2312"/>
          <w:color w:val="auto"/>
          <w:sz w:val="32"/>
          <w:szCs w:val="32"/>
          <w:highlight w:val="none"/>
        </w:rPr>
        <w:t>指标分值15分，评价得分13.5分，得分率为90.0%。总体而言，大部分构建现代农业体系建设项目都能够依照工作计划实施推进，项目建设有条不紊，按质保量完成既定目标。有效实现了我省农业生产稳中有增、农业供给侧改革深入推进，业态创新促进农业提质增效，充分发挥了专项资金的应有作用。不足之处是个别专项资金的项目完成率不高，少数项目建设进度未达计划，或实施方案对进度计划不够详细，未对其进度时间做出具体规划。扣1.5分。</w:t>
      </w:r>
    </w:p>
    <w:p>
      <w:pPr>
        <w:spacing w:line="360" w:lineRule="auto"/>
        <w:ind w:firstLine="640" w:firstLineChars="200"/>
        <w:rPr>
          <w:rFonts w:ascii="仿宋_GB2312" w:hAnsi="黑体" w:eastAsia="仿宋_GB2312"/>
          <w:color w:val="auto"/>
          <w:sz w:val="32"/>
          <w:szCs w:val="32"/>
          <w:highlight w:val="none"/>
        </w:rPr>
      </w:pPr>
      <w:bookmarkStart w:id="67" w:name="_Toc11918614"/>
      <w:bookmarkStart w:id="68" w:name="_Toc15140377"/>
      <w:bookmarkStart w:id="69" w:name="_Toc13679"/>
      <w:bookmarkStart w:id="70" w:name="_Toc15140297"/>
      <w:bookmarkStart w:id="71" w:name="_Toc15140516"/>
      <w:r>
        <w:rPr>
          <w:rFonts w:hint="eastAsia" w:ascii="仿宋_GB2312" w:hAnsi="Times New Roman" w:eastAsia="仿宋_GB2312" w:cs="Times New Roman"/>
          <w:b/>
          <w:bCs/>
          <w:color w:val="auto"/>
          <w:kern w:val="0"/>
          <w:sz w:val="32"/>
          <w:szCs w:val="32"/>
          <w:highlight w:val="none"/>
        </w:rPr>
        <w:t>13．完成质量</w:t>
      </w:r>
      <w:bookmarkEnd w:id="67"/>
      <w:bookmarkEnd w:id="68"/>
      <w:bookmarkEnd w:id="69"/>
      <w:bookmarkEnd w:id="70"/>
      <w:r>
        <w:rPr>
          <w:rFonts w:hint="eastAsia" w:ascii="仿宋_GB2312" w:hAnsi="Times New Roman" w:eastAsia="仿宋_GB2312" w:cs="Times New Roman"/>
          <w:b/>
          <w:bCs/>
          <w:color w:val="auto"/>
          <w:kern w:val="0"/>
          <w:sz w:val="32"/>
          <w:szCs w:val="32"/>
          <w:highlight w:val="none"/>
        </w:rPr>
        <w:t>。</w:t>
      </w:r>
      <w:bookmarkEnd w:id="71"/>
      <w:r>
        <w:rPr>
          <w:rFonts w:hint="eastAsia" w:ascii="仿宋_GB2312" w:hAnsi="黑体" w:eastAsia="仿宋_GB2312"/>
          <w:color w:val="auto"/>
          <w:sz w:val="32"/>
          <w:szCs w:val="32"/>
          <w:highlight w:val="none"/>
        </w:rPr>
        <w:t>指标分值10分，评价得分9分，得分率为90.0%。各级业务主管部门和有关省直单位能按计划推进各项工作任务的实施，较好的完成目标任务，大部分项目完成质量达到既定标准，完成质量基本达到预期目标。但也有少数项目未能按预定的时效和质量要求通过验收。扣1分。</w:t>
      </w:r>
    </w:p>
    <w:p>
      <w:pPr>
        <w:spacing w:line="360" w:lineRule="auto"/>
        <w:ind w:firstLine="640" w:firstLineChars="200"/>
        <w:rPr>
          <w:rFonts w:ascii="仿宋_GB2312" w:hAnsi="黑体" w:eastAsia="仿宋_GB2312"/>
          <w:color w:val="auto"/>
          <w:sz w:val="32"/>
          <w:szCs w:val="32"/>
          <w:highlight w:val="none"/>
        </w:rPr>
      </w:pPr>
      <w:bookmarkStart w:id="72" w:name="_Toc15140298"/>
      <w:bookmarkStart w:id="73" w:name="_Toc13404"/>
      <w:bookmarkStart w:id="74" w:name="_Toc15140378"/>
      <w:bookmarkStart w:id="75" w:name="_Toc15140517"/>
      <w:r>
        <w:rPr>
          <w:rFonts w:hint="eastAsia" w:ascii="仿宋_GB2312" w:hAnsi="Times New Roman" w:eastAsia="仿宋_GB2312" w:cs="Times New Roman"/>
          <w:b/>
          <w:bCs/>
          <w:color w:val="auto"/>
          <w:kern w:val="0"/>
          <w:sz w:val="32"/>
          <w:szCs w:val="32"/>
          <w:highlight w:val="none"/>
        </w:rPr>
        <w:t>14．经济效益</w:t>
      </w:r>
      <w:bookmarkEnd w:id="24"/>
      <w:bookmarkEnd w:id="72"/>
      <w:bookmarkEnd w:id="73"/>
      <w:bookmarkEnd w:id="74"/>
      <w:r>
        <w:rPr>
          <w:rFonts w:hint="eastAsia" w:ascii="仿宋_GB2312" w:hAnsi="Times New Roman" w:eastAsia="仿宋_GB2312" w:cs="Times New Roman"/>
          <w:b/>
          <w:bCs/>
          <w:color w:val="auto"/>
          <w:kern w:val="0"/>
          <w:sz w:val="32"/>
          <w:szCs w:val="32"/>
          <w:highlight w:val="none"/>
        </w:rPr>
        <w:t>。</w:t>
      </w:r>
      <w:bookmarkEnd w:id="75"/>
      <w:r>
        <w:rPr>
          <w:rFonts w:hint="eastAsia" w:ascii="仿宋_GB2312" w:hAnsi="黑体" w:eastAsia="仿宋_GB2312"/>
          <w:color w:val="auto"/>
          <w:sz w:val="32"/>
          <w:szCs w:val="32"/>
          <w:highlight w:val="none"/>
        </w:rPr>
        <w:t>指标分值7分，评价得分6.65分，得分率为95.0%。在专项资金的支持下，2018年我省构建现代农业体系相关工作扎实推进，取得了一定成效。全省粮食总产量1193万吨，果蔬茶、肉蛋奶、水产品全面增产，市场供应充裕。农产品进出口贸易总额1994亿元，增长6.7%，其中出口678.6亿元，增长5.8%，增幅高于全省出口4.6个百分点。</w:t>
      </w:r>
      <w:r>
        <w:rPr>
          <w:rFonts w:hint="eastAsia" w:ascii="仿宋_GB2312" w:eastAsia="仿宋_GB2312"/>
          <w:snapToGrid w:val="0"/>
          <w:color w:val="auto"/>
          <w:sz w:val="32"/>
          <w:szCs w:val="32"/>
          <w:highlight w:val="none"/>
          <w:lang w:val="zh-CN"/>
        </w:rPr>
        <w:t>现代农业产业园、“一村一品、一镇一业”作为富民兴村产业发展的拳头抓</w:t>
      </w:r>
      <w:r>
        <w:rPr>
          <w:rFonts w:hint="eastAsia" w:ascii="仿宋_GB2312" w:hAnsi="黑体" w:eastAsia="仿宋_GB2312"/>
          <w:color w:val="auto"/>
          <w:sz w:val="32"/>
          <w:szCs w:val="32"/>
          <w:highlight w:val="none"/>
        </w:rPr>
        <w:t>手，具有良好经济效益。</w:t>
      </w:r>
      <w:bookmarkStart w:id="76" w:name="_Hlk14912360"/>
      <w:r>
        <w:rPr>
          <w:rFonts w:hint="eastAsia" w:ascii="仿宋_GB2312" w:hAnsi="黑体" w:eastAsia="仿宋_GB2312"/>
          <w:color w:val="auto"/>
          <w:sz w:val="32"/>
          <w:szCs w:val="32"/>
          <w:highlight w:val="none"/>
        </w:rPr>
        <w:t>存在的问题是专项资金虽然在一定程度上带动了农民增收，但长远来看农民持续较快增收的难度较大。扣0.35分。</w:t>
      </w:r>
      <w:bookmarkEnd w:id="76"/>
    </w:p>
    <w:p>
      <w:pPr>
        <w:spacing w:line="360" w:lineRule="auto"/>
        <w:ind w:firstLine="640" w:firstLineChars="200"/>
        <w:rPr>
          <w:rFonts w:ascii="仿宋_GB2312" w:hAnsi="黑体" w:eastAsia="仿宋_GB2312"/>
          <w:color w:val="auto"/>
          <w:sz w:val="32"/>
          <w:szCs w:val="32"/>
          <w:highlight w:val="none"/>
        </w:rPr>
      </w:pPr>
      <w:bookmarkStart w:id="77" w:name="_Toc15140299"/>
      <w:bookmarkStart w:id="78" w:name="_Toc19148"/>
      <w:bookmarkStart w:id="79" w:name="_Toc15140379"/>
      <w:bookmarkStart w:id="80" w:name="_Toc15140518"/>
      <w:r>
        <w:rPr>
          <w:rFonts w:hint="eastAsia" w:ascii="仿宋_GB2312" w:hAnsi="Times New Roman" w:eastAsia="仿宋_GB2312" w:cs="Times New Roman"/>
          <w:b/>
          <w:bCs/>
          <w:color w:val="auto"/>
          <w:kern w:val="0"/>
          <w:sz w:val="32"/>
          <w:szCs w:val="32"/>
          <w:highlight w:val="none"/>
        </w:rPr>
        <w:t>15．社会效益</w:t>
      </w:r>
      <w:bookmarkEnd w:id="77"/>
      <w:bookmarkEnd w:id="78"/>
      <w:bookmarkEnd w:id="79"/>
      <w:r>
        <w:rPr>
          <w:rFonts w:hint="eastAsia" w:ascii="仿宋_GB2312" w:hAnsi="Times New Roman" w:eastAsia="仿宋_GB2312" w:cs="Times New Roman"/>
          <w:b/>
          <w:bCs/>
          <w:color w:val="auto"/>
          <w:kern w:val="0"/>
          <w:sz w:val="32"/>
          <w:szCs w:val="32"/>
          <w:highlight w:val="none"/>
        </w:rPr>
        <w:t>。</w:t>
      </w:r>
      <w:bookmarkEnd w:id="80"/>
      <w:r>
        <w:rPr>
          <w:rFonts w:hint="eastAsia" w:ascii="仿宋_GB2312" w:hAnsi="黑体" w:eastAsia="仿宋_GB2312"/>
          <w:color w:val="auto"/>
          <w:sz w:val="32"/>
          <w:szCs w:val="32"/>
          <w:highlight w:val="none"/>
        </w:rPr>
        <w:t>指标分值7分，评价得分6.65分，得分率为95.0%。专项资金的投入使得累计150万相对贫困人口实现脱贫，贫困发生率从2016年的4.54%降至0.3%以下，有劳动力贫困户人均可支配收入由不到4000元提高到9600多元。</w:t>
      </w:r>
      <w:r>
        <w:rPr>
          <w:rFonts w:hint="eastAsia" w:ascii="仿宋_GB2312" w:eastAsia="仿宋_GB2312"/>
          <w:color w:val="auto"/>
          <w:sz w:val="32"/>
          <w:szCs w:val="32"/>
          <w:highlight w:val="none"/>
        </w:rPr>
        <w:t>助推农民增收农业增效，改善了农村生产生活环境，农民热情高涨，</w:t>
      </w:r>
      <w:r>
        <w:rPr>
          <w:rFonts w:hint="eastAsia" w:ascii="仿宋_GB2312" w:hAnsi="黑体" w:eastAsia="仿宋_GB2312"/>
          <w:color w:val="auto"/>
          <w:sz w:val="32"/>
          <w:szCs w:val="32"/>
          <w:highlight w:val="none"/>
        </w:rPr>
        <w:t>满意度高，具备良好的社会效益。</w:t>
      </w:r>
      <w:bookmarkStart w:id="81" w:name="_Hlk14912379"/>
      <w:r>
        <w:rPr>
          <w:rFonts w:hint="eastAsia" w:ascii="仿宋_GB2312" w:hAnsi="黑体" w:eastAsia="仿宋_GB2312"/>
          <w:color w:val="auto"/>
          <w:sz w:val="32"/>
          <w:szCs w:val="32"/>
          <w:highlight w:val="none"/>
        </w:rPr>
        <w:t>但我省农业结构性矛盾仍然突出，高质量精准脱贫攻坚仍有不够到位的情况。扣0.35分。</w:t>
      </w:r>
      <w:bookmarkEnd w:id="81"/>
    </w:p>
    <w:p>
      <w:pPr>
        <w:spacing w:line="360" w:lineRule="auto"/>
        <w:ind w:firstLine="640" w:firstLineChars="200"/>
        <w:rPr>
          <w:rFonts w:ascii="仿宋_GB2312" w:hAnsi="仿宋_GB2312" w:eastAsia="仿宋_GB2312" w:cs="仿宋_GB2312"/>
          <w:b/>
          <w:bCs/>
          <w:color w:val="auto"/>
          <w:sz w:val="32"/>
          <w:szCs w:val="32"/>
          <w:highlight w:val="none"/>
          <w:shd w:val="clear" w:color="auto" w:fill="FFFFFF"/>
        </w:rPr>
      </w:pPr>
      <w:bookmarkStart w:id="82" w:name="_Toc23751"/>
      <w:bookmarkStart w:id="83" w:name="_Toc15140300"/>
      <w:bookmarkStart w:id="84" w:name="_Toc15140380"/>
      <w:bookmarkStart w:id="85" w:name="_Toc15140519"/>
      <w:r>
        <w:rPr>
          <w:rFonts w:hint="eastAsia" w:ascii="仿宋_GB2312" w:hAnsi="Times New Roman" w:eastAsia="仿宋_GB2312" w:cs="Times New Roman"/>
          <w:b/>
          <w:bCs/>
          <w:color w:val="auto"/>
          <w:kern w:val="0"/>
          <w:sz w:val="32"/>
          <w:szCs w:val="32"/>
          <w:highlight w:val="none"/>
        </w:rPr>
        <w:t>16．生态效益</w:t>
      </w:r>
      <w:bookmarkEnd w:id="82"/>
      <w:bookmarkEnd w:id="83"/>
      <w:bookmarkEnd w:id="84"/>
      <w:r>
        <w:rPr>
          <w:rFonts w:hint="eastAsia" w:ascii="仿宋_GB2312" w:hAnsi="Times New Roman" w:eastAsia="仿宋_GB2312" w:cs="Times New Roman"/>
          <w:b/>
          <w:bCs/>
          <w:color w:val="auto"/>
          <w:kern w:val="0"/>
          <w:sz w:val="32"/>
          <w:szCs w:val="32"/>
          <w:highlight w:val="none"/>
        </w:rPr>
        <w:t>。</w:t>
      </w:r>
      <w:bookmarkEnd w:id="85"/>
      <w:r>
        <w:rPr>
          <w:rFonts w:hint="eastAsia" w:ascii="仿宋_GB2312" w:hAnsi="黑体" w:eastAsia="仿宋_GB2312"/>
          <w:color w:val="auto"/>
          <w:sz w:val="32"/>
          <w:szCs w:val="32"/>
          <w:highlight w:val="none"/>
        </w:rPr>
        <w:t>指标分值6分，评价得分5.7分，得分率为95.0%。专项资金的投入，使得我省生态环境得到有效改善。设施农业大棚项目，为农业生产提供可控的温湿度、水肥和气等环境条件，在一定程度上摆脱对自然环境的依赖而进行有效生产。可节水节肥省工及减轻农业面源污染，提高耕地利用率及产出率。建设3个以上500亩连片高标准绿色种植示范基地，有利于我省生态环境的良性发展，符合科学发展观。</w:t>
      </w:r>
      <w:bookmarkStart w:id="86" w:name="_Hlk14912470"/>
      <w:r>
        <w:rPr>
          <w:rFonts w:hint="eastAsia" w:ascii="仿宋_GB2312" w:hAnsi="黑体" w:eastAsia="仿宋_GB2312"/>
          <w:color w:val="auto"/>
          <w:sz w:val="32"/>
          <w:szCs w:val="32"/>
          <w:highlight w:val="none"/>
        </w:rPr>
        <w:t>但农村人居环境“脏乱差”现象尚未根本扭转，生态效益有待进一步增强。扣0.3分。</w:t>
      </w:r>
      <w:bookmarkEnd w:id="86"/>
    </w:p>
    <w:p>
      <w:pPr>
        <w:spacing w:line="360" w:lineRule="auto"/>
        <w:ind w:firstLine="640" w:firstLineChars="200"/>
        <w:rPr>
          <w:rStyle w:val="25"/>
          <w:rFonts w:ascii="仿宋_GB2312" w:hAnsi="黑体"/>
          <w:b w:val="0"/>
          <w:bCs w:val="0"/>
          <w:color w:val="auto"/>
          <w:highlight w:val="none"/>
        </w:rPr>
      </w:pPr>
      <w:bookmarkStart w:id="87" w:name="_Toc15140301"/>
      <w:bookmarkStart w:id="88" w:name="_Toc14884"/>
      <w:bookmarkStart w:id="89" w:name="_Toc15140381"/>
      <w:bookmarkStart w:id="90" w:name="_Toc11918617"/>
      <w:bookmarkStart w:id="91" w:name="_Toc15140520"/>
      <w:bookmarkStart w:id="92" w:name="_Toc11918618"/>
      <w:r>
        <w:rPr>
          <w:rFonts w:hint="eastAsia" w:ascii="仿宋_GB2312" w:hAnsi="Times New Roman" w:eastAsia="仿宋_GB2312" w:cs="Times New Roman"/>
          <w:b/>
          <w:bCs/>
          <w:color w:val="auto"/>
          <w:kern w:val="0"/>
          <w:sz w:val="32"/>
          <w:szCs w:val="32"/>
          <w:highlight w:val="none"/>
        </w:rPr>
        <w:t>17．可持续发展</w:t>
      </w:r>
      <w:bookmarkEnd w:id="87"/>
      <w:bookmarkEnd w:id="88"/>
      <w:bookmarkEnd w:id="89"/>
      <w:bookmarkEnd w:id="90"/>
      <w:r>
        <w:rPr>
          <w:rFonts w:hint="eastAsia" w:ascii="仿宋_GB2312" w:hAnsi="Times New Roman" w:eastAsia="仿宋_GB2312" w:cs="Times New Roman"/>
          <w:b/>
          <w:bCs/>
          <w:color w:val="auto"/>
          <w:kern w:val="0"/>
          <w:sz w:val="32"/>
          <w:szCs w:val="32"/>
          <w:highlight w:val="none"/>
        </w:rPr>
        <w:t>。</w:t>
      </w:r>
      <w:bookmarkEnd w:id="91"/>
      <w:r>
        <w:rPr>
          <w:rFonts w:hint="eastAsia" w:ascii="仿宋_GB2312" w:hAnsi="黑体" w:eastAsia="仿宋_GB2312"/>
          <w:color w:val="auto"/>
          <w:sz w:val="32"/>
          <w:szCs w:val="32"/>
          <w:highlight w:val="none"/>
        </w:rPr>
        <w:t>指标分值5分，评价得分4.75分，得分率为95.0%。构建现代农业体系专项资金的投入，有利于</w:t>
      </w:r>
      <w:r>
        <w:rPr>
          <w:rFonts w:hint="eastAsia" w:ascii="仿宋_GB2312" w:hAnsi="Times New Roman" w:eastAsia="仿宋_GB2312" w:cs="Times New Roman"/>
          <w:color w:val="auto"/>
          <w:sz w:val="32"/>
          <w:szCs w:val="32"/>
          <w:highlight w:val="none"/>
        </w:rPr>
        <w:t>现代农业的发展，农业结构的优化,现代农业的产业体系的进一步健全</w:t>
      </w:r>
      <w:r>
        <w:rPr>
          <w:rFonts w:hint="eastAsia" w:ascii="仿宋_GB2312" w:hAnsi="黑体" w:eastAsia="仿宋_GB2312"/>
          <w:color w:val="auto"/>
          <w:sz w:val="32"/>
          <w:szCs w:val="32"/>
          <w:highlight w:val="none"/>
        </w:rPr>
        <w:t>，有利于我省农业农村的可持续发展，符合当前国家乡村振兴战略规划大局，后续政策、制度、资金相对有保障。承担项目实施任务的大部分部门/单位管理机制基本能够适应实施项目的工作需要，获得专项资金支持的各级农业农村主管部门、农业科研机构以及其他农业经营实体，均有比较健全的组织机构，岗位人员责任落实到位，可保证专项资金项目的持续开展。</w:t>
      </w:r>
    </w:p>
    <w:p>
      <w:pPr>
        <w:spacing w:line="360" w:lineRule="auto"/>
        <w:ind w:firstLine="640" w:firstLineChars="200"/>
        <w:rPr>
          <w:rFonts w:ascii="仿宋_GB2312" w:hAnsi="黑体" w:eastAsia="仿宋_GB2312" w:cs="Times New Roman"/>
          <w:color w:val="auto"/>
          <w:sz w:val="32"/>
          <w:szCs w:val="32"/>
          <w:highlight w:val="none"/>
        </w:rPr>
      </w:pPr>
      <w:bookmarkStart w:id="93" w:name="_Toc15140302"/>
      <w:bookmarkStart w:id="94" w:name="_Toc15140382"/>
      <w:bookmarkStart w:id="95" w:name="_Toc28305"/>
      <w:bookmarkStart w:id="96" w:name="_Toc15140521"/>
      <w:r>
        <w:rPr>
          <w:rFonts w:hint="eastAsia" w:ascii="仿宋_GB2312" w:hAnsi="Times New Roman" w:eastAsia="仿宋_GB2312" w:cs="Times New Roman"/>
          <w:b/>
          <w:bCs/>
          <w:color w:val="auto"/>
          <w:kern w:val="0"/>
          <w:sz w:val="32"/>
          <w:szCs w:val="32"/>
          <w:highlight w:val="none"/>
        </w:rPr>
        <w:t>18．满意度</w:t>
      </w:r>
      <w:bookmarkEnd w:id="92"/>
      <w:bookmarkEnd w:id="93"/>
      <w:bookmarkEnd w:id="94"/>
      <w:bookmarkEnd w:id="95"/>
      <w:r>
        <w:rPr>
          <w:rFonts w:hint="eastAsia" w:ascii="仿宋_GB2312" w:hAnsi="Times New Roman" w:eastAsia="仿宋_GB2312" w:cs="Times New Roman"/>
          <w:b/>
          <w:bCs/>
          <w:color w:val="auto"/>
          <w:kern w:val="0"/>
          <w:sz w:val="32"/>
          <w:szCs w:val="32"/>
          <w:highlight w:val="none"/>
        </w:rPr>
        <w:t>。</w:t>
      </w:r>
      <w:bookmarkEnd w:id="96"/>
      <w:r>
        <w:rPr>
          <w:rFonts w:hint="eastAsia" w:ascii="仿宋_GB2312" w:hAnsi="黑体" w:eastAsia="仿宋_GB2312"/>
          <w:color w:val="auto"/>
          <w:sz w:val="32"/>
          <w:szCs w:val="32"/>
          <w:highlight w:val="none"/>
        </w:rPr>
        <w:t>指标分值5分，评价得分4.9分，得分率为98.0%。</w:t>
      </w:r>
      <w:r>
        <w:rPr>
          <w:rFonts w:hint="eastAsia" w:ascii="仿宋_GB2312" w:eastAsia="仿宋_GB2312"/>
          <w:color w:val="auto"/>
          <w:sz w:val="32"/>
          <w:szCs w:val="32"/>
          <w:highlight w:val="none"/>
        </w:rPr>
        <w:t>综合分析对受惠群体的调研结果和满意度调查数据，专项资金的投入，使得现代农业体系更加完善，专项资金项目实施效果良好，项目实施单位及</w:t>
      </w:r>
      <w:r>
        <w:rPr>
          <w:rFonts w:hint="eastAsia" w:ascii="仿宋_GB2312" w:hAnsi="仿宋_GB2312" w:eastAsia="仿宋_GB2312" w:cs="仿宋_GB2312"/>
          <w:color w:val="auto"/>
          <w:sz w:val="32"/>
          <w:szCs w:val="32"/>
          <w:highlight w:val="none"/>
        </w:rPr>
        <w:t>广大农民群众对各惠农政策项目的满意度较高，项目有效带动农业增产农民增收，同时农村环境也得到了明显改善，农民热情高涨</w:t>
      </w:r>
      <w:r>
        <w:rPr>
          <w:rFonts w:hint="eastAsia" w:ascii="仿宋_GB2312" w:eastAsia="仿宋_GB2312"/>
          <w:color w:val="auto"/>
          <w:sz w:val="32"/>
          <w:szCs w:val="32"/>
          <w:highlight w:val="none"/>
        </w:rPr>
        <w:t>，为乡村振兴战略的进一步实施，打下了良好的群众基础。</w:t>
      </w:r>
    </w:p>
    <w:p>
      <w:pPr>
        <w:spacing w:line="360" w:lineRule="auto"/>
        <w:ind w:firstLine="640" w:firstLineChars="200"/>
        <w:outlineLvl w:val="0"/>
        <w:rPr>
          <w:rFonts w:ascii="黑体" w:hAnsi="黑体" w:eastAsia="黑体"/>
          <w:color w:val="auto"/>
          <w:sz w:val="32"/>
          <w:szCs w:val="32"/>
          <w:highlight w:val="none"/>
        </w:rPr>
      </w:pPr>
      <w:bookmarkStart w:id="97" w:name="_Toc15140522"/>
      <w:bookmarkStart w:id="98" w:name="_Toc15140303"/>
      <w:bookmarkStart w:id="99" w:name="_Toc27537"/>
      <w:bookmarkStart w:id="100" w:name="_Toc6254"/>
      <w:bookmarkStart w:id="101" w:name="_Toc15140383"/>
      <w:r>
        <w:rPr>
          <w:rFonts w:hint="eastAsia" w:ascii="黑体" w:hAnsi="黑体" w:eastAsia="黑体"/>
          <w:color w:val="auto"/>
          <w:sz w:val="32"/>
          <w:szCs w:val="32"/>
          <w:highlight w:val="none"/>
        </w:rPr>
        <w:t>二、绩效表现</w:t>
      </w:r>
      <w:bookmarkEnd w:id="97"/>
      <w:bookmarkEnd w:id="98"/>
      <w:bookmarkEnd w:id="99"/>
      <w:bookmarkEnd w:id="100"/>
      <w:bookmarkEnd w:id="101"/>
    </w:p>
    <w:p>
      <w:pPr>
        <w:spacing w:line="360" w:lineRule="auto"/>
        <w:ind w:firstLine="640" w:firstLineChars="200"/>
        <w:outlineLvl w:val="1"/>
        <w:rPr>
          <w:rFonts w:ascii="楷体_GB2312" w:eastAsia="楷体_GB2312"/>
          <w:b/>
          <w:bCs/>
          <w:color w:val="auto"/>
          <w:sz w:val="32"/>
          <w:szCs w:val="36"/>
          <w:highlight w:val="none"/>
        </w:rPr>
      </w:pPr>
      <w:bookmarkStart w:id="102" w:name="_Toc26237"/>
      <w:bookmarkStart w:id="103" w:name="_Toc15140384"/>
      <w:bookmarkStart w:id="104" w:name="_Toc15140523"/>
      <w:bookmarkStart w:id="105" w:name="_Toc32599"/>
      <w:bookmarkStart w:id="106" w:name="_Toc15140304"/>
      <w:r>
        <w:rPr>
          <w:rFonts w:hint="eastAsia" w:ascii="楷体_GB2312" w:eastAsia="楷体_GB2312"/>
          <w:b/>
          <w:bCs/>
          <w:color w:val="auto"/>
          <w:sz w:val="32"/>
          <w:szCs w:val="36"/>
          <w:highlight w:val="none"/>
        </w:rPr>
        <w:t>（一）资金使用绩效</w:t>
      </w:r>
      <w:bookmarkEnd w:id="102"/>
      <w:bookmarkEnd w:id="103"/>
      <w:bookmarkEnd w:id="104"/>
      <w:bookmarkEnd w:id="105"/>
      <w:bookmarkEnd w:id="106"/>
    </w:p>
    <w:p>
      <w:pPr>
        <w:spacing w:line="360" w:lineRule="auto"/>
        <w:ind w:firstLine="640" w:firstLineChars="200"/>
        <w:rPr>
          <w:rFonts w:ascii="仿宋_GB2312" w:eastAsia="仿宋_GB2312"/>
          <w:b/>
          <w:bCs/>
          <w:color w:val="auto"/>
          <w:sz w:val="32"/>
          <w:szCs w:val="36"/>
          <w:highlight w:val="none"/>
        </w:rPr>
      </w:pPr>
      <w:r>
        <w:rPr>
          <w:rFonts w:hint="eastAsia" w:ascii="仿宋_GB2312" w:eastAsia="仿宋_GB2312"/>
          <w:b/>
          <w:bCs/>
          <w:color w:val="auto"/>
          <w:sz w:val="32"/>
          <w:szCs w:val="36"/>
          <w:highlight w:val="none"/>
        </w:rPr>
        <w:t>1．多元化培育新型经营主体，多路径构建现代农业经营体系。</w:t>
      </w:r>
    </w:p>
    <w:p>
      <w:pPr>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eastAsia="仿宋_GB2312" w:cs="黑体"/>
          <w:b/>
          <w:snapToGrid w:val="0"/>
          <w:color w:val="auto"/>
          <w:kern w:val="0"/>
          <w:sz w:val="32"/>
          <w:szCs w:val="32"/>
          <w:highlight w:val="none"/>
        </w:rPr>
        <w:t>一是</w:t>
      </w:r>
      <w:r>
        <w:rPr>
          <w:rFonts w:hint="eastAsia" w:ascii="仿宋_GB2312" w:hAnsi="楷体_GB2312" w:eastAsia="仿宋_GB2312" w:cs="楷体_GB2312"/>
          <w:b/>
          <w:bCs/>
          <w:color w:val="auto"/>
          <w:sz w:val="32"/>
          <w:szCs w:val="32"/>
          <w:highlight w:val="none"/>
        </w:rPr>
        <w:t>着力培强新型经营主体。</w:t>
      </w:r>
      <w:r>
        <w:rPr>
          <w:rFonts w:hint="eastAsia" w:ascii="仿宋_GB2312" w:hAnsi="楷体_GB2312" w:eastAsia="仿宋_GB2312" w:cs="楷体_GB2312"/>
          <w:color w:val="auto"/>
          <w:sz w:val="32"/>
          <w:szCs w:val="32"/>
          <w:highlight w:val="none"/>
        </w:rPr>
        <w:t>全省农业龙头企业、农民合作社、家庭农场分别达</w:t>
      </w:r>
      <w:r>
        <w:rPr>
          <w:rFonts w:ascii="仿宋_GB2312" w:hAnsi="楷体_GB2312" w:eastAsia="仿宋_GB2312" w:cs="楷体_GB2312"/>
          <w:color w:val="auto"/>
          <w:sz w:val="32"/>
          <w:szCs w:val="32"/>
          <w:highlight w:val="none"/>
        </w:rPr>
        <w:t>4260家（其中省重点龙头企业915家）、4.7万家、1.72万家</w:t>
      </w:r>
      <w:r>
        <w:rPr>
          <w:rFonts w:hint="eastAsia" w:ascii="仿宋_GB2312" w:hAnsi="楷体_GB2312" w:eastAsia="仿宋_GB2312" w:cs="楷体_GB2312"/>
          <w:color w:val="auto"/>
          <w:sz w:val="32"/>
          <w:szCs w:val="32"/>
          <w:highlight w:val="none"/>
        </w:rPr>
        <w:t>。</w:t>
      </w:r>
      <w:r>
        <w:rPr>
          <w:rFonts w:hint="eastAsia" w:ascii="仿宋_GB2312" w:hAnsi="仿宋_GB2312" w:eastAsia="仿宋_GB2312" w:cs="仿宋_GB2312"/>
          <w:color w:val="auto"/>
          <w:sz w:val="32"/>
          <w:szCs w:val="32"/>
          <w:highlight w:val="none"/>
        </w:rPr>
        <w:t>组织开展省级龙头企业认定监测，引导农业龙头企业等新型农业经营主体“入园进区”。推动农民合作社规范提质，支持合作社等新型农业经营主体“坐镇驻村”，成为富民兴村的重要力量。出台了省级示范家庭农场认定办法，启动全省家庭农场名录录入系统工作，推进千名青年农场主培养计划，支持了450个家庭农场健全管理制度，发展标准化生产。各类新型经营主体带动635万农户年户均增收3500元。</w:t>
      </w:r>
    </w:p>
    <w:p>
      <w:pPr>
        <w:spacing w:line="360" w:lineRule="auto"/>
        <w:ind w:firstLine="640" w:firstLineChars="200"/>
        <w:rPr>
          <w:rFonts w:ascii="仿宋_GB2312" w:hAnsi="宋体" w:eastAsia="仿宋_GB2312" w:cs="宋体"/>
          <w:bCs/>
          <w:color w:val="auto"/>
          <w:sz w:val="32"/>
          <w:szCs w:val="32"/>
          <w:highlight w:val="none"/>
        </w:rPr>
      </w:pPr>
      <w:r>
        <w:rPr>
          <w:rFonts w:hint="eastAsia" w:ascii="仿宋_GB2312" w:eastAsia="仿宋_GB2312" w:cs="黑体"/>
          <w:b/>
          <w:snapToGrid w:val="0"/>
          <w:color w:val="auto"/>
          <w:kern w:val="0"/>
          <w:sz w:val="32"/>
          <w:szCs w:val="32"/>
          <w:highlight w:val="none"/>
        </w:rPr>
        <w:t>二是开展农业农村实用人才与新型职业农民培训。</w:t>
      </w:r>
      <w:r>
        <w:rPr>
          <w:rFonts w:hint="eastAsia" w:ascii="仿宋_GB2312" w:eastAsia="仿宋_GB2312" w:cs="黑体"/>
          <w:bCs/>
          <w:snapToGrid w:val="0"/>
          <w:color w:val="auto"/>
          <w:kern w:val="0"/>
          <w:sz w:val="32"/>
          <w:szCs w:val="32"/>
          <w:highlight w:val="none"/>
        </w:rPr>
        <w:t>组织专家开展专题调研，</w:t>
      </w:r>
      <w:r>
        <w:rPr>
          <w:rFonts w:hint="eastAsia" w:ascii="仿宋_GB2312" w:hAnsi="宋体" w:eastAsia="仿宋_GB2312" w:cs="宋体"/>
          <w:bCs/>
          <w:color w:val="auto"/>
          <w:sz w:val="32"/>
          <w:szCs w:val="32"/>
          <w:highlight w:val="none"/>
        </w:rPr>
        <w:t>为我省制订农村实用人才培育规划提供依据。开展“广东省农业农村人才信息化管理系统开发建设项目（第一期）”建设，以信息化手段提高组织</w:t>
      </w:r>
      <w:r>
        <w:rPr>
          <w:rFonts w:ascii="仿宋_GB2312" w:hAnsi="宋体" w:eastAsia="仿宋_GB2312" w:cs="宋体"/>
          <w:bCs/>
          <w:color w:val="auto"/>
          <w:sz w:val="32"/>
          <w:szCs w:val="32"/>
          <w:highlight w:val="none"/>
        </w:rPr>
        <w:t>人事</w:t>
      </w:r>
      <w:r>
        <w:rPr>
          <w:rFonts w:hint="eastAsia" w:ascii="仿宋_GB2312" w:hAnsi="宋体" w:eastAsia="仿宋_GB2312" w:cs="宋体"/>
          <w:bCs/>
          <w:color w:val="auto"/>
          <w:sz w:val="32"/>
          <w:szCs w:val="32"/>
          <w:highlight w:val="none"/>
        </w:rPr>
        <w:t>工作效率。实施了农业农村人才培训项目，实际完成培训人数</w:t>
      </w:r>
      <w:r>
        <w:rPr>
          <w:rFonts w:ascii="仿宋_GB2312" w:hAnsi="宋体" w:eastAsia="仿宋_GB2312" w:cs="宋体"/>
          <w:bCs/>
          <w:color w:val="auto"/>
          <w:sz w:val="32"/>
          <w:szCs w:val="32"/>
          <w:highlight w:val="none"/>
        </w:rPr>
        <w:t>1775人，学员培训满意率在95%以上，</w:t>
      </w:r>
      <w:r>
        <w:rPr>
          <w:rFonts w:hint="eastAsia" w:ascii="仿宋_GB2312" w:hAnsi="宋体" w:eastAsia="仿宋_GB2312" w:cs="宋体"/>
          <w:bCs/>
          <w:color w:val="auto"/>
          <w:sz w:val="32"/>
          <w:szCs w:val="32"/>
          <w:highlight w:val="none"/>
        </w:rPr>
        <w:t>组织两期家庭农场主培训班，培训229名家庭农场主，新型职业农民增至74万人。</w:t>
      </w:r>
    </w:p>
    <w:p>
      <w:pPr>
        <w:spacing w:line="360" w:lineRule="auto"/>
        <w:ind w:firstLine="640" w:firstLineChars="200"/>
        <w:rPr>
          <w:rFonts w:ascii="仿宋_GB2312" w:hAnsi="楷体_GB2312" w:eastAsia="仿宋_GB2312" w:cs="楷体_GB2312"/>
          <w:b/>
          <w:bCs/>
          <w:color w:val="auto"/>
          <w:sz w:val="32"/>
          <w:szCs w:val="32"/>
          <w:highlight w:val="none"/>
        </w:rPr>
      </w:pPr>
      <w:r>
        <w:rPr>
          <w:rFonts w:hint="eastAsia" w:ascii="仿宋_GB2312" w:eastAsia="仿宋_GB2312" w:cs="黑体"/>
          <w:b/>
          <w:snapToGrid w:val="0"/>
          <w:color w:val="auto"/>
          <w:kern w:val="0"/>
          <w:sz w:val="32"/>
          <w:szCs w:val="32"/>
          <w:highlight w:val="none"/>
        </w:rPr>
        <w:t>三</w:t>
      </w:r>
      <w:r>
        <w:rPr>
          <w:rFonts w:hint="eastAsia" w:ascii="仿宋_GB2312" w:eastAsia="仿宋_GB2312"/>
          <w:b/>
          <w:snapToGrid w:val="0"/>
          <w:color w:val="auto"/>
          <w:kern w:val="0"/>
          <w:sz w:val="32"/>
          <w:szCs w:val="32"/>
          <w:highlight w:val="none"/>
        </w:rPr>
        <w:t>是培育新产业新业态，大力发展休闲农业。</w:t>
      </w:r>
      <w:r>
        <w:rPr>
          <w:rFonts w:hint="eastAsia" w:ascii="仿宋_GB2312" w:eastAsia="仿宋_GB2312"/>
          <w:snapToGrid w:val="0"/>
          <w:color w:val="auto"/>
          <w:kern w:val="0"/>
          <w:sz w:val="32"/>
          <w:szCs w:val="32"/>
          <w:highlight w:val="none"/>
        </w:rPr>
        <w:t>创建20个休闲体验式省级广东农业公园，</w:t>
      </w:r>
      <w:r>
        <w:rPr>
          <w:rFonts w:hint="eastAsia" w:ascii="仿宋_GB2312" w:eastAsia="仿宋_GB2312" w:cs="黑体"/>
          <w:snapToGrid w:val="0"/>
          <w:color w:val="auto"/>
          <w:kern w:val="0"/>
          <w:sz w:val="32"/>
          <w:szCs w:val="32"/>
          <w:highlight w:val="none"/>
        </w:rPr>
        <w:t>认定一批</w:t>
      </w:r>
      <w:r>
        <w:rPr>
          <w:rFonts w:hint="eastAsia" w:ascii="仿宋_GB2312" w:hAnsi="仿宋_GB2312" w:eastAsia="仿宋_GB2312" w:cs="仿宋_GB2312"/>
          <w:snapToGrid w:val="0"/>
          <w:color w:val="auto"/>
          <w:kern w:val="0"/>
          <w:sz w:val="32"/>
          <w:szCs w:val="32"/>
          <w:highlight w:val="none"/>
        </w:rPr>
        <w:t>美丽田园、美丽果园、美丽菜园、美丽茶园</w:t>
      </w:r>
      <w:r>
        <w:rPr>
          <w:rFonts w:hint="eastAsia" w:ascii="仿宋_GB2312" w:eastAsia="仿宋_GB2312" w:cs="黑体"/>
          <w:snapToGrid w:val="0"/>
          <w:color w:val="auto"/>
          <w:kern w:val="0"/>
          <w:sz w:val="32"/>
          <w:szCs w:val="32"/>
          <w:highlight w:val="none"/>
        </w:rPr>
        <w:t>，继续</w:t>
      </w:r>
      <w:r>
        <w:rPr>
          <w:rFonts w:hint="eastAsia" w:ascii="仿宋_GB2312" w:eastAsia="仿宋_GB2312"/>
          <w:snapToGrid w:val="0"/>
          <w:color w:val="auto"/>
          <w:kern w:val="0"/>
          <w:sz w:val="32"/>
          <w:szCs w:val="32"/>
          <w:highlight w:val="none"/>
        </w:rPr>
        <w:t>开展休闲农业与乡村旅游示范县（镇、点）创建活</w:t>
      </w:r>
      <w:r>
        <w:rPr>
          <w:rFonts w:hint="eastAsia" w:ascii="仿宋_GB2312" w:eastAsia="仿宋_GB2312" w:cs="黑体"/>
          <w:snapToGrid w:val="0"/>
          <w:color w:val="auto"/>
          <w:kern w:val="0"/>
          <w:sz w:val="32"/>
          <w:szCs w:val="32"/>
          <w:highlight w:val="none"/>
        </w:rPr>
        <w:t>动，切实有效带动农业增效,农民增收。</w:t>
      </w:r>
    </w:p>
    <w:p>
      <w:pPr>
        <w:spacing w:line="360" w:lineRule="auto"/>
        <w:ind w:firstLine="640" w:firstLineChars="200"/>
        <w:rPr>
          <w:rFonts w:ascii="仿宋_GB2312" w:eastAsia="仿宋_GB2312"/>
          <w:b/>
          <w:bCs/>
          <w:color w:val="auto"/>
          <w:sz w:val="32"/>
          <w:szCs w:val="36"/>
          <w:highlight w:val="none"/>
        </w:rPr>
      </w:pPr>
      <w:r>
        <w:rPr>
          <w:rFonts w:hint="eastAsia" w:ascii="仿宋_GB2312" w:eastAsia="仿宋_GB2312"/>
          <w:b/>
          <w:bCs/>
          <w:color w:val="auto"/>
          <w:sz w:val="32"/>
          <w:szCs w:val="36"/>
          <w:highlight w:val="none"/>
        </w:rPr>
        <w:t>2．优化调整农业结构，大力发展特色农业。</w:t>
      </w:r>
    </w:p>
    <w:p>
      <w:pPr>
        <w:spacing w:line="360" w:lineRule="auto"/>
        <w:ind w:firstLine="640" w:firstLineChars="200"/>
        <w:rPr>
          <w:rFonts w:ascii="仿宋_GB2312" w:hAnsi="仿宋_GB2312" w:eastAsia="仿宋_GB2312" w:cs="仿宋_GB2312"/>
          <w:color w:val="auto"/>
          <w:sz w:val="32"/>
          <w:highlight w:val="none"/>
          <w:shd w:val="clear" w:color="050000" w:fill="auto"/>
        </w:rPr>
      </w:pPr>
      <w:r>
        <w:rPr>
          <w:rFonts w:hint="eastAsia" w:ascii="仿宋_GB2312" w:hAnsi="仿宋_GB2312" w:eastAsia="仿宋_GB2312" w:cs="仿宋_GB2312"/>
          <w:b/>
          <w:color w:val="auto"/>
          <w:sz w:val="32"/>
          <w:highlight w:val="none"/>
          <w:shd w:val="clear" w:color="060000" w:fill="auto"/>
        </w:rPr>
        <w:t>一是发展粮食生产，质量稳中向优。</w:t>
      </w:r>
      <w:r>
        <w:rPr>
          <w:rFonts w:hint="eastAsia" w:ascii="仿宋_GB2312" w:hAnsi="仿宋_GB2312" w:eastAsia="仿宋_GB2312" w:cs="仿宋_GB2312"/>
          <w:color w:val="auto"/>
          <w:sz w:val="32"/>
          <w:highlight w:val="none"/>
          <w:shd w:val="clear" w:color="050000" w:fill="auto"/>
        </w:rPr>
        <w:t>由于开展种植业供给侧改革和休耕轮作以及受春旱影响，早稻、甘蔗面积有所下降，全年粮食面积和总产量有所减少，全年粮食播种面积3227.3万亩、总产1194.08万吨，比去年分别减少27.29万亩、14.49万吨。其中，2018年全省水稻面积预计2681.1万亩、减少26.41万亩，总产1032.08万吨、减少14.25万吨。油料面积和产量略增。</w:t>
      </w:r>
    </w:p>
    <w:p>
      <w:pPr>
        <w:spacing w:line="360" w:lineRule="auto"/>
        <w:ind w:firstLine="640" w:firstLineChars="200"/>
        <w:rPr>
          <w:rFonts w:ascii="仿宋_GB2312" w:hAnsi="仿宋_GB2312" w:eastAsia="仿宋_GB2312" w:cs="仿宋_GB2312"/>
          <w:color w:val="auto"/>
          <w:sz w:val="32"/>
          <w:highlight w:val="none"/>
          <w:shd w:val="clear" w:color="050000" w:fill="auto"/>
        </w:rPr>
      </w:pPr>
      <w:r>
        <w:rPr>
          <w:rFonts w:hint="eastAsia" w:ascii="仿宋_GB2312" w:eastAsia="仿宋_GB2312"/>
          <w:color w:val="auto"/>
          <w:sz w:val="32"/>
          <w:szCs w:val="36"/>
          <w:highlight w:val="none"/>
        </w:rPr>
        <w:t>二</w:t>
      </w:r>
      <w:r>
        <w:rPr>
          <w:rFonts w:hint="eastAsia" w:ascii="仿宋_GB2312" w:hAnsi="仿宋_GB2312" w:eastAsia="仿宋_GB2312" w:cs="仿宋_GB2312"/>
          <w:b/>
          <w:color w:val="auto"/>
          <w:sz w:val="32"/>
          <w:highlight w:val="none"/>
          <w:shd w:val="clear" w:color="060000" w:fill="auto"/>
        </w:rPr>
        <w:t>是发展“三高农业”，经济作物全面增产。</w:t>
      </w:r>
      <w:r>
        <w:rPr>
          <w:rFonts w:hint="eastAsia" w:ascii="仿宋_GB2312" w:hAnsi="仿宋" w:eastAsia="仿宋_GB2312" w:cs="仿宋"/>
          <w:color w:val="auto"/>
          <w:sz w:val="32"/>
          <w:highlight w:val="none"/>
          <w:shd w:val="clear" w:color="050000" w:fill="auto"/>
        </w:rPr>
        <w:t>推进种植业供给侧结构性改革，大力发展“三高”农业，推进种植业高质量发展。</w:t>
      </w:r>
      <w:r>
        <w:rPr>
          <w:rFonts w:hint="eastAsia" w:ascii="仿宋_GB2312" w:hAnsi="仿宋" w:eastAsia="仿宋_GB2312" w:cs="仿宋"/>
          <w:color w:val="auto"/>
          <w:sz w:val="32"/>
          <w:highlight w:val="none"/>
          <w:shd w:val="clear" w:color="060000" w:fill="auto"/>
        </w:rPr>
        <w:t>预计</w:t>
      </w:r>
      <w:r>
        <w:rPr>
          <w:rFonts w:hint="eastAsia" w:ascii="仿宋_GB2312" w:hAnsi="仿宋" w:eastAsia="仿宋_GB2312" w:cs="仿宋"/>
          <w:color w:val="auto"/>
          <w:sz w:val="32"/>
          <w:highlight w:val="none"/>
          <w:shd w:val="clear" w:color="050000" w:fill="auto"/>
        </w:rPr>
        <w:t>我省蔬菜播种面积2259万亩，同比增长2.12%，产量3679万吨，同比增长3.08%；</w:t>
      </w:r>
      <w:r>
        <w:rPr>
          <w:rFonts w:hint="eastAsia" w:ascii="仿宋_GB2312" w:hAnsi="仿宋_GB2312" w:eastAsia="仿宋_GB2312" w:cs="仿宋_GB2312"/>
          <w:color w:val="auto"/>
          <w:sz w:val="32"/>
          <w:highlight w:val="none"/>
          <w:shd w:val="clear" w:color="050000" w:fill="auto"/>
        </w:rPr>
        <w:t>园林水果面积总体稳定，产量全面增加，种植面积基本稳定在1710万亩，产量1800万吨，产量增加约7%；岭南中药材稳定发展，种植面积达到325万亩；茶园面积预计达到90.23万亩，干毛茶产量9.5万吨；我省花卉种植品种呈现市场主导型与普及型结合的格局，以观赏苗木、盆栽植物和鲜切花为主，预计我省花卉种植面积约127万亩，种植产值约185亿元；蚕桑面积46.3万亩，蚕茧总产量3.1万吨。</w:t>
      </w:r>
    </w:p>
    <w:p>
      <w:pPr>
        <w:spacing w:line="360" w:lineRule="auto"/>
        <w:ind w:firstLine="640" w:firstLineChars="200"/>
        <w:rPr>
          <w:rFonts w:ascii="仿宋_GB2312" w:hAnsi="仿宋" w:eastAsia="仿宋_GB2312" w:cs="Arial"/>
          <w:color w:val="auto"/>
          <w:sz w:val="32"/>
          <w:szCs w:val="32"/>
          <w:highlight w:val="none"/>
        </w:rPr>
      </w:pPr>
      <w:r>
        <w:rPr>
          <w:rFonts w:hint="eastAsia" w:ascii="仿宋_GB2312" w:hAnsi="仿宋_GB2312" w:eastAsia="仿宋_GB2312" w:cs="仿宋_GB2312"/>
          <w:b/>
          <w:color w:val="auto"/>
          <w:sz w:val="32"/>
          <w:highlight w:val="none"/>
          <w:shd w:val="clear" w:color="060000" w:fill="auto"/>
        </w:rPr>
        <w:t>三是着力开展示范基地建设，成效显著。</w:t>
      </w:r>
      <w:r>
        <w:rPr>
          <w:rFonts w:hint="eastAsia" w:ascii="仿宋_GB2312" w:hAnsi="仿宋" w:eastAsia="仿宋_GB2312" w:cs="Arial"/>
          <w:color w:val="auto"/>
          <w:sz w:val="32"/>
          <w:szCs w:val="32"/>
          <w:highlight w:val="none"/>
        </w:rPr>
        <w:t>建设岭南特色水果示范基地，开展绿色高效的水果生产模式的全方位展示，以科技创新和示范带动广东岭南特色水果产业发展，可实现年辐射生产区域5万多亩，社会效益显著。建设良种良法示范基地，引进适合广东气候和温室高温高湿条件栽培的番茄和青瓜新品种；采用节水灌溉、水肥一体化技术，病虫害综合绿色防控技术等种植模式，通过这些技术的应用和推广，实现精量施肥，精准用药，推动低碳农业、节水农业、循环农业、安全生态农业和优质高效农业生产模式，提升农产品品质，推动我省农业和农村经济的可持续发展。</w:t>
      </w:r>
    </w:p>
    <w:p>
      <w:pPr>
        <w:spacing w:line="360" w:lineRule="auto"/>
        <w:ind w:firstLine="640" w:firstLineChars="200"/>
        <w:rPr>
          <w:rFonts w:ascii="仿宋_GB2312" w:hAnsi="仿宋" w:eastAsia="仿宋_GB2312" w:cs="Arial"/>
          <w:color w:val="auto"/>
          <w:sz w:val="32"/>
          <w:szCs w:val="32"/>
          <w:highlight w:val="none"/>
        </w:rPr>
      </w:pPr>
      <w:r>
        <w:rPr>
          <w:rFonts w:hint="eastAsia" w:ascii="仿宋_GB2312" w:hAnsi="仿宋" w:eastAsia="仿宋_GB2312" w:cs="Arial"/>
          <w:b/>
          <w:bCs/>
          <w:color w:val="auto"/>
          <w:sz w:val="32"/>
          <w:szCs w:val="32"/>
          <w:highlight w:val="none"/>
        </w:rPr>
        <w:t>四是积极创建特色农产品优势区。</w:t>
      </w:r>
      <w:r>
        <w:rPr>
          <w:rFonts w:hint="eastAsia" w:ascii="仿宋_GB2312" w:hAnsi="仿宋" w:eastAsia="仿宋_GB2312" w:cs="Arial"/>
          <w:color w:val="auto"/>
          <w:sz w:val="32"/>
          <w:szCs w:val="32"/>
          <w:highlight w:val="none"/>
        </w:rPr>
        <w:t>开展</w:t>
      </w:r>
      <w:r>
        <w:rPr>
          <w:rFonts w:hint="eastAsia" w:ascii="仿宋_GB2312" w:hAnsi="仿宋_GB2312" w:eastAsia="仿宋_GB2312" w:cs="仿宋_GB2312"/>
          <w:color w:val="auto"/>
          <w:sz w:val="32"/>
          <w:szCs w:val="32"/>
          <w:highlight w:val="none"/>
          <w:shd w:val="clear" w:color="auto" w:fill="FFFFFF"/>
        </w:rPr>
        <w:t>省级特色农产品优势区认定管理与开展“十大名牌”系列农产品评审服务，</w:t>
      </w:r>
      <w:r>
        <w:rPr>
          <w:rFonts w:ascii="仿宋_GB2312" w:hAnsi="仿宋_GB2312" w:eastAsia="仿宋_GB2312" w:cs="仿宋_GB2312"/>
          <w:color w:val="auto"/>
          <w:sz w:val="32"/>
          <w:szCs w:val="32"/>
          <w:highlight w:val="none"/>
          <w:shd w:val="clear" w:color="auto" w:fill="FFFFFF"/>
        </w:rPr>
        <w:t>组织完成139个有效期内的广东省十大名牌系列农产品开展复审登记，以及183个新申报产品登记，并登记全部322个复查及新申报产品电子档案</w:t>
      </w:r>
      <w:r>
        <w:rPr>
          <w:rFonts w:hint="eastAsia" w:ascii="仿宋_GB2312" w:hAnsi="仿宋_GB2312" w:eastAsia="仿宋_GB2312" w:cs="仿宋_GB2312"/>
          <w:color w:val="auto"/>
          <w:sz w:val="32"/>
          <w:szCs w:val="32"/>
          <w:highlight w:val="none"/>
          <w:shd w:val="clear" w:color="auto" w:fill="FFFFFF"/>
        </w:rPr>
        <w:t>，对申报资料进行申报审验、企业信用检查、资料整理，</w:t>
      </w:r>
      <w:r>
        <w:rPr>
          <w:rFonts w:ascii="仿宋_GB2312" w:hAnsi="仿宋_GB2312" w:eastAsia="仿宋_GB2312" w:cs="仿宋_GB2312"/>
          <w:color w:val="auto"/>
          <w:sz w:val="32"/>
          <w:szCs w:val="32"/>
          <w:highlight w:val="none"/>
          <w:shd w:val="clear" w:color="auto" w:fill="FFFFFF"/>
        </w:rPr>
        <w:t>对全部322个产品开展市场满意度调查。</w:t>
      </w:r>
    </w:p>
    <w:p>
      <w:pPr>
        <w:spacing w:line="360" w:lineRule="auto"/>
        <w:ind w:firstLine="640" w:firstLineChars="200"/>
        <w:rPr>
          <w:rFonts w:ascii="仿宋_GB2312" w:eastAsia="仿宋_GB2312"/>
          <w:b/>
          <w:bCs/>
          <w:color w:val="auto"/>
          <w:sz w:val="32"/>
          <w:szCs w:val="36"/>
          <w:highlight w:val="none"/>
        </w:rPr>
      </w:pPr>
      <w:r>
        <w:rPr>
          <w:rFonts w:hint="eastAsia" w:ascii="仿宋_GB2312" w:eastAsia="仿宋_GB2312"/>
          <w:b/>
          <w:bCs/>
          <w:color w:val="auto"/>
          <w:sz w:val="32"/>
          <w:szCs w:val="36"/>
          <w:highlight w:val="none"/>
        </w:rPr>
        <w:t>3．着力补齐发展短板，全面推广农业机械化。</w:t>
      </w:r>
    </w:p>
    <w:p>
      <w:pPr>
        <w:spacing w:line="360" w:lineRule="auto"/>
        <w:ind w:firstLine="640" w:firstLineChars="200"/>
        <w:rPr>
          <w:rFonts w:ascii="仿宋_GB2312" w:hAnsi="仿宋_GB2312" w:eastAsia="仿宋_GB2312" w:cs="仿宋_GB2312"/>
          <w:b/>
          <w:color w:val="auto"/>
          <w:sz w:val="32"/>
          <w:szCs w:val="32"/>
          <w:highlight w:val="none"/>
          <w:shd w:val="clear" w:color="060000" w:fill="auto"/>
        </w:rPr>
      </w:pPr>
      <w:r>
        <w:rPr>
          <w:rFonts w:hint="eastAsia" w:ascii="仿宋_GB2312" w:eastAsia="仿宋_GB2312"/>
          <w:b/>
          <w:bCs/>
          <w:color w:val="auto"/>
          <w:sz w:val="32"/>
          <w:szCs w:val="32"/>
          <w:highlight w:val="none"/>
        </w:rPr>
        <w:t>一是加强基础设施建设，</w:t>
      </w:r>
      <w:r>
        <w:rPr>
          <w:rFonts w:hint="eastAsia" w:ascii="仿宋_GB2312" w:hAnsi="仿宋_GB2312" w:eastAsia="仿宋_GB2312" w:cs="仿宋_GB2312"/>
          <w:b/>
          <w:color w:val="auto"/>
          <w:sz w:val="32"/>
          <w:szCs w:val="32"/>
          <w:highlight w:val="none"/>
          <w:shd w:val="clear" w:color="060000" w:fill="auto"/>
        </w:rPr>
        <w:t>设施农业发展稳中向好。</w:t>
      </w:r>
      <w:r>
        <w:rPr>
          <w:rFonts w:hint="eastAsia" w:ascii="仿宋_GB2312" w:eastAsia="仿宋_GB2312"/>
          <w:color w:val="auto"/>
          <w:sz w:val="32"/>
          <w:szCs w:val="32"/>
          <w:highlight w:val="none"/>
        </w:rPr>
        <w:t>新建高标准农田206万亩，</w:t>
      </w:r>
      <w:r>
        <w:rPr>
          <w:rFonts w:hint="eastAsia" w:ascii="仿宋_GB2312" w:eastAsia="仿宋_GB2312"/>
          <w:snapToGrid w:val="0"/>
          <w:color w:val="auto"/>
          <w:kern w:val="0"/>
          <w:sz w:val="32"/>
          <w:szCs w:val="32"/>
          <w:highlight w:val="none"/>
        </w:rPr>
        <w:t>争取</w:t>
      </w:r>
      <w:r>
        <w:rPr>
          <w:rFonts w:hint="eastAsia" w:ascii="仿宋_GB2312" w:hAnsi="仿宋" w:eastAsia="仿宋_GB2312"/>
          <w:snapToGrid w:val="0"/>
          <w:color w:val="auto"/>
          <w:kern w:val="0"/>
          <w:sz w:val="32"/>
          <w:szCs w:val="32"/>
          <w:highlight w:val="none"/>
        </w:rPr>
        <w:t>将优势特色产业生产基地的水电路网等基础设施纳入高标准农田建设范围，</w:t>
      </w:r>
      <w:r>
        <w:rPr>
          <w:rFonts w:hint="eastAsia" w:ascii="仿宋_GB2312" w:hAnsi="楷体" w:eastAsia="仿宋_GB2312" w:cs="楷体"/>
          <w:bCs/>
          <w:snapToGrid w:val="0"/>
          <w:color w:val="auto"/>
          <w:kern w:val="0"/>
          <w:sz w:val="32"/>
          <w:szCs w:val="32"/>
          <w:highlight w:val="none"/>
        </w:rPr>
        <w:t>实施耕地质量提升项目，提高农田综合生产能力。</w:t>
      </w:r>
      <w:r>
        <w:rPr>
          <w:rFonts w:hint="eastAsia" w:ascii="仿宋_GB2312" w:hAnsi="仿宋" w:eastAsia="仿宋_GB2312"/>
          <w:snapToGrid w:val="0"/>
          <w:color w:val="auto"/>
          <w:kern w:val="0"/>
          <w:sz w:val="32"/>
          <w:szCs w:val="32"/>
          <w:highlight w:val="none"/>
        </w:rPr>
        <w:t>探索以“先建后补”“以奖代补”方式扶持设施大棚、</w:t>
      </w:r>
      <w:r>
        <w:rPr>
          <w:rFonts w:hint="eastAsia" w:ascii="仿宋_GB2312" w:eastAsia="仿宋_GB2312"/>
          <w:snapToGrid w:val="0"/>
          <w:color w:val="auto"/>
          <w:kern w:val="0"/>
          <w:sz w:val="32"/>
          <w:szCs w:val="32"/>
          <w:highlight w:val="none"/>
        </w:rPr>
        <w:t>连片水肥一体化设施和田头冷库</w:t>
      </w:r>
      <w:r>
        <w:rPr>
          <w:rFonts w:hint="eastAsia" w:ascii="仿宋_GB2312" w:hAnsi="仿宋" w:eastAsia="仿宋_GB2312"/>
          <w:snapToGrid w:val="0"/>
          <w:color w:val="auto"/>
          <w:kern w:val="0"/>
          <w:sz w:val="32"/>
          <w:szCs w:val="32"/>
          <w:highlight w:val="none"/>
        </w:rPr>
        <w:t>建设，</w:t>
      </w:r>
      <w:r>
        <w:rPr>
          <w:rFonts w:hint="eastAsia" w:ascii="仿宋_GB2312" w:eastAsia="仿宋_GB2312"/>
          <w:snapToGrid w:val="0"/>
          <w:color w:val="auto"/>
          <w:kern w:val="0"/>
          <w:sz w:val="32"/>
          <w:szCs w:val="32"/>
          <w:highlight w:val="none"/>
        </w:rPr>
        <w:t>建设一批智慧农业综合示范基地。</w:t>
      </w:r>
      <w:r>
        <w:rPr>
          <w:rFonts w:hint="eastAsia" w:ascii="仿宋_GB2312" w:hAnsi="仿宋_GB2312" w:eastAsia="仿宋_GB2312" w:cs="仿宋_GB2312"/>
          <w:color w:val="auto"/>
          <w:sz w:val="32"/>
          <w:szCs w:val="32"/>
          <w:highlight w:val="none"/>
          <w:shd w:val="clear" w:color="050000" w:fill="auto"/>
        </w:rPr>
        <w:t>全省温室大棚(含中小棚)面积21.51万亩，灌溉施肥面积381万亩，农产品田头冷库容积46万立方米。</w:t>
      </w:r>
    </w:p>
    <w:p>
      <w:pPr>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eastAsia="仿宋_GB2312"/>
          <w:b/>
          <w:bCs/>
          <w:color w:val="auto"/>
          <w:sz w:val="32"/>
          <w:szCs w:val="32"/>
          <w:highlight w:val="none"/>
        </w:rPr>
        <w:t>二是主要</w:t>
      </w:r>
      <w:r>
        <w:rPr>
          <w:rFonts w:hint="eastAsia" w:ascii="仿宋_GB2312" w:hAnsi="华文楷体" w:eastAsia="仿宋_GB2312" w:cs="华文楷体"/>
          <w:b/>
          <w:bCs/>
          <w:color w:val="auto"/>
          <w:sz w:val="32"/>
          <w:szCs w:val="32"/>
          <w:highlight w:val="none"/>
        </w:rPr>
        <w:t>农作物生产机械化向“全程全面”发展趋势加快。</w:t>
      </w:r>
      <w:r>
        <w:rPr>
          <w:rFonts w:hint="eastAsia" w:ascii="仿宋_GB2312" w:hAnsi="仿宋_GB2312" w:eastAsia="仿宋_GB2312" w:cs="仿宋_GB2312"/>
          <w:color w:val="auto"/>
          <w:sz w:val="32"/>
          <w:szCs w:val="32"/>
          <w:highlight w:val="none"/>
        </w:rPr>
        <w:t>全年新增农机具6.67万台套，农机总动力2435万千瓦，比上年增加24万千瓦；农作物耕种收综合机械化率46.8%，水稻耕种收综合机械化率71.1%，分别比上年增长0.6个百分点、1个百分点。以甘蔗为龙头带动经济作物机械化发展，截至2018年底，甘蔗收获机械保有量突破120台。</w:t>
      </w:r>
      <w:r>
        <w:rPr>
          <w:rFonts w:hint="eastAsia" w:ascii="仿宋_GB2312" w:hAnsi="华文楷体" w:eastAsia="仿宋_GB2312" w:cs="华文楷体"/>
          <w:color w:val="auto"/>
          <w:sz w:val="32"/>
          <w:szCs w:val="32"/>
          <w:highlight w:val="none"/>
        </w:rPr>
        <w:t>注重政策的创新和加强监管，农机购置补贴政策推进稳健有力。</w:t>
      </w:r>
      <w:r>
        <w:rPr>
          <w:rFonts w:hint="eastAsia" w:ascii="仿宋_GB2312" w:hAnsi="仿宋_GB2312" w:eastAsia="仿宋_GB2312" w:cs="仿宋_GB2312"/>
          <w:color w:val="auto"/>
          <w:sz w:val="32"/>
          <w:szCs w:val="32"/>
          <w:highlight w:val="none"/>
        </w:rPr>
        <w:t>共受理申请农机购置补贴资金1.09亿元，补贴各类机具6.9万台套，受益农户3.01万多户，带动投入约3.8亿元。</w:t>
      </w:r>
    </w:p>
    <w:p>
      <w:pPr>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eastAsia="仿宋_GB2312"/>
          <w:b/>
          <w:bCs/>
          <w:color w:val="auto"/>
          <w:sz w:val="32"/>
          <w:szCs w:val="32"/>
          <w:highlight w:val="none"/>
        </w:rPr>
        <w:t>三是</w:t>
      </w:r>
      <w:r>
        <w:rPr>
          <w:rFonts w:hint="eastAsia" w:ascii="仿宋_GB2312" w:hAnsi="华文楷体" w:eastAsia="仿宋_GB2312" w:cs="华文楷体"/>
          <w:b/>
          <w:bCs/>
          <w:color w:val="auto"/>
          <w:sz w:val="32"/>
          <w:szCs w:val="32"/>
          <w:highlight w:val="none"/>
        </w:rPr>
        <w:t>注重服务和引导，增强农机社会化服务能力。</w:t>
      </w:r>
      <w:r>
        <w:rPr>
          <w:rFonts w:hint="eastAsia" w:ascii="仿宋_GB2312" w:hAnsi="仿宋_GB2312" w:eastAsia="仿宋_GB2312" w:cs="仿宋_GB2312"/>
          <w:color w:val="auto"/>
          <w:sz w:val="32"/>
          <w:szCs w:val="32"/>
          <w:highlight w:val="none"/>
        </w:rPr>
        <w:t>强化农机合作社社会化服务功能，引导小农户接受现代农业社会化服务，实施水稻育插秧机械化作业补助项目，补助面积达32万亩。组织开展农机社会化服务发展调研，编印《全省农机合作社发展情况汇编》，创建国家级示范社3个，1名社长获得“全国20佳农机合作社理事长”称号。全省农机合作社总量超过1000个</w:t>
      </w:r>
      <w:r>
        <w:rPr>
          <w:rFonts w:hint="eastAsia" w:ascii="仿宋_GB2312" w:hAnsi="仿宋" w:eastAsia="仿宋_GB2312" w:cs="仿宋"/>
          <w:color w:val="auto"/>
          <w:sz w:val="32"/>
          <w:szCs w:val="32"/>
          <w:highlight w:val="none"/>
        </w:rPr>
        <w:t>，农机原值达6.2亿元，拥有大中型农机具2.5万台套，作业面积800多万亩，年收入超6亿元</w:t>
      </w:r>
      <w:r>
        <w:rPr>
          <w:rFonts w:hint="eastAsia" w:ascii="仿宋_GB2312" w:hAnsi="仿宋_GB2312" w:eastAsia="仿宋_GB2312" w:cs="仿宋_GB2312"/>
          <w:color w:val="auto"/>
          <w:sz w:val="32"/>
          <w:szCs w:val="32"/>
          <w:highlight w:val="none"/>
        </w:rPr>
        <w:t>。积极推进“院社共建、科技进社”活动、</w:t>
      </w:r>
      <w:r>
        <w:rPr>
          <w:rFonts w:hint="eastAsia" w:ascii="仿宋_GB2312" w:hAnsi="仿宋" w:eastAsia="仿宋_GB2312" w:cs="仿宋"/>
          <w:color w:val="auto"/>
          <w:sz w:val="32"/>
          <w:szCs w:val="32"/>
          <w:highlight w:val="none"/>
        </w:rPr>
        <w:t>“社企共建”信息点（维修点）工作</w:t>
      </w:r>
      <w:r>
        <w:rPr>
          <w:rFonts w:hint="eastAsia" w:ascii="仿宋_GB2312" w:hAnsi="仿宋_GB2312" w:eastAsia="仿宋_GB2312" w:cs="仿宋_GB2312"/>
          <w:color w:val="auto"/>
          <w:sz w:val="32"/>
          <w:szCs w:val="32"/>
          <w:highlight w:val="none"/>
        </w:rPr>
        <w:t>。</w:t>
      </w:r>
    </w:p>
    <w:p>
      <w:pPr>
        <w:spacing w:line="360" w:lineRule="auto"/>
        <w:ind w:firstLine="640" w:firstLineChars="200"/>
        <w:rPr>
          <w:rFonts w:ascii="楷体_GB2312" w:hAnsi="仿宋_GB2312" w:eastAsia="楷体_GB2312" w:cs="仿宋_GB2312"/>
          <w:b/>
          <w:color w:val="auto"/>
          <w:sz w:val="32"/>
          <w:szCs w:val="48"/>
          <w:highlight w:val="none"/>
        </w:rPr>
      </w:pPr>
      <w:r>
        <w:rPr>
          <w:rFonts w:hint="eastAsia" w:ascii="仿宋_GB2312" w:eastAsia="仿宋_GB2312"/>
          <w:b/>
          <w:bCs/>
          <w:color w:val="auto"/>
          <w:sz w:val="32"/>
          <w:szCs w:val="36"/>
          <w:highlight w:val="none"/>
        </w:rPr>
        <w:t>4．</w:t>
      </w:r>
      <w:r>
        <w:rPr>
          <w:rFonts w:hint="eastAsia" w:ascii="楷体_GB2312" w:hAnsi="仿宋_GB2312" w:eastAsia="楷体_GB2312" w:cs="仿宋_GB2312"/>
          <w:b/>
          <w:color w:val="auto"/>
          <w:sz w:val="32"/>
          <w:szCs w:val="48"/>
          <w:highlight w:val="none"/>
        </w:rPr>
        <w:t>推动草地畜牧业转型升级，强化畜禽品种保护开发。</w:t>
      </w:r>
    </w:p>
    <w:p>
      <w:pPr>
        <w:spacing w:line="360" w:lineRule="auto"/>
        <w:ind w:firstLine="640" w:firstLineChars="20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
          <w:color w:val="auto"/>
          <w:sz w:val="32"/>
          <w:szCs w:val="48"/>
          <w:highlight w:val="none"/>
        </w:rPr>
        <w:t>一是</w:t>
      </w:r>
      <w:r>
        <w:rPr>
          <w:rFonts w:hint="eastAsia" w:ascii="仿宋_GB2312" w:hAnsi="楷体_GB2312" w:eastAsia="仿宋_GB2312" w:cs="楷体_GB2312"/>
          <w:b/>
          <w:color w:val="auto"/>
          <w:kern w:val="0"/>
          <w:sz w:val="32"/>
          <w:szCs w:val="32"/>
          <w:highlight w:val="none"/>
        </w:rPr>
        <w:t>夯实了畜禽种业基础。</w:t>
      </w:r>
      <w:r>
        <w:rPr>
          <w:rFonts w:hint="eastAsia" w:ascii="仿宋_GB2312" w:hAnsi="仿宋_GB2312" w:eastAsia="仿宋_GB2312" w:cs="仿宋_GB2312"/>
          <w:bCs/>
          <w:color w:val="auto"/>
          <w:kern w:val="0"/>
          <w:sz w:val="32"/>
          <w:szCs w:val="32"/>
          <w:highlight w:val="none"/>
        </w:rPr>
        <w:t>积极建设广东省畜禽遗传资源基因库，对列入《广东省畜禽遗传资源保护名录》的地方畜禽品种以及省内外、国内外优质畜禽遗传物质进行基因保存，构建“保种场活体保种+遗传物质基因保存”相结合的畜禽遗传资源保护体系，探索开放共享的畜禽保护开发利用体制机制。项目建成后将对我省保护利用畜禽遗传资源、促进种业科研创新具有重要意义。</w:t>
      </w:r>
    </w:p>
    <w:p>
      <w:pPr>
        <w:spacing w:line="360" w:lineRule="auto"/>
        <w:ind w:firstLine="640" w:firstLineChars="200"/>
        <w:rPr>
          <w:rFonts w:ascii="仿宋_GB2312" w:hAnsi="仿宋_GB2312" w:eastAsia="仿宋_GB2312" w:cs="仿宋_GB2312"/>
          <w:bCs/>
          <w:color w:val="auto"/>
          <w:kern w:val="0"/>
          <w:sz w:val="32"/>
          <w:szCs w:val="32"/>
          <w:highlight w:val="none"/>
        </w:rPr>
      </w:pPr>
      <w:r>
        <w:rPr>
          <w:rFonts w:hint="eastAsia" w:ascii="仿宋_GB2312" w:hAnsi="楷体_GB2312" w:eastAsia="仿宋_GB2312" w:cs="楷体_GB2312"/>
          <w:b/>
          <w:color w:val="auto"/>
          <w:kern w:val="0"/>
          <w:sz w:val="32"/>
          <w:szCs w:val="32"/>
          <w:highlight w:val="none"/>
        </w:rPr>
        <w:t>二是推进了畜禽养殖废弃物资源化利用。</w:t>
      </w:r>
      <w:r>
        <w:rPr>
          <w:rFonts w:hint="eastAsia" w:ascii="仿宋_GB2312" w:hAnsi="仿宋_GB2312" w:eastAsia="仿宋_GB2312" w:cs="仿宋_GB2312"/>
          <w:bCs/>
          <w:color w:val="auto"/>
          <w:kern w:val="0"/>
          <w:sz w:val="32"/>
          <w:szCs w:val="32"/>
          <w:highlight w:val="none"/>
        </w:rPr>
        <w:t>我厅会同省生态环境厅在全国率先印发《广东省畜禽粪污处理与资源化利用技术指南》，为全省资源化利用工作的规范开展提供技术支撑。各地积极开展畜禽养殖废弃物资源化利用宣传、培训、规划等工作，扶持养殖场和第三方建设配套粪污处理设施设备。2018年全省畜禽粪污综合利用率、规模养殖场粪污处理设施装备配套率分别为70%、74.6%，高于国家年度考核要求，在国家年度考核中被评为优秀等级。</w:t>
      </w:r>
    </w:p>
    <w:p>
      <w:pPr>
        <w:spacing w:line="360" w:lineRule="auto"/>
        <w:ind w:firstLine="640" w:firstLineChars="200"/>
        <w:rPr>
          <w:rFonts w:ascii="仿宋_GB2312" w:hAnsi="仿宋_GB2312" w:eastAsia="仿宋_GB2312" w:cs="仿宋_GB2312"/>
          <w:b/>
          <w:color w:val="auto"/>
          <w:sz w:val="32"/>
          <w:szCs w:val="48"/>
          <w:highlight w:val="none"/>
        </w:rPr>
      </w:pPr>
      <w:r>
        <w:rPr>
          <w:rFonts w:hint="eastAsia" w:ascii="仿宋_GB2312" w:hAnsi="楷体_GB2312" w:eastAsia="仿宋_GB2312" w:cs="楷体_GB2312"/>
          <w:b/>
          <w:color w:val="auto"/>
          <w:kern w:val="0"/>
          <w:sz w:val="32"/>
          <w:szCs w:val="32"/>
          <w:highlight w:val="none"/>
        </w:rPr>
        <w:t>三是促进了畜牧业结构调整转型升级。</w:t>
      </w:r>
      <w:r>
        <w:rPr>
          <w:rFonts w:hint="eastAsia" w:ascii="仿宋_GB2312" w:hAnsi="仿宋_GB2312" w:eastAsia="仿宋_GB2312" w:cs="仿宋_GB2312"/>
          <w:color w:val="auto"/>
          <w:sz w:val="32"/>
          <w:szCs w:val="32"/>
          <w:highlight w:val="none"/>
        </w:rPr>
        <w:t>创建了4家国家级标准化示范场和10家首批广东省现代化美丽牧场，示范带动全省畜牧业转型升级。</w:t>
      </w:r>
      <w:r>
        <w:rPr>
          <w:rFonts w:hint="eastAsia" w:ascii="仿宋_GB2312" w:hAnsi="仿宋_GB2312" w:eastAsia="仿宋_GB2312" w:cs="仿宋_GB2312"/>
          <w:bCs/>
          <w:color w:val="auto"/>
          <w:kern w:val="0"/>
          <w:sz w:val="32"/>
          <w:szCs w:val="32"/>
          <w:highlight w:val="none"/>
        </w:rPr>
        <w:t>养殖场标准化规模化建设进一步发展，2018年全省畜禽规模养殖比例达70%，比2017年提高了三个百分点。</w:t>
      </w:r>
    </w:p>
    <w:p>
      <w:pPr>
        <w:spacing w:line="360" w:lineRule="auto"/>
        <w:ind w:firstLine="640" w:firstLineChars="200"/>
        <w:rPr>
          <w:rFonts w:ascii="仿宋_GB2312" w:eastAsia="仿宋_GB2312"/>
          <w:b/>
          <w:bCs/>
          <w:color w:val="auto"/>
          <w:sz w:val="32"/>
          <w:szCs w:val="36"/>
          <w:highlight w:val="none"/>
        </w:rPr>
      </w:pPr>
      <w:r>
        <w:rPr>
          <w:rFonts w:hint="eastAsia" w:ascii="仿宋_GB2312" w:eastAsia="仿宋_GB2312"/>
          <w:b/>
          <w:bCs/>
          <w:color w:val="auto"/>
          <w:sz w:val="32"/>
          <w:szCs w:val="36"/>
          <w:highlight w:val="none"/>
        </w:rPr>
        <w:t>5．推进种业科研体制改革，激发种业发展活力。</w:t>
      </w:r>
    </w:p>
    <w:p>
      <w:pPr>
        <w:spacing w:line="360" w:lineRule="auto"/>
        <w:ind w:firstLine="640" w:firstLineChars="200"/>
        <w:rPr>
          <w:rFonts w:ascii="仿宋_GB2312" w:hAnsi="楷体" w:eastAsia="仿宋_GB2312" w:cs="Times New Roman"/>
          <w:color w:val="auto"/>
          <w:kern w:val="0"/>
          <w:sz w:val="32"/>
          <w:szCs w:val="32"/>
          <w:highlight w:val="none"/>
        </w:rPr>
      </w:pPr>
      <w:r>
        <w:rPr>
          <w:rFonts w:hint="eastAsia" w:ascii="仿宋_GB2312" w:eastAsia="仿宋_GB2312"/>
          <w:b/>
          <w:bCs/>
          <w:color w:val="auto"/>
          <w:sz w:val="32"/>
          <w:szCs w:val="36"/>
          <w:highlight w:val="none"/>
        </w:rPr>
        <w:t>一是</w:t>
      </w:r>
      <w:r>
        <w:rPr>
          <w:rFonts w:hint="eastAsia" w:ascii="仿宋_GB2312" w:hAnsi="楷体" w:eastAsia="仿宋_GB2312" w:cs="Times New Roman"/>
          <w:b/>
          <w:bCs/>
          <w:color w:val="auto"/>
          <w:kern w:val="0"/>
          <w:sz w:val="32"/>
          <w:szCs w:val="32"/>
          <w:highlight w:val="none"/>
        </w:rPr>
        <w:t>不断深化种业科研体制改革，激发种业原始创新活力。</w:t>
      </w:r>
      <w:r>
        <w:rPr>
          <w:rFonts w:hint="eastAsia" w:ascii="仿宋_GB2312" w:hAnsi="仿宋_GB2312" w:eastAsia="仿宋_GB2312" w:cs="仿宋_GB2312"/>
          <w:color w:val="auto"/>
          <w:sz w:val="32"/>
          <w:szCs w:val="32"/>
          <w:highlight w:val="none"/>
        </w:rPr>
        <w:t>为充分发挥种业在农业供给侧结构性改革中的先导和支撑作用，我省</w:t>
      </w:r>
      <w:r>
        <w:rPr>
          <w:rFonts w:hint="eastAsia" w:ascii="仿宋_GB2312" w:hAnsi="仿宋_GB2312" w:eastAsia="仿宋_GB2312" w:cs="仿宋_GB2312"/>
          <w:snapToGrid w:val="0"/>
          <w:color w:val="auto"/>
          <w:kern w:val="0"/>
          <w:sz w:val="32"/>
          <w:szCs w:val="32"/>
          <w:highlight w:val="none"/>
        </w:rPr>
        <w:t>继续探索推进种业人才发展和科研成果权益改革试点工作。2018年，重点探索种业科研人员服务企业新模式，修订完善科技成果转化、科研人员到企业服务等制度，建立科技成果转化的科企合作共建示范基地，3家改革试点单位获得转让费400万元，建立示范基地7个，成果确权品种审定28个、植物新品种19个、专利3个。</w:t>
      </w:r>
    </w:p>
    <w:p>
      <w:pPr>
        <w:spacing w:line="360" w:lineRule="auto"/>
        <w:ind w:firstLine="640" w:firstLineChars="200"/>
        <w:rPr>
          <w:rFonts w:ascii="仿宋_GB2312" w:hAnsi="楷体" w:eastAsia="仿宋_GB2312" w:cs="Times New Roman"/>
          <w:color w:val="auto"/>
          <w:kern w:val="0"/>
          <w:sz w:val="32"/>
          <w:szCs w:val="32"/>
          <w:highlight w:val="none"/>
        </w:rPr>
      </w:pPr>
      <w:r>
        <w:rPr>
          <w:rFonts w:hint="eastAsia" w:ascii="仿宋_GB2312" w:hAnsi="楷体" w:eastAsia="仿宋_GB2312" w:cs="Times New Roman"/>
          <w:b/>
          <w:bCs/>
          <w:color w:val="auto"/>
          <w:kern w:val="0"/>
          <w:sz w:val="32"/>
          <w:szCs w:val="32"/>
          <w:highlight w:val="none"/>
        </w:rPr>
        <w:t>二是实施现代种业创新提升工程，积极打造种业重大创新平台。</w:t>
      </w:r>
      <w:r>
        <w:rPr>
          <w:rFonts w:hint="eastAsia" w:ascii="仿宋_GB2312" w:hAnsi="仿宋_GB2312" w:eastAsia="仿宋_GB2312" w:cs="仿宋_GB2312"/>
          <w:color w:val="auto"/>
          <w:sz w:val="32"/>
          <w:szCs w:val="32"/>
          <w:highlight w:val="none"/>
        </w:rPr>
        <w:t>积极组织实施省级现代种业创新提升工程，推进蔬菜、柑橘、茶树、菠萝、芒果等9种作物育繁推一体化种业创新发展联盟建设，建设优质绿色种苗繁育基地10个、新良种示范基地27个；支持8个地市分别开展广陈皮、化橘红等地方优势特色品种资源保护与开发，收集保存特色品种资源约200份，增强了我省农作物种质资源保护与利用能力。</w:t>
      </w:r>
      <w:r>
        <w:rPr>
          <w:rFonts w:hint="eastAsia" w:ascii="仿宋_GB2312" w:hAnsi="仿宋" w:eastAsia="仿宋_GB2312" w:cs="仿宋"/>
          <w:color w:val="auto"/>
          <w:sz w:val="32"/>
          <w:szCs w:val="32"/>
          <w:highlight w:val="none"/>
        </w:rPr>
        <w:t>整合种业创新资源，着力推进广东（深圳）现代生物育种中心、广东（广州）现代种业创新中心、广东南亚热带作物种业创新中心、</w:t>
      </w:r>
      <w:r>
        <w:rPr>
          <w:rFonts w:hint="eastAsia" w:ascii="仿宋_GB2312" w:eastAsia="仿宋_GB2312" w:cs="Times New Roman"/>
          <w:color w:val="auto"/>
          <w:sz w:val="32"/>
          <w:szCs w:val="32"/>
          <w:highlight w:val="none"/>
        </w:rPr>
        <w:t>畜禽遗传基因库、</w:t>
      </w:r>
      <w:r>
        <w:rPr>
          <w:rFonts w:hint="eastAsia" w:ascii="仿宋_GB2312" w:hAnsi="仿宋" w:eastAsia="仿宋_GB2312" w:cs="仿宋"/>
          <w:color w:val="auto"/>
          <w:sz w:val="32"/>
          <w:szCs w:val="32"/>
          <w:highlight w:val="none"/>
        </w:rPr>
        <w:t>南繁科研育种基地、广东农作物种质资源库（圃）等平台建设，提高我省种业创新主体地位。</w:t>
      </w:r>
    </w:p>
    <w:p>
      <w:pPr>
        <w:spacing w:line="360" w:lineRule="auto"/>
        <w:ind w:firstLine="640" w:firstLineChars="200"/>
        <w:rPr>
          <w:rFonts w:ascii="仿宋_GB2312" w:hAnsi="楷体" w:eastAsia="仿宋_GB2312" w:cs="Times New Roman"/>
          <w:color w:val="auto"/>
          <w:kern w:val="0"/>
          <w:sz w:val="32"/>
          <w:szCs w:val="32"/>
          <w:highlight w:val="none"/>
        </w:rPr>
      </w:pPr>
      <w:r>
        <w:rPr>
          <w:rFonts w:hint="eastAsia" w:ascii="仿宋_GB2312" w:hAnsi="楷体" w:eastAsia="仿宋_GB2312" w:cs="Times New Roman"/>
          <w:b/>
          <w:bCs/>
          <w:color w:val="auto"/>
          <w:kern w:val="0"/>
          <w:sz w:val="32"/>
          <w:szCs w:val="32"/>
          <w:highlight w:val="none"/>
        </w:rPr>
        <w:t>三是组织开展良种联合攻关，加快优质新良种繁育与推广。</w:t>
      </w:r>
      <w:r>
        <w:rPr>
          <w:rFonts w:hint="eastAsia" w:ascii="仿宋_GB2312" w:hAnsi="仿宋" w:eastAsia="仿宋_GB2312" w:cs="仿宋"/>
          <w:color w:val="auto"/>
          <w:sz w:val="32"/>
          <w:szCs w:val="32"/>
          <w:highlight w:val="none"/>
        </w:rPr>
        <w:t>深入推进第三次全国农作物种质资源普查与收集行动，不断夯实新品种选育基础。组织开展新良种联合攻关，大力推进由我省牵头组织开展的国家荔枝、香蕉良种重大科研联合攻关。2018年，新选育优质、绿色、高效作物新品种150个，审核进口国外良种超过1300万公斤，建设高标准良种繁育基地10个，新增优质种苗繁育能力超过1亿株；建设良种展示示范基地43个，展示示范优良品种5000个（次）以上，辐射带动优新良种推广面积250多万亩，优良新品种繁育推广能力不断提升，为全省农业供给侧结构性改革提供强有力的良种支撑，</w:t>
      </w:r>
      <w:r>
        <w:rPr>
          <w:rFonts w:hint="eastAsia" w:ascii="仿宋_GB2312" w:hAnsi="楷体" w:eastAsia="仿宋_GB2312" w:cs="Times New Roman"/>
          <w:color w:val="auto"/>
          <w:kern w:val="0"/>
          <w:sz w:val="32"/>
          <w:szCs w:val="32"/>
          <w:highlight w:val="none"/>
        </w:rPr>
        <w:t>为富民兴村产业发展提供良种支撑。</w:t>
      </w:r>
    </w:p>
    <w:p>
      <w:pPr>
        <w:spacing w:line="360" w:lineRule="auto"/>
        <w:ind w:firstLine="640" w:firstLineChars="200"/>
        <w:rPr>
          <w:rFonts w:hint="eastAsia" w:ascii="仿宋_GB2312" w:eastAsia="仿宋_GB2312"/>
          <w:b/>
          <w:bCs/>
          <w:color w:val="auto"/>
          <w:sz w:val="32"/>
          <w:szCs w:val="36"/>
          <w:highlight w:val="none"/>
        </w:rPr>
      </w:pPr>
      <w:r>
        <w:rPr>
          <w:rFonts w:hint="eastAsia" w:ascii="仿宋_GB2312" w:hAnsi="楷体" w:eastAsia="仿宋_GB2312" w:cs="Times New Roman"/>
          <w:b/>
          <w:bCs/>
          <w:color w:val="auto"/>
          <w:kern w:val="0"/>
          <w:sz w:val="32"/>
          <w:szCs w:val="32"/>
          <w:highlight w:val="none"/>
        </w:rPr>
        <w:t>四是加强种子质量监管，保障农业生产用种安全。</w:t>
      </w:r>
      <w:r>
        <w:rPr>
          <w:rFonts w:hint="eastAsia" w:ascii="仿宋_GB2312" w:hAnsi="仿宋" w:eastAsia="仿宋_GB2312" w:cs="仿宋"/>
          <w:color w:val="auto"/>
          <w:sz w:val="32"/>
          <w:szCs w:val="32"/>
          <w:highlight w:val="none"/>
        </w:rPr>
        <w:t>强化事中事后监管，</w:t>
      </w:r>
      <w:r>
        <w:rPr>
          <w:rFonts w:hint="eastAsia" w:ascii="仿宋_GB2312" w:hAnsi="仿宋" w:eastAsia="仿宋_GB2312"/>
          <w:color w:val="auto"/>
          <w:sz w:val="32"/>
          <w:szCs w:val="32"/>
          <w:highlight w:val="none"/>
        </w:rPr>
        <w:t>以水稻、玉米和大宗蔬菜作物种子、蚕种为重点，开展了冬季种子企业抽查、春季种子市场抽查以及夏秋季种子市场检查行动，共抽查农作物种子样品491份</w:t>
      </w:r>
      <w:r>
        <w:rPr>
          <w:rFonts w:hint="eastAsia" w:ascii="仿宋_GB2312" w:eastAsia="仿宋_GB2312"/>
          <w:color w:val="auto"/>
          <w:sz w:val="32"/>
          <w:szCs w:val="32"/>
          <w:highlight w:val="none"/>
        </w:rPr>
        <w:t>（包括60份列入部级抽查样品）</w:t>
      </w:r>
      <w:r>
        <w:rPr>
          <w:rFonts w:hint="eastAsia" w:ascii="仿宋_GB2312" w:hAnsi="仿宋" w:eastAsia="仿宋_GB2312"/>
          <w:color w:val="auto"/>
          <w:sz w:val="32"/>
          <w:szCs w:val="32"/>
          <w:highlight w:val="none"/>
        </w:rPr>
        <w:t>，蚕种样品60份，抽查合格率分别为</w:t>
      </w:r>
      <w:r>
        <w:rPr>
          <w:rFonts w:hint="eastAsia" w:ascii="仿宋_GB2312" w:eastAsia="仿宋_GB2312"/>
          <w:color w:val="auto"/>
          <w:sz w:val="32"/>
          <w:szCs w:val="32"/>
          <w:highlight w:val="none"/>
        </w:rPr>
        <w:t>98.1%和</w:t>
      </w:r>
      <w:r>
        <w:rPr>
          <w:rFonts w:hint="eastAsia" w:ascii="仿宋_GB2312" w:hAnsi="仿宋" w:eastAsia="仿宋_GB2312"/>
          <w:color w:val="auto"/>
          <w:sz w:val="32"/>
          <w:szCs w:val="32"/>
          <w:highlight w:val="none"/>
        </w:rPr>
        <w:t>100%，进一步</w:t>
      </w:r>
      <w:r>
        <w:rPr>
          <w:rFonts w:hint="eastAsia" w:ascii="仿宋_GB2312" w:hAnsi="仿宋" w:eastAsia="仿宋_GB2312" w:cs="仿宋"/>
          <w:color w:val="auto"/>
          <w:sz w:val="32"/>
          <w:szCs w:val="32"/>
          <w:highlight w:val="none"/>
        </w:rPr>
        <w:t>规范种子生产经营行为，净化种业发展环境。加强市、县级种子质量检测站建设，完成了5个检测站建设项目验收，同时大力推进种子质量检测信息化管理，全省6家种子检测站正与国家数据库对接，实现数据网上查询，市场监管能力进一步提升。</w:t>
      </w:r>
    </w:p>
    <w:p>
      <w:pPr>
        <w:spacing w:line="360" w:lineRule="auto"/>
        <w:ind w:firstLine="640" w:firstLineChars="200"/>
        <w:rPr>
          <w:rFonts w:ascii="仿宋_GB2312" w:eastAsia="仿宋_GB2312"/>
          <w:b/>
          <w:bCs/>
          <w:color w:val="auto"/>
          <w:sz w:val="32"/>
          <w:szCs w:val="36"/>
          <w:highlight w:val="none"/>
        </w:rPr>
      </w:pPr>
      <w:r>
        <w:rPr>
          <w:rFonts w:hint="eastAsia" w:ascii="仿宋_GB2312" w:eastAsia="仿宋_GB2312"/>
          <w:b/>
          <w:bCs/>
          <w:color w:val="auto"/>
          <w:sz w:val="32"/>
          <w:szCs w:val="36"/>
          <w:highlight w:val="none"/>
        </w:rPr>
        <w:t>6．强化科技创新支撑，科研成果转化效果喜人。</w:t>
      </w:r>
    </w:p>
    <w:p>
      <w:pPr>
        <w:spacing w:line="360" w:lineRule="auto"/>
        <w:ind w:firstLine="640" w:firstLineChars="200"/>
        <w:rPr>
          <w:rFonts w:ascii="仿宋_GB2312" w:hAnsi="仿宋_GB2312" w:cs="仿宋_GB2312"/>
          <w:color w:val="auto"/>
          <w:kern w:val="0"/>
          <w:sz w:val="32"/>
          <w:szCs w:val="32"/>
          <w:highlight w:val="none"/>
        </w:rPr>
      </w:pPr>
      <w:r>
        <w:rPr>
          <w:rFonts w:hint="eastAsia" w:ascii="仿宋_GB2312" w:hAnsi="仿宋_GB2312" w:eastAsia="仿宋_GB2312" w:cs="仿宋_GB2312"/>
          <w:b/>
          <w:bCs/>
          <w:snapToGrid w:val="0"/>
          <w:color w:val="auto"/>
          <w:kern w:val="0"/>
          <w:sz w:val="32"/>
          <w:szCs w:val="32"/>
          <w:highlight w:val="none"/>
        </w:rPr>
        <w:t>一是农业科技研究取得新进展。</w:t>
      </w:r>
      <w:r>
        <w:rPr>
          <w:rFonts w:hint="eastAsia" w:ascii="仿宋_GB2312" w:hAnsi="仿宋_GB2312" w:eastAsia="仿宋_GB2312" w:cs="仿宋_GB2312"/>
          <w:color w:val="auto"/>
          <w:kern w:val="0"/>
          <w:sz w:val="32"/>
          <w:szCs w:val="32"/>
          <w:highlight w:val="none"/>
        </w:rPr>
        <w:t>自2016年20个现代农业产业技术体系创新团队建设以来，已培育出一批新品种，研发出一批新产品、新技术、新机械、新设备，多次获得国家、省、市等各种奖励，申请并授权了一批专利，推动我省农业科技研究取得新进展</w:t>
      </w:r>
      <w:r>
        <w:rPr>
          <w:rFonts w:hint="eastAsia" w:ascii="仿宋_GB2312" w:hAnsi="仿宋_GB2312" w:cs="仿宋_GB2312"/>
          <w:color w:val="auto"/>
          <w:kern w:val="0"/>
          <w:sz w:val="32"/>
          <w:szCs w:val="32"/>
          <w:highlight w:val="none"/>
        </w:rPr>
        <w:t>。</w:t>
      </w:r>
    </w:p>
    <w:p>
      <w:pPr>
        <w:spacing w:line="360" w:lineRule="auto"/>
        <w:ind w:firstLine="640" w:firstLineChars="200"/>
        <w:rPr>
          <w:rFonts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二是人才队伍建设得到新发展。</w:t>
      </w:r>
      <w:r>
        <w:rPr>
          <w:rFonts w:hint="eastAsia" w:ascii="仿宋_GB2312" w:hAnsi="仿宋_GB2312" w:eastAsia="仿宋_GB2312" w:cs="仿宋_GB2312"/>
          <w:snapToGrid w:val="0"/>
          <w:color w:val="auto"/>
          <w:kern w:val="0"/>
          <w:sz w:val="32"/>
          <w:szCs w:val="32"/>
          <w:highlight w:val="none"/>
        </w:rPr>
        <w:t>依托</w:t>
      </w:r>
      <w:r>
        <w:rPr>
          <w:rFonts w:hint="eastAsia" w:ascii="仿宋_GB2312" w:hAnsi="仿宋_GB2312" w:eastAsia="仿宋_GB2312" w:cs="仿宋_GB2312"/>
          <w:color w:val="auto"/>
          <w:sz w:val="32"/>
          <w:szCs w:val="32"/>
          <w:highlight w:val="none"/>
        </w:rPr>
        <w:t>农业科技创新及推广项目</w:t>
      </w:r>
      <w:r>
        <w:rPr>
          <w:rFonts w:hint="eastAsia" w:ascii="仿宋_GB2312" w:hAnsi="仿宋_GB2312" w:eastAsia="仿宋_GB2312" w:cs="仿宋_GB2312"/>
          <w:snapToGrid w:val="0"/>
          <w:color w:val="auto"/>
          <w:kern w:val="0"/>
          <w:sz w:val="32"/>
          <w:szCs w:val="32"/>
          <w:highlight w:val="none"/>
        </w:rPr>
        <w:t>，20个省级农业科技创新团队共遴选聘任首席专家20人，岗位（专题）专家128人，示范基地负责人62人，辐射带动核心团队成员近700人，为我省农业发展提供了人才支撑。</w:t>
      </w:r>
    </w:p>
    <w:p>
      <w:pPr>
        <w:spacing w:line="360" w:lineRule="auto"/>
        <w:ind w:firstLine="640" w:firstLineChars="200"/>
        <w:rPr>
          <w:rFonts w:ascii="仿宋_GB2312" w:eastAsia="仿宋_GB2312"/>
          <w:b/>
          <w:bCs/>
          <w:color w:val="auto"/>
          <w:sz w:val="32"/>
          <w:szCs w:val="36"/>
          <w:highlight w:val="none"/>
        </w:rPr>
      </w:pPr>
      <w:r>
        <w:rPr>
          <w:rFonts w:hint="eastAsia" w:ascii="仿宋_GB2312" w:hAnsi="仿宋_GB2312" w:eastAsia="仿宋_GB2312" w:cs="仿宋_GB2312"/>
          <w:b/>
          <w:bCs/>
          <w:color w:val="auto"/>
          <w:kern w:val="0"/>
          <w:sz w:val="32"/>
          <w:szCs w:val="32"/>
          <w:highlight w:val="none"/>
        </w:rPr>
        <w:t>三是农业科技创新转化迈开新步伐。</w:t>
      </w:r>
      <w:r>
        <w:rPr>
          <w:rFonts w:hint="eastAsia" w:ascii="仿宋_GB2312" w:hAnsi="仿宋" w:eastAsia="仿宋_GB2312"/>
          <w:snapToGrid w:val="0"/>
          <w:color w:val="auto"/>
          <w:kern w:val="0"/>
          <w:sz w:val="32"/>
          <w:szCs w:val="32"/>
          <w:highlight w:val="none"/>
          <w:lang w:val="zh-CN"/>
        </w:rPr>
        <w:t>启动创建广州国家现代农业产业科技创新中心，建立省级现代农业产业科技创新及转化平台127个，推进了广东省农业科技成果转化公共服务平台暨农业科研项目储备库建设，2018年面向全省781个不同类型单位，共征集到4217项农业科研储备项目，促进了农业技术科研单位与需求单位的有效对接；2018年，遴选、推介发布农业主导品种98个、主推技术89项，促进了农业科</w:t>
      </w:r>
      <w:r>
        <w:rPr>
          <w:rFonts w:hint="eastAsia" w:ascii="仿宋_GB2312" w:hAnsi="仿宋_GB2312" w:eastAsia="仿宋_GB2312" w:cs="仿宋_GB2312"/>
          <w:color w:val="auto"/>
          <w:kern w:val="0"/>
          <w:sz w:val="32"/>
          <w:szCs w:val="32"/>
          <w:highlight w:val="none"/>
        </w:rPr>
        <w:t>技成果的推广应用。</w:t>
      </w:r>
    </w:p>
    <w:p>
      <w:pPr>
        <w:spacing w:line="360" w:lineRule="auto"/>
        <w:ind w:firstLine="640" w:firstLineChars="200"/>
        <w:rPr>
          <w:rFonts w:ascii="仿宋_GB2312" w:eastAsia="仿宋_GB2312"/>
          <w:b/>
          <w:bCs/>
          <w:color w:val="auto"/>
          <w:sz w:val="32"/>
          <w:szCs w:val="36"/>
          <w:highlight w:val="none"/>
        </w:rPr>
      </w:pPr>
      <w:r>
        <w:rPr>
          <w:rFonts w:hint="eastAsia" w:ascii="仿宋_GB2312" w:eastAsia="仿宋_GB2312"/>
          <w:b/>
          <w:bCs/>
          <w:color w:val="auto"/>
          <w:sz w:val="32"/>
          <w:szCs w:val="36"/>
          <w:highlight w:val="none"/>
        </w:rPr>
        <w:t>7．宣传推广乡村振兴战略，搭建农业成果交流展示平台。</w:t>
      </w:r>
    </w:p>
    <w:p>
      <w:pPr>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eastAsia="仿宋_GB2312"/>
          <w:b/>
          <w:bCs/>
          <w:color w:val="auto"/>
          <w:sz w:val="32"/>
          <w:szCs w:val="36"/>
          <w:highlight w:val="none"/>
        </w:rPr>
        <w:t>一是新媒体多渠道有效推广乡村振兴战略。</w:t>
      </w:r>
      <w:r>
        <w:rPr>
          <w:rFonts w:hint="eastAsia" w:ascii="仿宋_GB2312" w:hAnsi="仿宋" w:eastAsia="仿宋_GB2312" w:cs="仿宋"/>
          <w:color w:val="auto"/>
          <w:sz w:val="32"/>
          <w:szCs w:val="32"/>
          <w:highlight w:val="none"/>
        </w:rPr>
        <w:t>组织开展现代农业示范区核查、农业绿色发展调研及实施方案编制。创新形式，积极利用新媒体等多种渠道宣传推广，如</w:t>
      </w:r>
      <w:r>
        <w:rPr>
          <w:rFonts w:hint="eastAsia" w:ascii="仿宋_GB2312" w:hAnsi="仿宋" w:eastAsia="仿宋_GB2312" w:cs="仿宋"/>
          <w:color w:val="auto"/>
          <w:sz w:val="32"/>
          <w:szCs w:val="32"/>
          <w:highlight w:val="none"/>
          <w:lang w:val="zh-CN" w:bidi="zh-CN"/>
        </w:rPr>
        <w:t>产业园功能App软件开发、微信公众号运营、《农村工作通讯》、《南方日报》、《农民日报》等报刊杂志刊文、</w:t>
      </w:r>
      <w:r>
        <w:rPr>
          <w:rFonts w:hint="eastAsia" w:ascii="仿宋_GB2312" w:hAnsi="华文仿宋" w:eastAsia="仿宋_GB2312" w:cs="华文仿宋"/>
          <w:color w:val="auto"/>
          <w:sz w:val="32"/>
          <w:szCs w:val="32"/>
          <w:highlight w:val="none"/>
        </w:rPr>
        <w:t>《童言无忌——听听孩子说农业》等</w:t>
      </w:r>
      <w:r>
        <w:rPr>
          <w:rFonts w:hint="eastAsia" w:ascii="仿宋_GB2312" w:hAnsi="仿宋" w:eastAsia="仿宋_GB2312" w:cs="仿宋"/>
          <w:color w:val="auto"/>
          <w:sz w:val="32"/>
          <w:szCs w:val="32"/>
          <w:highlight w:val="none"/>
          <w:lang w:val="zh-CN" w:bidi="zh-CN"/>
        </w:rPr>
        <w:t>宣传视频设计制作、刻录DVD、</w:t>
      </w:r>
      <w:r>
        <w:rPr>
          <w:rFonts w:hint="eastAsia" w:ascii="仿宋_GB2312" w:hAnsi="华文仿宋" w:eastAsia="仿宋_GB2312" w:cs="华文仿宋"/>
          <w:color w:val="auto"/>
          <w:sz w:val="32"/>
          <w:szCs w:val="32"/>
          <w:highlight w:val="none"/>
        </w:rPr>
        <w:t>编撰</w:t>
      </w:r>
      <w:r>
        <w:rPr>
          <w:rFonts w:hint="eastAsia" w:ascii="仿宋_GB2312" w:hAnsi="黑体" w:eastAsia="仿宋_GB2312" w:cs="黑体"/>
          <w:color w:val="auto"/>
          <w:sz w:val="32"/>
          <w:szCs w:val="32"/>
          <w:highlight w:val="none"/>
        </w:rPr>
        <w:t>《中国农业百科全书·广东卷》和印发系列</w:t>
      </w:r>
      <w:r>
        <w:rPr>
          <w:rFonts w:hint="eastAsia" w:ascii="仿宋_GB2312" w:hAnsi="仿宋" w:eastAsia="仿宋_GB2312" w:cs="仿宋"/>
          <w:color w:val="auto"/>
          <w:sz w:val="32"/>
          <w:szCs w:val="32"/>
          <w:highlight w:val="none"/>
          <w:lang w:val="zh-CN" w:bidi="zh-CN"/>
        </w:rPr>
        <w:t>宣传手册</w:t>
      </w:r>
      <w:r>
        <w:rPr>
          <w:rFonts w:hint="eastAsia" w:ascii="仿宋_GB2312" w:hAnsi="华文仿宋" w:eastAsia="仿宋_GB2312" w:cs="华文仿宋"/>
          <w:color w:val="auto"/>
          <w:sz w:val="32"/>
          <w:szCs w:val="32"/>
          <w:highlight w:val="none"/>
        </w:rPr>
        <w:t>。组织农业科普推广系列活动进校园、进农业基地、进社区，开展“中国农民</w:t>
      </w:r>
      <w:r>
        <w:rPr>
          <w:rFonts w:hint="eastAsia" w:ascii="仿宋_GB2312" w:hAnsi="仿宋_GB2312" w:eastAsia="仿宋_GB2312" w:cs="仿宋_GB2312"/>
          <w:color w:val="auto"/>
          <w:sz w:val="32"/>
          <w:szCs w:val="32"/>
          <w:highlight w:val="none"/>
        </w:rPr>
        <w:t>丰收节”系列活动，</w:t>
      </w:r>
      <w:r>
        <w:rPr>
          <w:rFonts w:hint="eastAsia" w:ascii="仿宋_GB2312" w:hAnsi="华文仿宋" w:eastAsia="仿宋_GB2312" w:cs="华文仿宋"/>
          <w:color w:val="auto"/>
          <w:sz w:val="32"/>
          <w:szCs w:val="32"/>
          <w:highlight w:val="none"/>
        </w:rPr>
        <w:t>获得了社会各界群众的广泛好评。</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b/>
          <w:bCs/>
          <w:color w:val="auto"/>
          <w:sz w:val="32"/>
          <w:szCs w:val="36"/>
          <w:highlight w:val="none"/>
        </w:rPr>
        <w:t>二是农业成果交流展示平台助推我省农业发展。</w:t>
      </w:r>
      <w:r>
        <w:rPr>
          <w:rFonts w:hint="eastAsia" w:ascii="仿宋_GB2312" w:eastAsia="仿宋_GB2312"/>
          <w:color w:val="auto"/>
          <w:sz w:val="32"/>
          <w:szCs w:val="36"/>
          <w:highlight w:val="none"/>
        </w:rPr>
        <w:t>我省积极组织参加各类农博会、农展会，旨在搭建农业成果交流平台，树立农业品牌，助力先进技术“引进来”、优质产品“走出去”。举办第九届广东现代农业博览会，吸引了</w:t>
      </w:r>
      <w:r>
        <w:rPr>
          <w:rFonts w:ascii="仿宋_GB2312" w:eastAsia="仿宋_GB2312"/>
          <w:color w:val="auto"/>
          <w:sz w:val="32"/>
          <w:szCs w:val="36"/>
          <w:highlight w:val="none"/>
        </w:rPr>
        <w:t>23万多人次参观，</w:t>
      </w:r>
      <w:r>
        <w:rPr>
          <w:rFonts w:hint="eastAsia" w:ascii="仿宋_GB2312" w:eastAsia="仿宋_GB2312"/>
          <w:color w:val="auto"/>
          <w:sz w:val="32"/>
          <w:szCs w:val="36"/>
          <w:highlight w:val="none"/>
        </w:rPr>
        <w:t>现场贸易额（含意向合同）</w:t>
      </w:r>
      <w:r>
        <w:rPr>
          <w:rFonts w:ascii="仿宋_GB2312" w:eastAsia="仿宋_GB2312"/>
          <w:color w:val="auto"/>
          <w:sz w:val="32"/>
          <w:szCs w:val="36"/>
          <w:highlight w:val="none"/>
        </w:rPr>
        <w:t>59.4 亿元（其中现场签约额 21.8 亿</w:t>
      </w:r>
      <w:r>
        <w:rPr>
          <w:rFonts w:hint="eastAsia" w:ascii="仿宋_GB2312" w:eastAsia="仿宋_GB2312"/>
          <w:color w:val="auto"/>
          <w:sz w:val="32"/>
          <w:szCs w:val="36"/>
          <w:highlight w:val="none"/>
        </w:rPr>
        <w:t>元）。参加第十六届中国国际农产品交易会，我省展团以“粤字品牌·美好生活新坐标”为主题，组织</w:t>
      </w:r>
      <w:r>
        <w:rPr>
          <w:rFonts w:ascii="仿宋_GB2312" w:eastAsia="仿宋_GB2312"/>
          <w:color w:val="auto"/>
          <w:sz w:val="32"/>
          <w:szCs w:val="36"/>
          <w:highlight w:val="none"/>
        </w:rPr>
        <w:t>113家</w:t>
      </w:r>
      <w:r>
        <w:rPr>
          <w:rFonts w:hint="eastAsia" w:ascii="仿宋_GB2312" w:eastAsia="仿宋_GB2312"/>
          <w:color w:val="auto"/>
          <w:sz w:val="32"/>
          <w:szCs w:val="36"/>
          <w:highlight w:val="none"/>
        </w:rPr>
        <w:t>企业参展</w:t>
      </w:r>
      <w:r>
        <w:rPr>
          <w:rFonts w:ascii="仿宋_GB2312" w:eastAsia="仿宋_GB2312"/>
          <w:color w:val="auto"/>
          <w:sz w:val="32"/>
          <w:szCs w:val="36"/>
          <w:highlight w:val="none"/>
        </w:rPr>
        <w:t>，</w:t>
      </w:r>
      <w:r>
        <w:rPr>
          <w:rFonts w:hint="eastAsia" w:ascii="仿宋_GB2312" w:eastAsia="仿宋_GB2312"/>
          <w:color w:val="auto"/>
          <w:sz w:val="32"/>
          <w:szCs w:val="36"/>
          <w:highlight w:val="none"/>
        </w:rPr>
        <w:t>荣获大会组委会颁发“最佳组织奖”，省级展区和农垦展区共有</w:t>
      </w:r>
      <w:r>
        <w:rPr>
          <w:rFonts w:ascii="仿宋_GB2312" w:eastAsia="仿宋_GB2312"/>
          <w:color w:val="auto"/>
          <w:sz w:val="32"/>
          <w:szCs w:val="36"/>
          <w:highlight w:val="none"/>
        </w:rPr>
        <w:t xml:space="preserve"> 15 个参展农产品获评“参展农</w:t>
      </w:r>
      <w:r>
        <w:rPr>
          <w:rFonts w:hint="eastAsia" w:ascii="仿宋_GB2312" w:eastAsia="仿宋_GB2312"/>
          <w:color w:val="auto"/>
          <w:sz w:val="32"/>
          <w:szCs w:val="36"/>
          <w:highlight w:val="none"/>
        </w:rPr>
        <w:t>产品金奖”，</w:t>
      </w:r>
      <w:r>
        <w:rPr>
          <w:rFonts w:ascii="仿宋_GB2312" w:eastAsia="仿宋_GB2312"/>
          <w:color w:val="auto"/>
          <w:sz w:val="32"/>
          <w:szCs w:val="36"/>
          <w:highlight w:val="none"/>
        </w:rPr>
        <w:t>现场销售额 636</w:t>
      </w:r>
      <w:r>
        <w:rPr>
          <w:rFonts w:hint="eastAsia" w:ascii="仿宋_GB2312" w:eastAsia="仿宋_GB2312"/>
          <w:color w:val="auto"/>
          <w:sz w:val="32"/>
          <w:szCs w:val="36"/>
          <w:highlight w:val="none"/>
        </w:rPr>
        <w:t>万元，现场贸易额</w:t>
      </w:r>
      <w:r>
        <w:rPr>
          <w:rFonts w:ascii="仿宋_GB2312" w:eastAsia="仿宋_GB2312"/>
          <w:color w:val="auto"/>
          <w:sz w:val="32"/>
          <w:szCs w:val="36"/>
          <w:highlight w:val="none"/>
        </w:rPr>
        <w:t xml:space="preserve"> 17.53 亿元（含意向合同）</w:t>
      </w:r>
      <w:r>
        <w:rPr>
          <w:rFonts w:hint="eastAsia" w:ascii="仿宋_GB2312" w:eastAsia="仿宋_GB2312"/>
          <w:color w:val="auto"/>
          <w:sz w:val="32"/>
          <w:szCs w:val="36"/>
          <w:highlight w:val="none"/>
        </w:rPr>
        <w:t>。</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b/>
          <w:bCs/>
          <w:color w:val="auto"/>
          <w:sz w:val="32"/>
          <w:szCs w:val="36"/>
          <w:highlight w:val="none"/>
        </w:rPr>
        <w:t>三是“互联网</w:t>
      </w:r>
      <w:r>
        <w:rPr>
          <w:rFonts w:ascii="仿宋_GB2312" w:eastAsia="仿宋_GB2312"/>
          <w:b/>
          <w:bCs/>
          <w:color w:val="auto"/>
          <w:sz w:val="32"/>
          <w:szCs w:val="36"/>
          <w:highlight w:val="none"/>
        </w:rPr>
        <w:t>+</w:t>
      </w:r>
      <w:r>
        <w:rPr>
          <w:rFonts w:hint="eastAsia" w:ascii="仿宋_GB2312" w:eastAsia="仿宋_GB2312"/>
          <w:b/>
          <w:bCs/>
          <w:color w:val="auto"/>
          <w:sz w:val="32"/>
          <w:szCs w:val="36"/>
          <w:highlight w:val="none"/>
        </w:rPr>
        <w:t>”</w:t>
      </w:r>
      <w:r>
        <w:rPr>
          <w:rFonts w:ascii="仿宋_GB2312" w:eastAsia="仿宋_GB2312"/>
          <w:b/>
          <w:bCs/>
          <w:color w:val="auto"/>
          <w:sz w:val="32"/>
          <w:szCs w:val="36"/>
          <w:highlight w:val="none"/>
        </w:rPr>
        <w:t>品牌宣传推广</w:t>
      </w:r>
      <w:r>
        <w:rPr>
          <w:rFonts w:hint="eastAsia" w:ascii="仿宋_GB2312" w:eastAsia="仿宋_GB2312"/>
          <w:b/>
          <w:bCs/>
          <w:color w:val="auto"/>
          <w:sz w:val="32"/>
          <w:szCs w:val="36"/>
          <w:highlight w:val="none"/>
        </w:rPr>
        <w:t>效果显著。</w:t>
      </w:r>
      <w:r>
        <w:rPr>
          <w:rFonts w:hint="eastAsia" w:ascii="仿宋_GB2312" w:hAnsi="仿宋_GB2312" w:eastAsia="仿宋_GB2312" w:cs="仿宋_GB2312"/>
          <w:color w:val="auto"/>
          <w:sz w:val="32"/>
          <w:szCs w:val="32"/>
          <w:highlight w:val="none"/>
          <w:shd w:val="clear" w:color="auto" w:fill="FFFFFF"/>
        </w:rPr>
        <w:t>广东品牌农产品宣传推介及管理采购项目通过拓展农产品省内外推介渠道，充分利用电商、社区、机团等职工渠道，在省内外举办了12场“粤字号”品牌农产品推介活动，活动开拓大型社区32个，社区微商自媒体群50余个，电商平台25个，采购商300余名，并建立了“茶业粤军”工作群，获得了农业农村部主办的中国国际茶业博览会颁发的“最受消费者喜爱展销区”荣誉。建立了品牌农产品宣传报道专栏，重点宣传了30个区域公用品牌和50个经营专用品牌，宣传报道共180余篇，报道转载阅读量超8000万次。定期总结形成广东农业品牌工作亮点，编制6期农业品牌推介工作简报。</w:t>
      </w:r>
    </w:p>
    <w:p>
      <w:pPr>
        <w:spacing w:line="360" w:lineRule="auto"/>
        <w:ind w:firstLine="640" w:firstLineChars="200"/>
        <w:rPr>
          <w:rFonts w:ascii="仿宋_GB2312" w:eastAsia="仿宋_GB2312"/>
          <w:color w:val="auto"/>
          <w:sz w:val="32"/>
          <w:szCs w:val="36"/>
          <w:highlight w:val="none"/>
        </w:rPr>
      </w:pPr>
      <w:r>
        <w:rPr>
          <w:rFonts w:hint="eastAsia" w:ascii="仿宋_GB2312" w:eastAsia="仿宋_GB2312"/>
          <w:b/>
          <w:bCs/>
          <w:color w:val="auto"/>
          <w:sz w:val="32"/>
          <w:szCs w:val="36"/>
          <w:highlight w:val="none"/>
        </w:rPr>
        <w:t>8．深化农业农村改革，脱贫攻坚成效显著。</w:t>
      </w:r>
    </w:p>
    <w:p>
      <w:pPr>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eastAsia="仿宋_GB2312"/>
          <w:b/>
          <w:bCs/>
          <w:color w:val="auto"/>
          <w:sz w:val="32"/>
          <w:szCs w:val="36"/>
          <w:highlight w:val="none"/>
        </w:rPr>
        <w:t>一是</w:t>
      </w:r>
      <w:r>
        <w:rPr>
          <w:rFonts w:hint="eastAsia" w:ascii="仿宋_GB2312" w:hAnsi="仿宋_GB2312" w:eastAsia="仿宋_GB2312" w:cs="仿宋_GB2312"/>
          <w:b/>
          <w:bCs/>
          <w:color w:val="auto"/>
          <w:sz w:val="32"/>
          <w:szCs w:val="32"/>
          <w:highlight w:val="none"/>
        </w:rPr>
        <w:t>农村承包地确权工作取得明显成效。</w:t>
      </w:r>
      <w:r>
        <w:rPr>
          <w:rFonts w:hint="eastAsia" w:ascii="仿宋_GB2312" w:hAnsi="仿宋_GB2312" w:eastAsia="仿宋_GB2312" w:cs="仿宋_GB2312"/>
          <w:color w:val="auto"/>
          <w:sz w:val="32"/>
          <w:szCs w:val="32"/>
          <w:highlight w:val="none"/>
        </w:rPr>
        <w:t>我省积极组织督查督导，开展省级抽查，重点核查确权13步工作流程的执行情况、颁证到户情况，农民群众对确权工作满意度等情况，截至2</w:t>
      </w:r>
      <w:r>
        <w:rPr>
          <w:rFonts w:ascii="仿宋_GB2312" w:hAnsi="仿宋_GB2312" w:eastAsia="仿宋_GB2312" w:cs="仿宋_GB2312"/>
          <w:color w:val="auto"/>
          <w:sz w:val="32"/>
          <w:szCs w:val="32"/>
          <w:highlight w:val="none"/>
        </w:rPr>
        <w:t>018</w:t>
      </w:r>
      <w:r>
        <w:rPr>
          <w:rFonts w:hint="eastAsia" w:ascii="仿宋_GB2312" w:hAnsi="仿宋_GB2312" w:eastAsia="仿宋_GB2312" w:cs="仿宋_GB2312"/>
          <w:color w:val="auto"/>
          <w:sz w:val="32"/>
          <w:szCs w:val="32"/>
          <w:highlight w:val="none"/>
        </w:rPr>
        <w:t>年10月底，确权登记颁证工作基本完成，共确权到户承包地面积3435.87万亩，占承包地总面积的97.59%；颁发承包经营权证书1072.72万本，颁证率97.75%；第三方抽查评估结果显示，群众满意度达95.09%。128个确权单位的数据库成果全部通过农业农村部初检，20个地级以上市（不含深圳）全部通过市级验收和省级抽查。</w:t>
      </w:r>
    </w:p>
    <w:p>
      <w:pPr>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eastAsia="仿宋_GB2312"/>
          <w:b/>
          <w:bCs/>
          <w:color w:val="auto"/>
          <w:sz w:val="32"/>
          <w:szCs w:val="36"/>
          <w:highlight w:val="none"/>
        </w:rPr>
        <w:t>二是</w:t>
      </w:r>
      <w:r>
        <w:rPr>
          <w:rFonts w:hint="eastAsia" w:ascii="仿宋_GB2312" w:hAnsi="楷体_GB2312" w:eastAsia="仿宋_GB2312" w:cs="楷体_GB2312"/>
          <w:b/>
          <w:bCs/>
          <w:color w:val="auto"/>
          <w:sz w:val="32"/>
          <w:szCs w:val="32"/>
          <w:highlight w:val="none"/>
        </w:rPr>
        <w:t>农村集体产权制度改革稳步推进。</w:t>
      </w:r>
      <w:r>
        <w:rPr>
          <w:rFonts w:hint="eastAsia" w:ascii="仿宋_GB2312" w:hAnsi="仿宋_GB2312" w:eastAsia="仿宋_GB2312"/>
          <w:color w:val="auto"/>
          <w:sz w:val="32"/>
          <w:szCs w:val="36"/>
          <w:highlight w:val="none"/>
        </w:rPr>
        <w:t>按照国家和省的部署要求，</w:t>
      </w:r>
      <w:r>
        <w:rPr>
          <w:rFonts w:hint="eastAsia" w:ascii="仿宋_GB2312" w:hAnsi="仿宋_GB2312" w:eastAsia="仿宋_GB2312" w:cs="仿宋_GB2312"/>
          <w:color w:val="auto"/>
          <w:kern w:val="0"/>
          <w:sz w:val="32"/>
          <w:szCs w:val="32"/>
          <w:highlight w:val="none"/>
        </w:rPr>
        <w:t>全面部署开展清产核资，深入推进农村集体产权制度改革试点，</w:t>
      </w:r>
      <w:r>
        <w:rPr>
          <w:rFonts w:hint="eastAsia" w:ascii="仿宋_GB2312" w:hAnsi="仿宋_GB2312" w:eastAsia="仿宋_GB2312"/>
          <w:color w:val="auto"/>
          <w:sz w:val="32"/>
          <w:szCs w:val="36"/>
          <w:highlight w:val="none"/>
        </w:rPr>
        <w:t>稳步推进我省农村集体产权制度改革工作落地落实。</w:t>
      </w:r>
      <w:r>
        <w:rPr>
          <w:rFonts w:hint="eastAsia" w:ascii="仿宋_GB2312" w:hAnsi="仿宋_GB2312" w:eastAsia="仿宋_GB2312" w:cs="仿宋_GB2312"/>
          <w:color w:val="auto"/>
          <w:sz w:val="32"/>
          <w:szCs w:val="32"/>
          <w:highlight w:val="none"/>
        </w:rPr>
        <w:t>强化统筹部署，</w:t>
      </w:r>
      <w:r>
        <w:rPr>
          <w:rFonts w:hint="eastAsia" w:ascii="仿宋_GB2312" w:hAnsi="仿宋_GB2312" w:eastAsia="仿宋_GB2312" w:cs="仿宋_GB2312"/>
          <w:color w:val="auto"/>
          <w:kern w:val="0"/>
          <w:sz w:val="32"/>
          <w:szCs w:val="40"/>
          <w:highlight w:val="none"/>
        </w:rPr>
        <w:t>组织召开工作推进会、</w:t>
      </w:r>
      <w:r>
        <w:rPr>
          <w:rFonts w:hint="eastAsia" w:ascii="仿宋_GB2312" w:hAnsi="仿宋_GB2312" w:eastAsia="仿宋_GB2312" w:cs="仿宋_GB2312"/>
          <w:color w:val="auto"/>
          <w:kern w:val="0"/>
          <w:sz w:val="32"/>
          <w:szCs w:val="32"/>
          <w:highlight w:val="none"/>
        </w:rPr>
        <w:t>改革试点工作座谈会。</w:t>
      </w:r>
      <w:r>
        <w:rPr>
          <w:rFonts w:hint="eastAsia" w:ascii="仿宋_GB2312" w:hAnsi="仿宋_GB2312" w:eastAsia="仿宋_GB2312" w:cs="仿宋_GB2312"/>
          <w:color w:val="auto"/>
          <w:sz w:val="32"/>
          <w:szCs w:val="32"/>
          <w:highlight w:val="none"/>
        </w:rPr>
        <w:t>实施全覆盖培训，</w:t>
      </w:r>
      <w:r>
        <w:rPr>
          <w:rFonts w:hint="eastAsia" w:ascii="仿宋_GB2312" w:hAnsi="仿宋_GB2312" w:eastAsia="仿宋_GB2312" w:cs="仿宋_GB2312"/>
          <w:color w:val="auto"/>
          <w:sz w:val="32"/>
          <w:szCs w:val="40"/>
          <w:highlight w:val="none"/>
        </w:rPr>
        <w:t>举办各类专题培训班，</w:t>
      </w:r>
      <w:r>
        <w:rPr>
          <w:rFonts w:hint="eastAsia" w:ascii="仿宋_GB2312" w:hAnsi="仿宋_GB2312" w:eastAsia="仿宋_GB2312" w:cs="仿宋_GB2312"/>
          <w:color w:val="auto"/>
          <w:sz w:val="32"/>
          <w:szCs w:val="32"/>
          <w:highlight w:val="none"/>
        </w:rPr>
        <w:t>全方位开展宣传。加强试点示范，加强业务指导</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sz w:val="32"/>
          <w:szCs w:val="32"/>
          <w:highlight w:val="none"/>
        </w:rPr>
        <w:t>加强督查督导。</w:t>
      </w:r>
      <w:r>
        <w:rPr>
          <w:rFonts w:hint="eastAsia" w:ascii="仿宋_GB2312" w:hAnsi="仿宋_GB2312" w:eastAsia="仿宋_GB2312" w:cs="仿宋_GB2312"/>
          <w:color w:val="auto"/>
          <w:kern w:val="0"/>
          <w:sz w:val="32"/>
          <w:szCs w:val="32"/>
          <w:highlight w:val="none"/>
        </w:rPr>
        <w:t>截至2018年10月底，全省已有12.88万个集体经济组织完成了清产核资工作，38531个集体经济组织完成了改革，共量化农村集体资产总额3918.95亿元，确认成员身份958万人，颁发股权证395万本。</w:t>
      </w:r>
    </w:p>
    <w:p>
      <w:pPr>
        <w:adjustRightInd w:val="0"/>
        <w:snapToGrid w:val="0"/>
        <w:spacing w:line="360" w:lineRule="auto"/>
        <w:ind w:firstLine="684" w:firstLineChars="200"/>
        <w:rPr>
          <w:rFonts w:ascii="仿宋_GB2312" w:hAnsi="仿宋_GB2312" w:eastAsia="仿宋_GB2312" w:cs="仿宋_GB2312"/>
          <w:bCs/>
          <w:snapToGrid w:val="0"/>
          <w:color w:val="auto"/>
          <w:kern w:val="0"/>
          <w:sz w:val="32"/>
          <w:szCs w:val="32"/>
          <w:highlight w:val="none"/>
        </w:rPr>
      </w:pPr>
      <w:r>
        <w:rPr>
          <w:rFonts w:hint="eastAsia" w:ascii="仿宋_GB2312" w:hAnsi="宋体" w:eastAsia="仿宋_GB2312"/>
          <w:b/>
          <w:bCs/>
          <w:color w:val="auto"/>
          <w:spacing w:val="11"/>
          <w:sz w:val="32"/>
          <w:szCs w:val="32"/>
          <w:highlight w:val="none"/>
        </w:rPr>
        <w:t>三是有效</w:t>
      </w:r>
      <w:r>
        <w:rPr>
          <w:rFonts w:hint="eastAsia" w:ascii="仿宋_GB2312" w:hAnsi="仿宋_GB2312" w:eastAsia="仿宋_GB2312"/>
          <w:b/>
          <w:bCs/>
          <w:color w:val="auto"/>
          <w:sz w:val="32"/>
          <w:szCs w:val="32"/>
          <w:highlight w:val="none"/>
        </w:rPr>
        <w:t>落实农民负担监管。</w:t>
      </w:r>
      <w:r>
        <w:rPr>
          <w:rFonts w:hint="eastAsia" w:ascii="仿宋_GB2312" w:eastAsia="仿宋_GB2312"/>
          <w:color w:val="auto"/>
          <w:sz w:val="32"/>
          <w:szCs w:val="32"/>
          <w:highlight w:val="none"/>
        </w:rPr>
        <w:t>按</w:t>
      </w:r>
      <w:r>
        <w:rPr>
          <w:rFonts w:hint="eastAsia" w:ascii="仿宋_GB2312" w:hAnsi="仿宋_GB2312" w:eastAsia="仿宋_GB2312" w:cs="仿宋_GB2312"/>
          <w:bCs/>
          <w:color w:val="auto"/>
          <w:kern w:val="0"/>
          <w:sz w:val="32"/>
          <w:szCs w:val="32"/>
          <w:highlight w:val="none"/>
        </w:rPr>
        <w:t>农业农村部农民负担监督管理办公室的要求认真开展农民负担监管工作督导、</w:t>
      </w:r>
      <w:r>
        <w:rPr>
          <w:rFonts w:hint="eastAsia" w:ascii="仿宋_GB2312" w:hAnsi="仿宋_GB2312" w:eastAsia="仿宋_GB2312" w:cs="仿宋_GB2312"/>
          <w:color w:val="auto"/>
          <w:kern w:val="0"/>
          <w:sz w:val="32"/>
          <w:szCs w:val="32"/>
          <w:highlight w:val="none"/>
        </w:rPr>
        <w:t>农民负担专项治理等工作；全力</w:t>
      </w:r>
      <w:r>
        <w:rPr>
          <w:rFonts w:hint="eastAsia" w:ascii="仿宋_GB2312" w:eastAsia="仿宋_GB2312"/>
          <w:color w:val="auto"/>
          <w:sz w:val="32"/>
          <w:szCs w:val="32"/>
          <w:highlight w:val="none"/>
        </w:rPr>
        <w:t>做好我省4个</w:t>
      </w:r>
      <w:r>
        <w:rPr>
          <w:rFonts w:hint="eastAsia" w:ascii="仿宋_GB2312" w:hAnsi="宋体" w:eastAsia="仿宋_GB2312" w:cs="仿宋_GB2312"/>
          <w:color w:val="auto"/>
          <w:kern w:val="0"/>
          <w:sz w:val="32"/>
          <w:szCs w:val="32"/>
          <w:highlight w:val="none"/>
        </w:rPr>
        <w:t>全国农民负担监测县监测</w:t>
      </w:r>
      <w:r>
        <w:rPr>
          <w:rFonts w:hint="eastAsia" w:ascii="仿宋_GB2312" w:eastAsia="仿宋_GB2312"/>
          <w:color w:val="auto"/>
          <w:sz w:val="32"/>
          <w:szCs w:val="32"/>
          <w:highlight w:val="none"/>
        </w:rPr>
        <w:t>和对全省108个涉农县的648个村和3240户农户的负担长期定位监测。</w:t>
      </w:r>
      <w:r>
        <w:rPr>
          <w:rFonts w:hint="eastAsia" w:ascii="仿宋_GB2312" w:hAnsi="华文仿宋" w:eastAsia="仿宋_GB2312"/>
          <w:color w:val="auto"/>
          <w:kern w:val="0"/>
          <w:sz w:val="32"/>
          <w:szCs w:val="32"/>
          <w:highlight w:val="none"/>
        </w:rPr>
        <w:t>重点治理向村级组织乱收费乱摊派行为，日常工作中以维护农民合法权益为主线，以规范涉农收费管理为重点，加强对涉农收费行为的监管。</w:t>
      </w:r>
    </w:p>
    <w:p>
      <w:pPr>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eastAsia="仿宋_GB2312"/>
          <w:b/>
          <w:bCs/>
          <w:color w:val="auto"/>
          <w:sz w:val="32"/>
          <w:szCs w:val="36"/>
          <w:highlight w:val="none"/>
        </w:rPr>
        <w:t>四是产业精准扶贫合力推动贫困户增收脱贫。</w:t>
      </w:r>
      <w:r>
        <w:rPr>
          <w:rFonts w:hint="eastAsia" w:ascii="仿宋_GB2312" w:hAnsi="仿宋_GB2312" w:eastAsia="仿宋_GB2312" w:cs="仿宋_GB2312"/>
          <w:color w:val="auto"/>
          <w:kern w:val="0"/>
          <w:sz w:val="32"/>
          <w:szCs w:val="32"/>
          <w:highlight w:val="none"/>
        </w:rPr>
        <w:t>各地</w:t>
      </w:r>
      <w:r>
        <w:rPr>
          <w:rFonts w:hint="eastAsia" w:ascii="仿宋_GB2312" w:hAnsi="仿宋_GB2312" w:eastAsia="仿宋_GB2312" w:cs="仿宋_GB2312"/>
          <w:color w:val="auto"/>
          <w:sz w:val="32"/>
          <w:szCs w:val="32"/>
          <w:highlight w:val="none"/>
        </w:rPr>
        <w:t>因地制宜，以建立利益联结为导向，</w:t>
      </w:r>
      <w:r>
        <w:rPr>
          <w:rFonts w:hint="eastAsia" w:ascii="仿宋_GB2312" w:hAnsi="仿宋_GB2312" w:eastAsia="仿宋_GB2312" w:cs="仿宋_GB2312"/>
          <w:color w:val="auto"/>
          <w:kern w:val="0"/>
          <w:sz w:val="32"/>
          <w:szCs w:val="32"/>
          <w:highlight w:val="none"/>
        </w:rPr>
        <w:t>开展农业产业精准扶贫示范项目，</w:t>
      </w:r>
      <w:r>
        <w:rPr>
          <w:rFonts w:hint="eastAsia" w:ascii="仿宋_GB2312" w:hAnsi="仿宋_GB2312" w:eastAsia="仿宋_GB2312" w:cs="仿宋_GB2312"/>
          <w:color w:val="auto"/>
          <w:sz w:val="32"/>
          <w:szCs w:val="32"/>
          <w:highlight w:val="none"/>
        </w:rPr>
        <w:t>为贫困人口实现稳定脱贫、贫困村出列奠定了坚实基础。</w:t>
      </w:r>
      <w:r>
        <w:rPr>
          <w:rFonts w:hint="eastAsia" w:ascii="仿宋_GB2312" w:hAnsi="仿宋_GB2312" w:eastAsia="仿宋_GB2312" w:cs="仿宋_GB2312"/>
          <w:color w:val="auto"/>
          <w:spacing w:val="11"/>
          <w:sz w:val="32"/>
          <w:szCs w:val="32"/>
          <w:highlight w:val="none"/>
        </w:rPr>
        <w:t>截至2018年底，全省2277个省定相对贫困村建有农业特色产业4578个，</w:t>
      </w:r>
      <w:r>
        <w:rPr>
          <w:rFonts w:hint="eastAsia" w:ascii="仿宋_GB2312" w:hAnsi="仿宋_GB2312" w:eastAsia="仿宋_GB2312" w:cs="仿宋_GB2312"/>
          <w:color w:val="auto"/>
          <w:sz w:val="32"/>
          <w:szCs w:val="32"/>
          <w:highlight w:val="none"/>
        </w:rPr>
        <w:t>通过现代农业产业园、“一村一品”“一镇一业”、开展农业产业扶贫示范等项目建设，</w:t>
      </w:r>
      <w:r>
        <w:rPr>
          <w:rFonts w:hint="eastAsia" w:ascii="仿宋_GB2312" w:hAnsi="仿宋_GB2312" w:eastAsia="仿宋_GB2312" w:cs="仿宋_GB2312"/>
          <w:color w:val="auto"/>
          <w:spacing w:val="11"/>
          <w:sz w:val="32"/>
          <w:szCs w:val="32"/>
          <w:highlight w:val="none"/>
          <w:shd w:val="clear" w:color="auto" w:fill="FFFFFF"/>
        </w:rPr>
        <w:t>提升贫困地区农业产业造血功能,</w:t>
      </w:r>
      <w:r>
        <w:rPr>
          <w:rFonts w:hint="eastAsia" w:ascii="仿宋_GB2312" w:hAnsi="仿宋_GB2312" w:eastAsia="仿宋_GB2312" w:cs="仿宋_GB2312"/>
          <w:color w:val="auto"/>
          <w:sz w:val="32"/>
          <w:szCs w:val="32"/>
          <w:highlight w:val="none"/>
        </w:rPr>
        <w:t>基本形成了每个贫困村都有一个主导种养产业</w:t>
      </w:r>
      <w:r>
        <w:rPr>
          <w:rFonts w:hint="eastAsia" w:ascii="仿宋_GB2312" w:hAnsi="仿宋_GB2312" w:eastAsia="仿宋_GB2312" w:cs="仿宋_GB2312"/>
          <w:color w:val="auto"/>
          <w:spacing w:val="11"/>
          <w:sz w:val="32"/>
          <w:szCs w:val="32"/>
          <w:highlight w:val="none"/>
          <w:shd w:val="clear" w:color="auto" w:fill="FFFFFF"/>
        </w:rPr>
        <w:t>。</w:t>
      </w:r>
    </w:p>
    <w:p>
      <w:pPr>
        <w:spacing w:line="360" w:lineRule="auto"/>
        <w:ind w:firstLine="640" w:firstLineChars="200"/>
        <w:outlineLvl w:val="1"/>
        <w:rPr>
          <w:rFonts w:ascii="楷体_GB2312" w:eastAsia="楷体_GB2312"/>
          <w:b/>
          <w:bCs/>
          <w:color w:val="auto"/>
          <w:sz w:val="32"/>
          <w:szCs w:val="36"/>
          <w:highlight w:val="none"/>
        </w:rPr>
      </w:pPr>
      <w:bookmarkStart w:id="107" w:name="_Toc12112"/>
      <w:bookmarkStart w:id="108" w:name="_Toc15140524"/>
      <w:bookmarkStart w:id="109" w:name="_Toc15140305"/>
      <w:bookmarkStart w:id="110" w:name="_Toc15140385"/>
      <w:bookmarkStart w:id="111" w:name="_Toc23567"/>
      <w:r>
        <w:rPr>
          <w:rFonts w:hint="eastAsia" w:ascii="楷体_GB2312" w:eastAsia="楷体_GB2312"/>
          <w:b/>
          <w:bCs/>
          <w:color w:val="auto"/>
          <w:sz w:val="32"/>
          <w:szCs w:val="36"/>
          <w:highlight w:val="none"/>
        </w:rPr>
        <w:t>（二）存在问题</w:t>
      </w:r>
      <w:bookmarkEnd w:id="107"/>
      <w:bookmarkEnd w:id="108"/>
      <w:bookmarkEnd w:id="109"/>
      <w:bookmarkEnd w:id="110"/>
      <w:bookmarkEnd w:id="111"/>
    </w:p>
    <w:p>
      <w:pPr>
        <w:spacing w:line="360" w:lineRule="auto"/>
        <w:ind w:firstLine="640" w:firstLineChars="200"/>
        <w:rPr>
          <w:rFonts w:ascii="仿宋_GB2312" w:eastAsia="仿宋_GB2312"/>
          <w:b/>
          <w:bCs/>
          <w:color w:val="auto"/>
          <w:sz w:val="32"/>
          <w:szCs w:val="36"/>
          <w:highlight w:val="none"/>
        </w:rPr>
      </w:pPr>
      <w:r>
        <w:rPr>
          <w:rFonts w:hint="eastAsia" w:ascii="仿宋_GB2312" w:eastAsia="仿宋_GB2312"/>
          <w:b/>
          <w:bCs/>
          <w:color w:val="auto"/>
          <w:sz w:val="32"/>
          <w:szCs w:val="36"/>
          <w:highlight w:val="none"/>
        </w:rPr>
        <w:t>1．实施</w:t>
      </w:r>
      <w:r>
        <w:rPr>
          <w:rFonts w:ascii="仿宋_GB2312" w:eastAsia="仿宋_GB2312"/>
          <w:b/>
          <w:bCs/>
          <w:color w:val="auto"/>
          <w:sz w:val="32"/>
          <w:szCs w:val="36"/>
          <w:highlight w:val="none"/>
        </w:rPr>
        <w:t>省级专项转移支付</w:t>
      </w:r>
      <w:r>
        <w:rPr>
          <w:rFonts w:hint="eastAsia" w:ascii="仿宋_GB2312" w:eastAsia="仿宋_GB2312"/>
          <w:b/>
          <w:bCs/>
          <w:color w:val="auto"/>
          <w:sz w:val="32"/>
          <w:szCs w:val="36"/>
          <w:highlight w:val="none"/>
        </w:rPr>
        <w:t>“</w:t>
      </w:r>
      <w:r>
        <w:rPr>
          <w:rFonts w:ascii="仿宋_GB2312" w:eastAsia="仿宋_GB2312"/>
          <w:b/>
          <w:bCs/>
          <w:color w:val="auto"/>
          <w:sz w:val="32"/>
          <w:szCs w:val="36"/>
          <w:highlight w:val="none"/>
        </w:rPr>
        <w:t>大专项+任务</w:t>
      </w:r>
      <w:r>
        <w:rPr>
          <w:rFonts w:hint="eastAsia" w:ascii="仿宋_GB2312" w:eastAsia="仿宋_GB2312"/>
          <w:b/>
          <w:bCs/>
          <w:color w:val="auto"/>
          <w:sz w:val="32"/>
          <w:szCs w:val="36"/>
          <w:highlight w:val="none"/>
        </w:rPr>
        <w:t>清单”管理方式的经验不足，项目整体推进效率不够理想。</w:t>
      </w:r>
    </w:p>
    <w:p>
      <w:pPr>
        <w:spacing w:line="360" w:lineRule="auto"/>
        <w:ind w:firstLine="624" w:firstLineChars="200"/>
        <w:rPr>
          <w:rFonts w:ascii="仿宋_GB2312" w:hAnsi="仿宋_GB2312" w:cs="仿宋_GB2312"/>
          <w:color w:val="auto"/>
          <w:sz w:val="32"/>
          <w:szCs w:val="32"/>
          <w:highlight w:val="none"/>
        </w:rPr>
      </w:pPr>
      <w:r>
        <w:rPr>
          <w:rFonts w:hint="eastAsia" w:ascii="仿宋_GB2312" w:eastAsia="仿宋_GB2312"/>
          <w:color w:val="auto"/>
          <w:spacing w:val="-4"/>
          <w:sz w:val="32"/>
          <w:highlight w:val="none"/>
        </w:rPr>
        <w:t>2018年，省级专项资金根据“大专项+任务清单”管理方式要求，我厅会同省财政厅采取因素法测算安排专项资金，将专项资金整体切块下达到市县，并按照相关项目管理办法，根据国家和我省确定的年度农业农村构建现代农业体系重点工作，研究提出各地具体任务清单，区分约束性任务和指导性任务，实施差别化管理并细化到各地级以上市和省财政直管县，约束性任务需进行考核，指导性任务不作为考核硬性指标。任务清单逐级下达，县级主管部门按任务清单组织实施项目建设。由于2018的是实施“大专项+任务清单”管理方式的第一年，各级业务主管部门缺少这方面的工作经验，部分省级专项资金预算指标分配和任务清单下达有滞后的情况，不少市县对“大专项+任务清单”管理方式尚未适应，在逐级分解下达上级下达的预算指标和任务清单时耗费了大量时间，影响了项目的实施进度和资金支付效率。</w:t>
      </w:r>
    </w:p>
    <w:p>
      <w:pPr>
        <w:spacing w:line="360" w:lineRule="auto"/>
        <w:ind w:firstLine="640" w:firstLineChars="200"/>
        <w:rPr>
          <w:rFonts w:ascii="仿宋_GB2312" w:eastAsia="仿宋_GB2312"/>
          <w:b/>
          <w:bCs/>
          <w:color w:val="auto"/>
          <w:sz w:val="32"/>
          <w:szCs w:val="36"/>
          <w:highlight w:val="none"/>
        </w:rPr>
      </w:pPr>
      <w:r>
        <w:rPr>
          <w:rFonts w:hint="eastAsia" w:ascii="仿宋_GB2312" w:eastAsia="仿宋_GB2312"/>
          <w:b/>
          <w:bCs/>
          <w:color w:val="auto"/>
          <w:sz w:val="32"/>
          <w:szCs w:val="36"/>
          <w:highlight w:val="none"/>
        </w:rPr>
        <w:t>2．专项资金事项管理的科学性、规范性仍有待加强。</w:t>
      </w:r>
    </w:p>
    <w:p>
      <w:pPr>
        <w:spacing w:line="360" w:lineRule="auto"/>
        <w:ind w:firstLine="640" w:firstLineChars="200"/>
        <w:rPr>
          <w:color w:val="auto"/>
          <w:highlight w:val="none"/>
        </w:rPr>
      </w:pPr>
      <w:r>
        <w:rPr>
          <w:rFonts w:hint="eastAsia" w:ascii="仿宋_GB2312" w:hAnsi="仿宋" w:eastAsia="仿宋_GB2312" w:cs="仿宋"/>
          <w:color w:val="auto"/>
          <w:sz w:val="32"/>
          <w:szCs w:val="32"/>
          <w:highlight w:val="none"/>
          <w:shd w:val="clear" w:color="auto" w:fill="FFFFFF"/>
        </w:rPr>
        <w:t>一是个别项目还存在实施程序、支出方式不够规范的情况。二是部分专项资金项目管理过程不够严密，少数项目未严格执行工作计划的进度安排，实施进度滞后。三是部分地区项目主管部门检查、监控、督促整改责任落实不够到位，存在“重申报、轻实施、轻绩效”的现象，部分市县主管部门</w:t>
      </w:r>
      <w:r>
        <w:rPr>
          <w:rFonts w:hint="eastAsia" w:ascii="仿宋_GB2312" w:eastAsia="仿宋_GB2312"/>
          <w:color w:val="auto"/>
          <w:sz w:val="32"/>
          <w:szCs w:val="36"/>
          <w:highlight w:val="none"/>
        </w:rPr>
        <w:t>监管效率低，项目实施进度和质量不平衡。</w:t>
      </w:r>
    </w:p>
    <w:p>
      <w:pPr>
        <w:spacing w:line="360" w:lineRule="auto"/>
        <w:ind w:firstLine="640" w:firstLineChars="200"/>
        <w:rPr>
          <w:rFonts w:ascii="楷体_GB2312" w:hAnsi="黑体" w:eastAsia="楷体_GB2312"/>
          <w:b/>
          <w:color w:val="auto"/>
          <w:sz w:val="28"/>
          <w:szCs w:val="28"/>
          <w:highlight w:val="none"/>
        </w:rPr>
      </w:pPr>
      <w:r>
        <w:rPr>
          <w:rFonts w:hint="eastAsia" w:ascii="仿宋_GB2312" w:eastAsia="仿宋_GB2312"/>
          <w:b/>
          <w:bCs/>
          <w:color w:val="auto"/>
          <w:sz w:val="32"/>
          <w:szCs w:val="36"/>
          <w:highlight w:val="none"/>
        </w:rPr>
        <w:t>3．农业结构性矛盾仍然存在，现代农业体系的构建仍需加强。</w:t>
      </w:r>
    </w:p>
    <w:p>
      <w:pPr>
        <w:spacing w:line="360" w:lineRule="auto"/>
        <w:ind w:firstLine="684" w:firstLineChars="200"/>
        <w:rPr>
          <w:rFonts w:ascii="仿宋_GB2312" w:hAnsi="仿宋_GB2312" w:eastAsia="仿宋_GB2312" w:cs="仿宋_GB2312"/>
          <w:color w:val="auto"/>
          <w:spacing w:val="11"/>
          <w:sz w:val="32"/>
          <w:szCs w:val="32"/>
          <w:highlight w:val="none"/>
          <w:shd w:val="clear" w:color="auto" w:fill="FFFFFF"/>
        </w:rPr>
      </w:pPr>
      <w:r>
        <w:rPr>
          <w:rFonts w:hint="eastAsia" w:ascii="仿宋_GB2312" w:hAnsi="仿宋_GB2312" w:eastAsia="仿宋_GB2312" w:cs="仿宋_GB2312"/>
          <w:color w:val="auto"/>
          <w:spacing w:val="11"/>
          <w:sz w:val="32"/>
          <w:szCs w:val="32"/>
          <w:highlight w:val="none"/>
          <w:shd w:val="clear" w:color="auto" w:fill="FFFFFF"/>
        </w:rPr>
        <w:t>目前我省农业结构性矛盾仍然存在，部分种类的农产品品种多而不优、品牌杂而不亮、农产品质量不够高端，难以适应农产品消费升级和激烈的市场竞争；新型经营主体整体实力不强，设施农业发展水平不高，统筹整合资源力量推进协同攻关不足，农业科研与转化应用、“产学研”一体化衔接不够紧密，科技成果转化率有待提高等问题，迫切需要构建和完善现代农业体系强化对农业发展的支撑作用。</w:t>
      </w:r>
    </w:p>
    <w:p>
      <w:pPr>
        <w:spacing w:line="360" w:lineRule="auto"/>
        <w:ind w:firstLine="640" w:firstLineChars="200"/>
        <w:rPr>
          <w:rFonts w:ascii="仿宋_GB2312" w:eastAsia="仿宋_GB2312"/>
          <w:b/>
          <w:bCs/>
          <w:color w:val="auto"/>
          <w:sz w:val="32"/>
          <w:szCs w:val="36"/>
          <w:highlight w:val="none"/>
        </w:rPr>
      </w:pPr>
      <w:r>
        <w:rPr>
          <w:rFonts w:hint="eastAsia" w:ascii="仿宋_GB2312" w:eastAsia="仿宋_GB2312"/>
          <w:b/>
          <w:bCs/>
          <w:color w:val="auto"/>
          <w:sz w:val="32"/>
          <w:szCs w:val="36"/>
          <w:highlight w:val="none"/>
        </w:rPr>
        <w:t>4．农业综合效益有待提高，区域之间发展不平衡不充分。</w:t>
      </w:r>
    </w:p>
    <w:p>
      <w:pPr>
        <w:spacing w:line="360" w:lineRule="auto"/>
        <w:ind w:firstLine="684" w:firstLineChars="200"/>
        <w:rPr>
          <w:rFonts w:ascii="仿宋_GB2312" w:hAnsi="仿宋_GB2312" w:eastAsia="仿宋_GB2312" w:cs="仿宋_GB2312"/>
          <w:color w:val="auto"/>
          <w:spacing w:val="11"/>
          <w:sz w:val="32"/>
          <w:szCs w:val="32"/>
          <w:highlight w:val="none"/>
          <w:shd w:val="clear" w:color="auto" w:fill="FFFFFF"/>
        </w:rPr>
      </w:pPr>
      <w:r>
        <w:rPr>
          <w:rFonts w:hint="eastAsia" w:ascii="仿宋_GB2312" w:hAnsi="仿宋_GB2312" w:eastAsia="仿宋_GB2312" w:cs="仿宋_GB2312"/>
          <w:color w:val="auto"/>
          <w:spacing w:val="11"/>
          <w:sz w:val="32"/>
          <w:szCs w:val="32"/>
          <w:highlight w:val="none"/>
          <w:shd w:val="clear" w:color="auto" w:fill="FFFFFF"/>
        </w:rPr>
        <w:t>我省一直坚持农业农村优先发展，但也面临着农业生产步入高成本阶段的挑战，存在农业生产规模化、组织化、产业化水平低等问题。农户分散经营的状况没有根本改变，农业产业链条短，价值链整体仍处于中低端环节，农业综合效益和竞争力亟待提高。我省东西两翼和粤北山区农业基础设施薄弱，产业规模小、产业支撑水平低，农业社会化服务发展滞后，农民增收不平衡，区域之间发展不平衡不充分的情况比较明显。</w:t>
      </w:r>
    </w:p>
    <w:p>
      <w:pPr>
        <w:spacing w:line="360" w:lineRule="auto"/>
        <w:ind w:firstLine="640" w:firstLineChars="200"/>
        <w:outlineLvl w:val="0"/>
        <w:rPr>
          <w:rFonts w:ascii="黑体" w:hAnsi="黑体" w:eastAsia="黑体"/>
          <w:color w:val="auto"/>
          <w:sz w:val="32"/>
          <w:szCs w:val="32"/>
          <w:highlight w:val="none"/>
        </w:rPr>
      </w:pPr>
      <w:bookmarkStart w:id="112" w:name="_Toc16967"/>
      <w:bookmarkStart w:id="113" w:name="_Toc15140525"/>
      <w:bookmarkStart w:id="114" w:name="_Toc31419"/>
      <w:bookmarkStart w:id="115" w:name="_Toc15140306"/>
      <w:bookmarkStart w:id="116" w:name="_Toc15140386"/>
      <w:r>
        <w:rPr>
          <w:rFonts w:hint="eastAsia" w:ascii="黑体" w:hAnsi="黑体" w:eastAsia="黑体"/>
          <w:color w:val="auto"/>
          <w:sz w:val="32"/>
          <w:szCs w:val="32"/>
          <w:highlight w:val="none"/>
        </w:rPr>
        <w:t>三、改进意见（计划）</w:t>
      </w:r>
      <w:bookmarkEnd w:id="112"/>
      <w:bookmarkEnd w:id="113"/>
      <w:bookmarkEnd w:id="114"/>
      <w:bookmarkEnd w:id="115"/>
      <w:bookmarkEnd w:id="116"/>
    </w:p>
    <w:p>
      <w:pPr>
        <w:spacing w:line="360" w:lineRule="auto"/>
        <w:ind w:firstLine="640" w:firstLineChars="200"/>
        <w:rPr>
          <w:rFonts w:ascii="楷体_GB2312" w:eastAsia="楷体_GB2312"/>
          <w:b/>
          <w:bCs/>
          <w:color w:val="auto"/>
          <w:sz w:val="32"/>
          <w:szCs w:val="36"/>
          <w:highlight w:val="none"/>
        </w:rPr>
      </w:pPr>
      <w:r>
        <w:rPr>
          <w:rFonts w:hint="eastAsia" w:ascii="楷体_GB2312" w:eastAsia="楷体_GB2312"/>
          <w:b/>
          <w:bCs/>
          <w:color w:val="auto"/>
          <w:sz w:val="32"/>
          <w:szCs w:val="36"/>
          <w:highlight w:val="none"/>
        </w:rPr>
        <w:t>（一）科学规划立足全局，继续深化专项资金“放管服”改革</w:t>
      </w:r>
    </w:p>
    <w:p>
      <w:pPr>
        <w:spacing w:line="360" w:lineRule="auto"/>
        <w:ind w:firstLine="684" w:firstLineChars="200"/>
        <w:rPr>
          <w:rFonts w:ascii="仿宋_GB2312" w:hAnsi="仿宋_GB2312" w:eastAsia="仿宋_GB2312" w:cs="仿宋_GB2312"/>
          <w:color w:val="auto"/>
          <w:spacing w:val="11"/>
          <w:sz w:val="32"/>
          <w:szCs w:val="32"/>
          <w:highlight w:val="none"/>
          <w:shd w:val="clear" w:color="auto" w:fill="FFFFFF"/>
        </w:rPr>
      </w:pPr>
      <w:r>
        <w:rPr>
          <w:rFonts w:hint="eastAsia" w:ascii="仿宋_GB2312" w:hAnsi="仿宋_GB2312" w:eastAsia="仿宋_GB2312" w:cs="仿宋_GB2312"/>
          <w:color w:val="auto"/>
          <w:spacing w:val="11"/>
          <w:sz w:val="32"/>
          <w:szCs w:val="32"/>
          <w:highlight w:val="none"/>
          <w:shd w:val="clear" w:color="auto" w:fill="FFFFFF"/>
        </w:rPr>
        <w:t>深入学习贯彻习近平新时代中国特色社会主义思想，认真落实习总书记对广东工作的一系列重要指示要求，全面推进广东乡村振兴工作.围绕《广东省实施乡村振兴战略规划（2018－2022年）》的总体要求，坚持农业农村优先发展，继续深化专项资金“放管服”改革，着力推进构建现代农业体系。一是建立和完善“大专项+任务清单”管理方式，会同省财政厅提高专项资金预算指标和任务清单的下达时效；二是采取工作指导和业务培训等形式，使市县有关部门和人员深刻透彻领会和理解“大专项+任务清单”管理方式，做实做细构建现代农业体系项目库，提高逐级下达预算指标和任务清单效率，落实专项资金项目的主体责任，加快专项资金项目的实施进度。三是鼓励市县探索创新项目实施办法，做好项目支出的规划和前期准备工作，在保障资金支出安全性、规范性的同时，注意抓好预算支出进度，提高专项资金支出效率。</w:t>
      </w:r>
    </w:p>
    <w:p>
      <w:pPr>
        <w:spacing w:line="360" w:lineRule="auto"/>
        <w:ind w:firstLine="640" w:firstLineChars="200"/>
        <w:rPr>
          <w:rFonts w:ascii="楷体_GB2312" w:eastAsia="楷体_GB2312"/>
          <w:b/>
          <w:bCs/>
          <w:color w:val="auto"/>
          <w:sz w:val="32"/>
          <w:szCs w:val="36"/>
          <w:highlight w:val="none"/>
        </w:rPr>
      </w:pPr>
      <w:r>
        <w:rPr>
          <w:rFonts w:hint="eastAsia" w:ascii="楷体_GB2312" w:eastAsia="楷体_GB2312"/>
          <w:b/>
          <w:bCs/>
          <w:color w:val="auto"/>
          <w:sz w:val="32"/>
          <w:szCs w:val="36"/>
          <w:highlight w:val="none"/>
        </w:rPr>
        <w:t>（二）完善专项资金绩效管理机制，加强专项资金监管</w:t>
      </w:r>
    </w:p>
    <w:p>
      <w:pPr>
        <w:spacing w:line="360" w:lineRule="auto"/>
        <w:ind w:firstLine="624" w:firstLineChars="200"/>
        <w:rPr>
          <w:rFonts w:ascii="仿宋_GB2312" w:eastAsia="仿宋_GB2312"/>
          <w:color w:val="auto"/>
          <w:spacing w:val="-4"/>
          <w:sz w:val="32"/>
          <w:highlight w:val="none"/>
        </w:rPr>
      </w:pPr>
      <w:r>
        <w:rPr>
          <w:rFonts w:hint="eastAsia" w:ascii="仿宋_GB2312" w:eastAsia="仿宋_GB2312"/>
          <w:color w:val="auto"/>
          <w:spacing w:val="-4"/>
          <w:sz w:val="32"/>
          <w:highlight w:val="none"/>
        </w:rPr>
        <w:t>一是完善省级专项资金绩效管理机制。我厅拟会同省财政厅修订和完善专项资金管理办法，完善专项资金预算分配方式、绩效目标设置、任务清单制定等，规范专项资金预算执行过程的绩效监控，推进专项资金项目绩效评价常态化。二是加强专项资金监管，</w:t>
      </w:r>
      <w:r>
        <w:rPr>
          <w:rFonts w:hint="eastAsia" w:ascii="仿宋_GB2312" w:eastAsia="仿宋_GB2312"/>
          <w:color w:val="auto"/>
          <w:sz w:val="32"/>
          <w:szCs w:val="36"/>
          <w:highlight w:val="none"/>
        </w:rPr>
        <w:t>转变“重分配轻监管”的传统管理观念，</w:t>
      </w:r>
      <w:r>
        <w:rPr>
          <w:rFonts w:hint="eastAsia" w:ascii="仿宋_GB2312" w:eastAsia="仿宋_GB2312"/>
          <w:color w:val="auto"/>
          <w:spacing w:val="-4"/>
          <w:sz w:val="32"/>
          <w:highlight w:val="none"/>
        </w:rPr>
        <w:t>推进分级监管，采取专项督导检查、项目重要信息平台统计报告制度、</w:t>
      </w:r>
      <w:r>
        <w:rPr>
          <w:rFonts w:hint="eastAsia" w:ascii="仿宋" w:hAnsi="仿宋" w:eastAsia="仿宋" w:cs="仿宋"/>
          <w:color w:val="auto"/>
          <w:sz w:val="32"/>
          <w:szCs w:val="32"/>
          <w:highlight w:val="none"/>
        </w:rPr>
        <w:t>建立工作考核机制、</w:t>
      </w:r>
      <w:r>
        <w:rPr>
          <w:rFonts w:hint="eastAsia" w:ascii="仿宋_GB2312" w:eastAsia="仿宋_GB2312"/>
          <w:color w:val="auto"/>
          <w:sz w:val="32"/>
          <w:szCs w:val="36"/>
          <w:highlight w:val="none"/>
        </w:rPr>
        <w:t>加强政策宣传并</w:t>
      </w:r>
      <w:r>
        <w:rPr>
          <w:rFonts w:hint="eastAsia" w:ascii="仿宋_GB2312" w:eastAsia="仿宋_GB2312"/>
          <w:color w:val="auto"/>
          <w:spacing w:val="-4"/>
          <w:sz w:val="32"/>
          <w:highlight w:val="none"/>
        </w:rPr>
        <w:t>加大信息公开力度等措施办法，把业务主管部门的监管责任落到实处。三是强化问责追责，对专项资金项目执行进度慢、效果差的市县地方政府和业务主管部门进行通报或约谈，问题严重的予以问责。</w:t>
      </w:r>
    </w:p>
    <w:p>
      <w:pPr>
        <w:spacing w:line="360" w:lineRule="auto"/>
        <w:ind w:firstLine="640" w:firstLineChars="200"/>
        <w:rPr>
          <w:rFonts w:ascii="楷体_GB2312" w:hAnsi="仿宋_GB2312" w:eastAsia="楷体_GB2312" w:cs="仿宋_GB2312"/>
          <w:b/>
          <w:color w:val="auto"/>
          <w:sz w:val="32"/>
          <w:szCs w:val="32"/>
          <w:highlight w:val="none"/>
        </w:rPr>
      </w:pPr>
      <w:r>
        <w:rPr>
          <w:rFonts w:hint="eastAsia" w:ascii="楷体_GB2312" w:eastAsia="楷体_GB2312"/>
          <w:b/>
          <w:bCs/>
          <w:color w:val="auto"/>
          <w:sz w:val="32"/>
          <w:szCs w:val="36"/>
          <w:highlight w:val="none"/>
        </w:rPr>
        <w:t>（三）</w:t>
      </w:r>
      <w:r>
        <w:rPr>
          <w:rFonts w:hint="eastAsia" w:ascii="楷体_GB2312" w:hAnsi="仿宋_GB2312" w:eastAsia="楷体_GB2312" w:cs="仿宋_GB2312"/>
          <w:b/>
          <w:color w:val="auto"/>
          <w:sz w:val="32"/>
          <w:szCs w:val="32"/>
          <w:highlight w:val="none"/>
        </w:rPr>
        <w:t>加快构建现代农业生产体系，推动我省农业转型升级</w:t>
      </w:r>
    </w:p>
    <w:p>
      <w:pPr>
        <w:spacing w:line="360" w:lineRule="auto"/>
        <w:ind w:firstLine="624" w:firstLineChars="200"/>
        <w:rPr>
          <w:rFonts w:ascii="楷体_GB2312" w:hAnsi="仿宋_GB2312" w:eastAsia="楷体_GB2312" w:cs="仿宋_GB2312"/>
          <w:b/>
          <w:color w:val="auto"/>
          <w:sz w:val="32"/>
          <w:szCs w:val="32"/>
          <w:highlight w:val="none"/>
        </w:rPr>
      </w:pPr>
      <w:r>
        <w:rPr>
          <w:rFonts w:hint="eastAsia" w:ascii="仿宋_GB2312" w:eastAsia="仿宋_GB2312"/>
          <w:color w:val="auto"/>
          <w:spacing w:val="-4"/>
          <w:sz w:val="32"/>
          <w:highlight w:val="none"/>
        </w:rPr>
        <w:t>深入贯彻落实中央关于乡村振兴战略决策部署和《中共广东省委 广东省人民政府关于推进乡村振兴战略的实施意见》，加快构建现代农业产业体系，促进种植业、畜牧业、渔业、农产品加工流通业、农业服务业转型升级，大力发展我省“一村一品、一镇一业”， 致力于农产品的品种优化、品牌亮化和产业强化，推进一二三产业融合发展；加快构建现代农业生产体系，用现代物质装备武装农业，用现代科学技术服务农业，用现代生产方式改造农业。大力推进农业科技创新和成果应用，统筹整合农业科研力量，发展农技推广服务体系，建设省级农业科技成果转化基地，大力推进农业生产经营机械化和信息化，增强农业综合生产能力和抗风险能力；加快构建现代农业经营体系，继续扶持培育新型经营主体和新型职业农民，健全农业社会化服务体系，提高农业经营集约化、组织化、规模化、社会化、产业化水平，加快我省农业转型升级。促进农业提质增效、农民增产增收。</w:t>
      </w:r>
    </w:p>
    <w:p>
      <w:pPr>
        <w:spacing w:line="360" w:lineRule="auto"/>
        <w:ind w:firstLine="640" w:firstLineChars="200"/>
        <w:outlineLvl w:val="0"/>
        <w:rPr>
          <w:rFonts w:ascii="黑体" w:hAnsi="黑体" w:eastAsia="黑体"/>
          <w:color w:val="auto"/>
          <w:sz w:val="32"/>
          <w:szCs w:val="32"/>
          <w:highlight w:val="none"/>
        </w:rPr>
      </w:pPr>
      <w:bookmarkStart w:id="117" w:name="_Toc3332"/>
      <w:bookmarkStart w:id="118" w:name="_Toc15140307"/>
      <w:bookmarkStart w:id="119" w:name="_Toc10793"/>
      <w:bookmarkStart w:id="120" w:name="_Toc15140526"/>
      <w:bookmarkStart w:id="121" w:name="_Toc15140387"/>
      <w:r>
        <w:rPr>
          <w:rFonts w:hint="eastAsia" w:ascii="黑体" w:hAnsi="黑体" w:eastAsia="黑体"/>
          <w:color w:val="auto"/>
          <w:sz w:val="32"/>
          <w:szCs w:val="32"/>
          <w:highlight w:val="none"/>
        </w:rPr>
        <w:t>四、其他需要说明的情况</w:t>
      </w:r>
      <w:bookmarkEnd w:id="117"/>
      <w:bookmarkEnd w:id="118"/>
      <w:bookmarkEnd w:id="119"/>
      <w:bookmarkEnd w:id="120"/>
      <w:bookmarkEnd w:id="121"/>
    </w:p>
    <w:p>
      <w:pPr>
        <w:pStyle w:val="2"/>
        <w:adjustRightInd w:val="0"/>
        <w:ind w:left="0" w:leftChars="0" w:firstLine="640" w:firstLineChars="200"/>
        <w:rPr>
          <w:color w:val="auto"/>
          <w:highlight w:val="none"/>
        </w:rPr>
      </w:pPr>
      <w:r>
        <w:rPr>
          <w:rFonts w:hint="eastAsia" w:ascii="仿宋_GB2312" w:eastAsia="仿宋_GB2312"/>
          <w:color w:val="auto"/>
          <w:sz w:val="32"/>
          <w:szCs w:val="36"/>
          <w:highlight w:val="none"/>
        </w:rPr>
        <w:t>无。</w:t>
      </w:r>
    </w:p>
    <w:p>
      <w:pPr>
        <w:pStyle w:val="2"/>
        <w:rPr>
          <w:color w:val="auto"/>
          <w:highlight w:val="none"/>
        </w:rPr>
      </w:pPr>
    </w:p>
    <w:p>
      <w:pPr>
        <w:widowControl/>
        <w:spacing w:line="360" w:lineRule="auto"/>
        <w:ind w:left="1598" w:leftChars="304" w:hanging="960" w:hangingChars="300"/>
        <w:jc w:val="left"/>
        <w:rPr>
          <w:rFonts w:ascii="黑体" w:hAnsi="黑体" w:eastAsia="黑体"/>
          <w:color w:val="auto"/>
          <w:sz w:val="28"/>
          <w:szCs w:val="28"/>
          <w:highlight w:val="none"/>
        </w:rPr>
      </w:pPr>
      <w:r>
        <w:rPr>
          <w:rFonts w:hint="eastAsia" w:ascii="仿宋_GB2312" w:eastAsia="仿宋_GB2312"/>
          <w:color w:val="auto"/>
          <w:sz w:val="32"/>
          <w:szCs w:val="36"/>
          <w:highlight w:val="none"/>
        </w:rPr>
        <w:t>附件：2018年省级乡村振兴战略专项（构建现代农业体系）省级资金详细评分情况表</w:t>
      </w:r>
    </w:p>
    <w:p>
      <w:pPr>
        <w:pStyle w:val="2"/>
        <w:ind w:firstLine="640" w:firstLineChars="200"/>
        <w:rPr>
          <w:rFonts w:ascii="仿宋_GB2312" w:eastAsia="仿宋_GB2312"/>
          <w:color w:val="auto"/>
          <w:sz w:val="32"/>
          <w:szCs w:val="36"/>
          <w:highlight w:val="none"/>
        </w:rPr>
        <w:sectPr>
          <w:footerReference r:id="rId3" w:type="default"/>
          <w:pgSz w:w="11906" w:h="16838"/>
          <w:pgMar w:top="2041" w:right="1418" w:bottom="1418" w:left="1531" w:header="851" w:footer="992" w:gutter="0"/>
          <w:pgNumType w:fmt="numberInDash"/>
          <w:cols w:space="425" w:num="1"/>
          <w:docGrid w:type="linesAndChars" w:linePitch="435" w:charSpace="0"/>
        </w:sectPr>
      </w:pPr>
    </w:p>
    <w:p>
      <w:pPr>
        <w:pStyle w:val="2"/>
        <w:ind w:left="0" w:leftChars="0"/>
        <w:rPr>
          <w:color w:val="auto"/>
          <w:highlight w:val="none"/>
        </w:rPr>
      </w:pPr>
      <w:bookmarkStart w:id="122" w:name="_GoBack"/>
      <w:bookmarkEnd w:id="122"/>
    </w:p>
    <w:sectPr>
      <w:pgSz w:w="16838" w:h="11906" w:orient="landscape"/>
      <w:pgMar w:top="1531" w:right="2041" w:bottom="1418" w:left="1418"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等线">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0"/>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55"/>
    <w:rsid w:val="000252D7"/>
    <w:rsid w:val="00063323"/>
    <w:rsid w:val="0008039A"/>
    <w:rsid w:val="000909D3"/>
    <w:rsid w:val="000932EB"/>
    <w:rsid w:val="00094B19"/>
    <w:rsid w:val="0009674C"/>
    <w:rsid w:val="00096FCB"/>
    <w:rsid w:val="00097EF1"/>
    <w:rsid w:val="000A2931"/>
    <w:rsid w:val="000B7E46"/>
    <w:rsid w:val="000C3E82"/>
    <w:rsid w:val="000D22CA"/>
    <w:rsid w:val="000D6855"/>
    <w:rsid w:val="000E26A3"/>
    <w:rsid w:val="0010741C"/>
    <w:rsid w:val="0011301B"/>
    <w:rsid w:val="001154E8"/>
    <w:rsid w:val="0012598C"/>
    <w:rsid w:val="00125CCF"/>
    <w:rsid w:val="00142F1E"/>
    <w:rsid w:val="0017542F"/>
    <w:rsid w:val="00190173"/>
    <w:rsid w:val="0019415A"/>
    <w:rsid w:val="001955CE"/>
    <w:rsid w:val="001A6AAE"/>
    <w:rsid w:val="001B4B64"/>
    <w:rsid w:val="001C7A70"/>
    <w:rsid w:val="001F67B1"/>
    <w:rsid w:val="001F72CD"/>
    <w:rsid w:val="00211FE8"/>
    <w:rsid w:val="0022273C"/>
    <w:rsid w:val="00265F06"/>
    <w:rsid w:val="00272E17"/>
    <w:rsid w:val="00274DA9"/>
    <w:rsid w:val="00283537"/>
    <w:rsid w:val="00293D6A"/>
    <w:rsid w:val="002A5347"/>
    <w:rsid w:val="002A565E"/>
    <w:rsid w:val="002B4B2C"/>
    <w:rsid w:val="002B5119"/>
    <w:rsid w:val="002C1574"/>
    <w:rsid w:val="002C1E3C"/>
    <w:rsid w:val="002C2867"/>
    <w:rsid w:val="002C56E3"/>
    <w:rsid w:val="002D37BF"/>
    <w:rsid w:val="00314B6F"/>
    <w:rsid w:val="0033612B"/>
    <w:rsid w:val="00343410"/>
    <w:rsid w:val="003576F8"/>
    <w:rsid w:val="003815A5"/>
    <w:rsid w:val="00390BCD"/>
    <w:rsid w:val="00393AF1"/>
    <w:rsid w:val="003C741C"/>
    <w:rsid w:val="003D0466"/>
    <w:rsid w:val="00417397"/>
    <w:rsid w:val="0043095A"/>
    <w:rsid w:val="00443885"/>
    <w:rsid w:val="0047145D"/>
    <w:rsid w:val="00475652"/>
    <w:rsid w:val="0047648A"/>
    <w:rsid w:val="004A412B"/>
    <w:rsid w:val="004C491C"/>
    <w:rsid w:val="004F78FF"/>
    <w:rsid w:val="004F7CA9"/>
    <w:rsid w:val="005047F9"/>
    <w:rsid w:val="00512E10"/>
    <w:rsid w:val="005413EA"/>
    <w:rsid w:val="00551F14"/>
    <w:rsid w:val="005A1172"/>
    <w:rsid w:val="005B0EF3"/>
    <w:rsid w:val="005C0A5B"/>
    <w:rsid w:val="005C5E7B"/>
    <w:rsid w:val="005D4E38"/>
    <w:rsid w:val="005E1D88"/>
    <w:rsid w:val="005E74D5"/>
    <w:rsid w:val="005F6B03"/>
    <w:rsid w:val="00615085"/>
    <w:rsid w:val="00615138"/>
    <w:rsid w:val="00621B5B"/>
    <w:rsid w:val="00622F57"/>
    <w:rsid w:val="00646AB1"/>
    <w:rsid w:val="006660BD"/>
    <w:rsid w:val="006A2D70"/>
    <w:rsid w:val="006A2E32"/>
    <w:rsid w:val="006A4C76"/>
    <w:rsid w:val="006D559B"/>
    <w:rsid w:val="006F4DA6"/>
    <w:rsid w:val="00710182"/>
    <w:rsid w:val="007106AE"/>
    <w:rsid w:val="007174A6"/>
    <w:rsid w:val="0072347B"/>
    <w:rsid w:val="007544FF"/>
    <w:rsid w:val="00764F42"/>
    <w:rsid w:val="00780D6A"/>
    <w:rsid w:val="00790A63"/>
    <w:rsid w:val="007911DF"/>
    <w:rsid w:val="007978E8"/>
    <w:rsid w:val="007B0A6C"/>
    <w:rsid w:val="007B384A"/>
    <w:rsid w:val="007C6CBA"/>
    <w:rsid w:val="007D48F3"/>
    <w:rsid w:val="007F5FB1"/>
    <w:rsid w:val="00825BA7"/>
    <w:rsid w:val="00830619"/>
    <w:rsid w:val="00835103"/>
    <w:rsid w:val="00846103"/>
    <w:rsid w:val="00846EDF"/>
    <w:rsid w:val="00865AC8"/>
    <w:rsid w:val="008722EF"/>
    <w:rsid w:val="0088330A"/>
    <w:rsid w:val="008879C7"/>
    <w:rsid w:val="008A14A7"/>
    <w:rsid w:val="008A474F"/>
    <w:rsid w:val="008B473A"/>
    <w:rsid w:val="008C4599"/>
    <w:rsid w:val="008E053C"/>
    <w:rsid w:val="008F21A2"/>
    <w:rsid w:val="008F70C2"/>
    <w:rsid w:val="00903A79"/>
    <w:rsid w:val="0092594C"/>
    <w:rsid w:val="009261EC"/>
    <w:rsid w:val="0094005D"/>
    <w:rsid w:val="009532D6"/>
    <w:rsid w:val="00961A62"/>
    <w:rsid w:val="00971C0A"/>
    <w:rsid w:val="00976041"/>
    <w:rsid w:val="0098536E"/>
    <w:rsid w:val="009C1B90"/>
    <w:rsid w:val="009D3E28"/>
    <w:rsid w:val="009F14A0"/>
    <w:rsid w:val="00A12A1A"/>
    <w:rsid w:val="00A22AB2"/>
    <w:rsid w:val="00A46EF4"/>
    <w:rsid w:val="00A708CC"/>
    <w:rsid w:val="00A757FC"/>
    <w:rsid w:val="00A85535"/>
    <w:rsid w:val="00A9535B"/>
    <w:rsid w:val="00AA0975"/>
    <w:rsid w:val="00AC35D7"/>
    <w:rsid w:val="00AE754D"/>
    <w:rsid w:val="00AF5C75"/>
    <w:rsid w:val="00B250C3"/>
    <w:rsid w:val="00B4684F"/>
    <w:rsid w:val="00B46E5A"/>
    <w:rsid w:val="00B474D5"/>
    <w:rsid w:val="00B54C3E"/>
    <w:rsid w:val="00B829F1"/>
    <w:rsid w:val="00B94764"/>
    <w:rsid w:val="00B97D17"/>
    <w:rsid w:val="00BB04A3"/>
    <w:rsid w:val="00BB1DA1"/>
    <w:rsid w:val="00BB71E4"/>
    <w:rsid w:val="00BC044F"/>
    <w:rsid w:val="00BC0E65"/>
    <w:rsid w:val="00BD3B0E"/>
    <w:rsid w:val="00BF3CFC"/>
    <w:rsid w:val="00C249F2"/>
    <w:rsid w:val="00C57311"/>
    <w:rsid w:val="00C66E34"/>
    <w:rsid w:val="00C83326"/>
    <w:rsid w:val="00C85854"/>
    <w:rsid w:val="00CA2F29"/>
    <w:rsid w:val="00CB1EE1"/>
    <w:rsid w:val="00CB2AFF"/>
    <w:rsid w:val="00CC7520"/>
    <w:rsid w:val="00CF3A30"/>
    <w:rsid w:val="00D055A6"/>
    <w:rsid w:val="00D13D89"/>
    <w:rsid w:val="00D23C0D"/>
    <w:rsid w:val="00D326F4"/>
    <w:rsid w:val="00D72708"/>
    <w:rsid w:val="00D74A2E"/>
    <w:rsid w:val="00D956A6"/>
    <w:rsid w:val="00DB0986"/>
    <w:rsid w:val="00DD1EDB"/>
    <w:rsid w:val="00DD4D97"/>
    <w:rsid w:val="00DE2D78"/>
    <w:rsid w:val="00DE7B5B"/>
    <w:rsid w:val="00DF154C"/>
    <w:rsid w:val="00E031B6"/>
    <w:rsid w:val="00E10012"/>
    <w:rsid w:val="00E100EB"/>
    <w:rsid w:val="00E1451C"/>
    <w:rsid w:val="00E35EFC"/>
    <w:rsid w:val="00E3736A"/>
    <w:rsid w:val="00E42798"/>
    <w:rsid w:val="00E6264A"/>
    <w:rsid w:val="00E63EBE"/>
    <w:rsid w:val="00E74ED5"/>
    <w:rsid w:val="00E805AB"/>
    <w:rsid w:val="00E86C13"/>
    <w:rsid w:val="00E9226A"/>
    <w:rsid w:val="00EE290D"/>
    <w:rsid w:val="00F150BF"/>
    <w:rsid w:val="00F27204"/>
    <w:rsid w:val="00F35C0C"/>
    <w:rsid w:val="00F36F0D"/>
    <w:rsid w:val="00F65A53"/>
    <w:rsid w:val="00F72375"/>
    <w:rsid w:val="00F74BE5"/>
    <w:rsid w:val="00F84068"/>
    <w:rsid w:val="00FC23AC"/>
    <w:rsid w:val="00FC3CC0"/>
    <w:rsid w:val="00FE2B26"/>
    <w:rsid w:val="00FE6CDA"/>
    <w:rsid w:val="00FE72BD"/>
    <w:rsid w:val="00FF4E14"/>
    <w:rsid w:val="01143E8C"/>
    <w:rsid w:val="023E7466"/>
    <w:rsid w:val="041A2028"/>
    <w:rsid w:val="04E1309E"/>
    <w:rsid w:val="06A921CF"/>
    <w:rsid w:val="06C2323D"/>
    <w:rsid w:val="07C307AE"/>
    <w:rsid w:val="09A3308F"/>
    <w:rsid w:val="09C95A9E"/>
    <w:rsid w:val="0A585B16"/>
    <w:rsid w:val="0A64626D"/>
    <w:rsid w:val="0BB83B1B"/>
    <w:rsid w:val="0BD7085E"/>
    <w:rsid w:val="0C94543E"/>
    <w:rsid w:val="0CCD3F6D"/>
    <w:rsid w:val="0CCF2B13"/>
    <w:rsid w:val="0CD42276"/>
    <w:rsid w:val="0DE00632"/>
    <w:rsid w:val="0F423DD2"/>
    <w:rsid w:val="0F9D7ABE"/>
    <w:rsid w:val="0FB43622"/>
    <w:rsid w:val="1033175B"/>
    <w:rsid w:val="104743D0"/>
    <w:rsid w:val="113764D2"/>
    <w:rsid w:val="121B3052"/>
    <w:rsid w:val="12F4282C"/>
    <w:rsid w:val="13C17462"/>
    <w:rsid w:val="148F099F"/>
    <w:rsid w:val="15FA3917"/>
    <w:rsid w:val="16AC0171"/>
    <w:rsid w:val="174647EC"/>
    <w:rsid w:val="18A13517"/>
    <w:rsid w:val="196E60F3"/>
    <w:rsid w:val="19A35046"/>
    <w:rsid w:val="1A045B39"/>
    <w:rsid w:val="1A5C136E"/>
    <w:rsid w:val="1A715F1C"/>
    <w:rsid w:val="1B1D24BC"/>
    <w:rsid w:val="1C253280"/>
    <w:rsid w:val="1CA463F8"/>
    <w:rsid w:val="1D6A44E5"/>
    <w:rsid w:val="1E7C62AE"/>
    <w:rsid w:val="1F433949"/>
    <w:rsid w:val="20184AC9"/>
    <w:rsid w:val="2077454C"/>
    <w:rsid w:val="211A40DA"/>
    <w:rsid w:val="21731E5B"/>
    <w:rsid w:val="21DD648E"/>
    <w:rsid w:val="22D8254F"/>
    <w:rsid w:val="23AD326E"/>
    <w:rsid w:val="240B7A97"/>
    <w:rsid w:val="24D84E7F"/>
    <w:rsid w:val="25542E63"/>
    <w:rsid w:val="25C21E29"/>
    <w:rsid w:val="25E92F23"/>
    <w:rsid w:val="27650273"/>
    <w:rsid w:val="27EE0898"/>
    <w:rsid w:val="280314CC"/>
    <w:rsid w:val="2A523D41"/>
    <w:rsid w:val="2AC37EEB"/>
    <w:rsid w:val="2B802EB6"/>
    <w:rsid w:val="2CC55476"/>
    <w:rsid w:val="2D451C51"/>
    <w:rsid w:val="2DB12058"/>
    <w:rsid w:val="2E6F3E65"/>
    <w:rsid w:val="2EC72D3D"/>
    <w:rsid w:val="2EE06FF4"/>
    <w:rsid w:val="30894C47"/>
    <w:rsid w:val="30EC6557"/>
    <w:rsid w:val="31CC5FE3"/>
    <w:rsid w:val="32954504"/>
    <w:rsid w:val="332914CD"/>
    <w:rsid w:val="350F2A06"/>
    <w:rsid w:val="352B2F34"/>
    <w:rsid w:val="356E14E3"/>
    <w:rsid w:val="364E131C"/>
    <w:rsid w:val="375A0287"/>
    <w:rsid w:val="377F165F"/>
    <w:rsid w:val="37F56F70"/>
    <w:rsid w:val="39C313FC"/>
    <w:rsid w:val="39DF420E"/>
    <w:rsid w:val="3BC0627B"/>
    <w:rsid w:val="3BEE6245"/>
    <w:rsid w:val="3C1A0BCD"/>
    <w:rsid w:val="3C1E424D"/>
    <w:rsid w:val="3E092612"/>
    <w:rsid w:val="3E9C5C6C"/>
    <w:rsid w:val="3F632A74"/>
    <w:rsid w:val="3FC96043"/>
    <w:rsid w:val="3FE72AE6"/>
    <w:rsid w:val="41BD4C08"/>
    <w:rsid w:val="42593B32"/>
    <w:rsid w:val="425D7D32"/>
    <w:rsid w:val="42BC67FE"/>
    <w:rsid w:val="42CB4057"/>
    <w:rsid w:val="439B34AB"/>
    <w:rsid w:val="448C61CC"/>
    <w:rsid w:val="44E21525"/>
    <w:rsid w:val="45754AF0"/>
    <w:rsid w:val="474E3193"/>
    <w:rsid w:val="47846D1D"/>
    <w:rsid w:val="48CB158F"/>
    <w:rsid w:val="4A3921A3"/>
    <w:rsid w:val="4D4D5E09"/>
    <w:rsid w:val="4D820FB5"/>
    <w:rsid w:val="4DE02AB1"/>
    <w:rsid w:val="4E3A438A"/>
    <w:rsid w:val="4EEA11BA"/>
    <w:rsid w:val="4F0F665C"/>
    <w:rsid w:val="4FEE67BD"/>
    <w:rsid w:val="504F34B5"/>
    <w:rsid w:val="50BE0588"/>
    <w:rsid w:val="51730FD8"/>
    <w:rsid w:val="524E4091"/>
    <w:rsid w:val="533147CF"/>
    <w:rsid w:val="53BE57F6"/>
    <w:rsid w:val="541E4BF3"/>
    <w:rsid w:val="54935216"/>
    <w:rsid w:val="55AC060F"/>
    <w:rsid w:val="55DB5944"/>
    <w:rsid w:val="56A04BF1"/>
    <w:rsid w:val="56CE4B2C"/>
    <w:rsid w:val="57CF6936"/>
    <w:rsid w:val="58286A3F"/>
    <w:rsid w:val="584D2B4E"/>
    <w:rsid w:val="585053DC"/>
    <w:rsid w:val="5A085DC1"/>
    <w:rsid w:val="5A3308F0"/>
    <w:rsid w:val="5AEE3F23"/>
    <w:rsid w:val="5B801D3B"/>
    <w:rsid w:val="5D5542E0"/>
    <w:rsid w:val="5DAB6F0D"/>
    <w:rsid w:val="5E3A4278"/>
    <w:rsid w:val="5E8C37B1"/>
    <w:rsid w:val="5EE66ED4"/>
    <w:rsid w:val="5F4910A4"/>
    <w:rsid w:val="5F5511AD"/>
    <w:rsid w:val="5F9E1B29"/>
    <w:rsid w:val="60C32382"/>
    <w:rsid w:val="62B014B4"/>
    <w:rsid w:val="639A6B89"/>
    <w:rsid w:val="641806A2"/>
    <w:rsid w:val="64276A74"/>
    <w:rsid w:val="64FF54A6"/>
    <w:rsid w:val="65714CAA"/>
    <w:rsid w:val="65A76DB5"/>
    <w:rsid w:val="65AD421A"/>
    <w:rsid w:val="65D74758"/>
    <w:rsid w:val="662E7F57"/>
    <w:rsid w:val="66320432"/>
    <w:rsid w:val="66E02959"/>
    <w:rsid w:val="670E6818"/>
    <w:rsid w:val="67545E5B"/>
    <w:rsid w:val="67576E2B"/>
    <w:rsid w:val="680F187C"/>
    <w:rsid w:val="6A575D5D"/>
    <w:rsid w:val="6CD909C8"/>
    <w:rsid w:val="6D593805"/>
    <w:rsid w:val="6DCB3AD3"/>
    <w:rsid w:val="6E6D48C1"/>
    <w:rsid w:val="6EF04D8D"/>
    <w:rsid w:val="703624DD"/>
    <w:rsid w:val="70A76173"/>
    <w:rsid w:val="70F83344"/>
    <w:rsid w:val="71B058DC"/>
    <w:rsid w:val="71C1031E"/>
    <w:rsid w:val="728928CE"/>
    <w:rsid w:val="73A66E79"/>
    <w:rsid w:val="75CC3991"/>
    <w:rsid w:val="765A1D42"/>
    <w:rsid w:val="774636CE"/>
    <w:rsid w:val="79125ADC"/>
    <w:rsid w:val="79355991"/>
    <w:rsid w:val="79BF0EDC"/>
    <w:rsid w:val="7B0F0F69"/>
    <w:rsid w:val="7DEE42D7"/>
    <w:rsid w:val="7E6A3376"/>
    <w:rsid w:val="7EA925C1"/>
    <w:rsid w:val="7F37286C"/>
    <w:rsid w:val="7FAC0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qFormat/>
    <w:uiPriority w:val="9"/>
    <w:pPr>
      <w:keepNext/>
      <w:keepLines/>
      <w:spacing w:before="260" w:after="260" w:line="416" w:lineRule="auto"/>
      <w:outlineLvl w:val="1"/>
    </w:pPr>
    <w:rPr>
      <w:rFonts w:ascii="Calibri Light" w:hAnsi="Calibri Light" w:eastAsia="宋体" w:cs="Times New Roman"/>
      <w:b/>
      <w:bCs/>
      <w:sz w:val="32"/>
      <w:szCs w:val="32"/>
    </w:rPr>
  </w:style>
  <w:style w:type="paragraph" w:styleId="5">
    <w:name w:val="heading 3"/>
    <w:basedOn w:val="1"/>
    <w:next w:val="1"/>
    <w:link w:val="25"/>
    <w:qFormat/>
    <w:uiPriority w:val="9"/>
    <w:pPr>
      <w:keepNext/>
      <w:keepLines/>
      <w:spacing w:before="260" w:after="260" w:line="416" w:lineRule="auto"/>
      <w:outlineLvl w:val="2"/>
    </w:pPr>
    <w:rPr>
      <w:rFonts w:ascii="宋体" w:hAnsi="宋体" w:eastAsia="仿宋_GB2312" w:cs="Times New Roman"/>
      <w:b/>
      <w:bCs/>
      <w:sz w:val="32"/>
      <w:szCs w:val="32"/>
    </w:rPr>
  </w:style>
  <w:style w:type="character" w:default="1" w:styleId="14">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6">
    <w:name w:val="annotation subject"/>
    <w:basedOn w:val="7"/>
    <w:next w:val="7"/>
    <w:link w:val="23"/>
    <w:unhideWhenUsed/>
    <w:qFormat/>
    <w:uiPriority w:val="99"/>
    <w:rPr>
      <w:b/>
      <w:bCs/>
    </w:rPr>
  </w:style>
  <w:style w:type="paragraph" w:styleId="7">
    <w:name w:val="annotation text"/>
    <w:basedOn w:val="1"/>
    <w:link w:val="22"/>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Balloon Text"/>
    <w:basedOn w:val="1"/>
    <w:link w:val="24"/>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pacing w:before="120" w:after="120"/>
      <w:jc w:val="left"/>
    </w:pPr>
    <w:rPr>
      <w:rFonts w:ascii="Calibri" w:hAnsi="Calibri" w:eastAsia="宋体" w:cs="Times New Roman"/>
      <w:b/>
      <w:bCs/>
      <w:caps/>
      <w:sz w:val="20"/>
      <w:szCs w:val="20"/>
    </w:rPr>
  </w:style>
  <w:style w:type="paragraph" w:styleId="13">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annotation reference"/>
    <w:basedOn w:val="14"/>
    <w:unhideWhenUsed/>
    <w:qFormat/>
    <w:uiPriority w:val="99"/>
    <w:rPr>
      <w:sz w:val="21"/>
      <w:szCs w:val="21"/>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列表段落1"/>
    <w:basedOn w:val="1"/>
    <w:qFormat/>
    <w:uiPriority w:val="34"/>
    <w:pPr>
      <w:ind w:firstLine="420" w:firstLineChars="200"/>
    </w:pPr>
  </w:style>
  <w:style w:type="character" w:customStyle="1" w:styleId="20">
    <w:name w:val="页眉 字符"/>
    <w:basedOn w:val="14"/>
    <w:link w:val="11"/>
    <w:qFormat/>
    <w:uiPriority w:val="99"/>
    <w:rPr>
      <w:sz w:val="18"/>
      <w:szCs w:val="18"/>
    </w:rPr>
  </w:style>
  <w:style w:type="character" w:customStyle="1" w:styleId="21">
    <w:name w:val="页脚 字符"/>
    <w:basedOn w:val="14"/>
    <w:link w:val="10"/>
    <w:qFormat/>
    <w:uiPriority w:val="99"/>
    <w:rPr>
      <w:sz w:val="18"/>
      <w:szCs w:val="18"/>
    </w:rPr>
  </w:style>
  <w:style w:type="character" w:customStyle="1" w:styleId="22">
    <w:name w:val="批注文字 字符"/>
    <w:basedOn w:val="14"/>
    <w:link w:val="7"/>
    <w:semiHidden/>
    <w:qFormat/>
    <w:uiPriority w:val="99"/>
  </w:style>
  <w:style w:type="character" w:customStyle="1" w:styleId="23">
    <w:name w:val="批注主题 字符"/>
    <w:basedOn w:val="22"/>
    <w:link w:val="6"/>
    <w:semiHidden/>
    <w:qFormat/>
    <w:uiPriority w:val="99"/>
    <w:rPr>
      <w:b/>
      <w:bCs/>
    </w:rPr>
  </w:style>
  <w:style w:type="character" w:customStyle="1" w:styleId="24">
    <w:name w:val="批注框文本 字符"/>
    <w:basedOn w:val="14"/>
    <w:link w:val="9"/>
    <w:semiHidden/>
    <w:qFormat/>
    <w:uiPriority w:val="99"/>
    <w:rPr>
      <w:sz w:val="18"/>
      <w:szCs w:val="18"/>
    </w:rPr>
  </w:style>
  <w:style w:type="character" w:customStyle="1" w:styleId="25">
    <w:name w:val="标题 3 字符"/>
    <w:basedOn w:val="14"/>
    <w:link w:val="5"/>
    <w:qFormat/>
    <w:uiPriority w:val="9"/>
    <w:rPr>
      <w:rFonts w:ascii="宋体" w:hAnsi="宋体" w:eastAsia="仿宋_GB2312" w:cs="Times New Roman"/>
      <w:b/>
      <w:bCs/>
      <w:sz w:val="32"/>
      <w:szCs w:val="32"/>
    </w:rPr>
  </w:style>
  <w:style w:type="character" w:customStyle="1" w:styleId="26">
    <w:name w:val="标题 2 字符"/>
    <w:basedOn w:val="14"/>
    <w:link w:val="4"/>
    <w:qFormat/>
    <w:uiPriority w:val="9"/>
    <w:rPr>
      <w:rFonts w:ascii="Calibri Light" w:hAnsi="Calibri Light" w:eastAsia="宋体" w:cs="Times New Roman"/>
      <w:b/>
      <w:bCs/>
      <w:sz w:val="32"/>
      <w:szCs w:val="32"/>
    </w:rPr>
  </w:style>
  <w:style w:type="paragraph" w:customStyle="1" w:styleId="27">
    <w:name w:val="_Style 1"/>
    <w:basedOn w:val="1"/>
    <w:qFormat/>
    <w:uiPriority w:val="34"/>
    <w:pPr>
      <w:ind w:firstLine="420" w:firstLineChars="200"/>
    </w:pPr>
    <w:rPr>
      <w:rFonts w:ascii="Times New Roman" w:hAnsi="Times New Roman" w:eastAsia="宋体" w:cs="Times New Roman"/>
    </w:rPr>
  </w:style>
  <w:style w:type="character" w:customStyle="1" w:styleId="28">
    <w:name w:val="正文1 字符"/>
    <w:link w:val="29"/>
    <w:qFormat/>
    <w:uiPriority w:val="0"/>
    <w:rPr>
      <w:rFonts w:ascii="仿宋_GB2312" w:hAnsi="黑体" w:eastAsia="仿宋_GB2312"/>
      <w:sz w:val="32"/>
      <w:szCs w:val="32"/>
    </w:rPr>
  </w:style>
  <w:style w:type="paragraph" w:customStyle="1" w:styleId="29">
    <w:name w:val="正文1"/>
    <w:basedOn w:val="1"/>
    <w:link w:val="28"/>
    <w:qFormat/>
    <w:uiPriority w:val="0"/>
    <w:pPr>
      <w:snapToGrid w:val="0"/>
      <w:spacing w:line="360" w:lineRule="auto"/>
      <w:ind w:firstLine="630" w:firstLineChars="196"/>
      <w:outlineLvl w:val="2"/>
    </w:pPr>
    <w:rPr>
      <w:rFonts w:ascii="仿宋_GB2312" w:hAnsi="黑体" w:eastAsia="仿宋_GB2312"/>
      <w:sz w:val="32"/>
      <w:szCs w:val="32"/>
    </w:rPr>
  </w:style>
  <w:style w:type="paragraph" w:customStyle="1" w:styleId="30">
    <w:name w:val="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32">
    <w:name w:val="Char Char Char Char 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3">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Times New Roman" w:hAnsi="Times New Roman" w:eastAsia="宋体" w:cs="Times New Roman"/>
      <w:szCs w:val="24"/>
    </w:rPr>
  </w:style>
  <w:style w:type="character" w:customStyle="1" w:styleId="34">
    <w:name w:val="标题 1 字符"/>
    <w:basedOn w:val="14"/>
    <w:link w:val="3"/>
    <w:qFormat/>
    <w:uiPriority w:val="9"/>
    <w:rPr>
      <w:rFonts w:asciiTheme="minorHAnsi" w:hAnsiTheme="minorHAnsi" w:eastAsiaTheme="minorEastAsia" w:cstheme="minorBidi"/>
      <w:b/>
      <w:bCs/>
      <w:kern w:val="44"/>
      <w:sz w:val="44"/>
      <w:szCs w:val="44"/>
    </w:rPr>
  </w:style>
  <w:style w:type="paragraph" w:customStyle="1" w:styleId="35">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913F5-FDFC-427B-8E65-8FE3F8DDBB12}">
  <ds:schemaRefs/>
</ds:datastoreItem>
</file>

<file path=docProps/app.xml><?xml version="1.0" encoding="utf-8"?>
<Properties xmlns="http://schemas.openxmlformats.org/officeDocument/2006/extended-properties" xmlns:vt="http://schemas.openxmlformats.org/officeDocument/2006/docPropsVTypes">
  <Template>Normal.dotm</Template>
  <Pages>36</Pages>
  <Words>2886</Words>
  <Characters>16455</Characters>
  <Lines>137</Lines>
  <Paragraphs>38</Paragraphs>
  <TotalTime>161</TotalTime>
  <ScaleCrop>false</ScaleCrop>
  <LinksUpToDate>false</LinksUpToDate>
  <CharactersWithSpaces>19303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2019-07-10T12:15:00Z</dcterms:created>
  <dc:creator>涵 沈</dc:creator>
  <cp:lastModifiedBy>user</cp:lastModifiedBy>
  <dcterms:modified xsi:type="dcterms:W3CDTF">2019-08-15T10:54:38Z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