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eastAsia="方正小标宋简体"/>
          <w:sz w:val="44"/>
          <w:szCs w:val="44"/>
        </w:rPr>
      </w:pPr>
    </w:p>
    <w:p>
      <w:pPr>
        <w:spacing w:line="360" w:lineRule="auto"/>
        <w:jc w:val="center"/>
        <w:rPr>
          <w:rFonts w:ascii="方正小标宋简体" w:eastAsia="方正小标宋简体"/>
          <w:sz w:val="44"/>
          <w:szCs w:val="44"/>
        </w:rPr>
      </w:pPr>
    </w:p>
    <w:p>
      <w:pPr>
        <w:spacing w:line="360" w:lineRule="auto"/>
        <w:jc w:val="center"/>
        <w:rPr>
          <w:rFonts w:ascii="方正小标宋简体" w:eastAsia="方正小标宋简体"/>
          <w:sz w:val="44"/>
          <w:szCs w:val="44"/>
        </w:rPr>
      </w:pPr>
      <w:r>
        <w:rPr>
          <w:rFonts w:ascii="方正小标宋简体" w:eastAsia="方正小标宋简体"/>
          <w:sz w:val="44"/>
          <w:szCs w:val="44"/>
        </w:rPr>
        <w:t>201</w:t>
      </w:r>
      <w:r>
        <w:rPr>
          <w:rFonts w:hint="eastAsia" w:ascii="方正小标宋简体" w:eastAsia="方正小标宋简体"/>
          <w:sz w:val="44"/>
          <w:szCs w:val="44"/>
        </w:rPr>
        <w:t>8</w:t>
      </w:r>
      <w:r>
        <w:rPr>
          <w:rFonts w:ascii="方正小标宋简体" w:eastAsia="方正小标宋简体"/>
          <w:sz w:val="44"/>
          <w:szCs w:val="44"/>
        </w:rPr>
        <w:t>年项目</w:t>
      </w:r>
      <w:r>
        <w:rPr>
          <w:rFonts w:hint="eastAsia" w:ascii="方正小标宋简体" w:eastAsia="方正小标宋简体"/>
          <w:sz w:val="44"/>
          <w:szCs w:val="44"/>
        </w:rPr>
        <w:t>支出绩效自评报告</w:t>
      </w:r>
    </w:p>
    <w:p>
      <w:pPr>
        <w:spacing w:line="360" w:lineRule="auto"/>
        <w:ind w:firstLine="1600" w:firstLineChars="500"/>
        <w:rPr>
          <w:rFonts w:ascii="仿宋_GB2312" w:eastAsia="仿宋_GB2312"/>
          <w:sz w:val="32"/>
          <w:szCs w:val="32"/>
        </w:rPr>
      </w:pPr>
      <w:r>
        <w:rPr>
          <w:rFonts w:hint="eastAsia" w:ascii="仿宋_GB2312" w:eastAsia="仿宋_GB2312"/>
          <w:sz w:val="32"/>
          <w:szCs w:val="32"/>
        </w:rPr>
        <w:t xml:space="preserve">  </w:t>
      </w:r>
    </w:p>
    <w:p>
      <w:pPr>
        <w:spacing w:line="360" w:lineRule="auto"/>
        <w:ind w:firstLine="1600" w:firstLineChars="500"/>
        <w:rPr>
          <w:rFonts w:ascii="仿宋_GB2312" w:eastAsia="仿宋_GB2312"/>
          <w:sz w:val="32"/>
          <w:szCs w:val="32"/>
        </w:rPr>
      </w:pPr>
    </w:p>
    <w:p>
      <w:pPr>
        <w:spacing w:line="360" w:lineRule="auto"/>
        <w:ind w:firstLine="1600" w:firstLineChars="500"/>
        <w:rPr>
          <w:rFonts w:ascii="仿宋_GB2312" w:eastAsia="仿宋_GB2312"/>
          <w:sz w:val="32"/>
          <w:szCs w:val="32"/>
        </w:rPr>
      </w:pPr>
    </w:p>
    <w:p>
      <w:pPr>
        <w:spacing w:line="360" w:lineRule="auto"/>
        <w:ind w:firstLine="1600" w:firstLineChars="500"/>
        <w:rPr>
          <w:rFonts w:ascii="仿宋_GB2312" w:eastAsia="仿宋_GB2312"/>
          <w:sz w:val="32"/>
          <w:szCs w:val="32"/>
        </w:rPr>
      </w:pPr>
    </w:p>
    <w:p>
      <w:pPr>
        <w:spacing w:line="360" w:lineRule="auto"/>
        <w:ind w:firstLine="1600" w:firstLineChars="500"/>
        <w:rPr>
          <w:rFonts w:ascii="仿宋_GB2312" w:eastAsia="仿宋_GB2312"/>
          <w:sz w:val="32"/>
          <w:szCs w:val="32"/>
        </w:rPr>
      </w:pPr>
    </w:p>
    <w:p>
      <w:pPr>
        <w:spacing w:line="360" w:lineRule="auto"/>
        <w:ind w:firstLine="1600" w:firstLineChars="500"/>
        <w:rPr>
          <w:rFonts w:ascii="仿宋_GB2312" w:eastAsia="仿宋_GB2312"/>
          <w:sz w:val="32"/>
          <w:szCs w:val="32"/>
        </w:rPr>
      </w:pPr>
    </w:p>
    <w:p>
      <w:pPr>
        <w:spacing w:line="360" w:lineRule="auto"/>
        <w:ind w:left="3196" w:leftChars="760" w:hanging="1600" w:hangingChars="500"/>
        <w:rPr>
          <w:rFonts w:ascii="仿宋_GB2312" w:eastAsia="仿宋_GB2312"/>
          <w:sz w:val="32"/>
          <w:szCs w:val="32"/>
        </w:rPr>
      </w:pPr>
      <w:r>
        <w:rPr>
          <w:rFonts w:hint="eastAsia" w:ascii="仿宋_GB2312" w:eastAsia="仿宋_GB2312"/>
          <w:sz w:val="32"/>
          <w:szCs w:val="32"/>
        </w:rPr>
        <w:t>项目名称：2018年乡村振兴战略专项资金（推进美丽宜居乡村建设）</w:t>
      </w:r>
    </w:p>
    <w:p>
      <w:pPr>
        <w:spacing w:line="360" w:lineRule="auto"/>
        <w:rPr>
          <w:rFonts w:ascii="仿宋_GB2312" w:eastAsia="仿宋_GB2312"/>
          <w:sz w:val="32"/>
          <w:szCs w:val="32"/>
        </w:rPr>
      </w:pPr>
      <w:r>
        <w:rPr>
          <w:rFonts w:hint="eastAsia" w:ascii="仿宋_GB2312" w:eastAsia="仿宋_GB2312"/>
          <w:sz w:val="32"/>
          <w:szCs w:val="32"/>
        </w:rPr>
        <w:t xml:space="preserve">          省级项目主管部门：广东省农业农村厅</w:t>
      </w:r>
    </w:p>
    <w:p>
      <w:pPr>
        <w:spacing w:line="360" w:lineRule="auto"/>
        <w:rPr>
          <w:rFonts w:ascii="仿宋_GB2312" w:eastAsia="仿宋_GB2312"/>
          <w:sz w:val="32"/>
          <w:szCs w:val="32"/>
        </w:rPr>
      </w:pPr>
      <w:r>
        <w:rPr>
          <w:rFonts w:hint="eastAsia" w:ascii="仿宋_GB2312" w:eastAsia="仿宋_GB2312"/>
          <w:sz w:val="32"/>
          <w:szCs w:val="32"/>
        </w:rPr>
        <w:t xml:space="preserve">          填报人姓名：李艳梅</w:t>
      </w:r>
    </w:p>
    <w:p>
      <w:pPr>
        <w:spacing w:line="360" w:lineRule="auto"/>
        <w:rPr>
          <w:rFonts w:ascii="仿宋_GB2312" w:eastAsia="仿宋_GB2312"/>
          <w:sz w:val="32"/>
          <w:szCs w:val="32"/>
        </w:rPr>
      </w:pPr>
      <w:r>
        <w:rPr>
          <w:rFonts w:hint="eastAsia" w:ascii="仿宋_GB2312" w:eastAsia="仿宋_GB2312"/>
          <w:sz w:val="32"/>
          <w:szCs w:val="32"/>
        </w:rPr>
        <w:t xml:space="preserve">          联系电话：02037288139</w:t>
      </w:r>
    </w:p>
    <w:p>
      <w:pPr>
        <w:spacing w:line="360" w:lineRule="auto"/>
        <w:ind w:firstLine="1600" w:firstLineChars="500"/>
        <w:rPr>
          <w:rFonts w:ascii="仿宋_GB2312" w:hAnsi="仿宋_GB2312" w:eastAsia="仿宋_GB2312" w:cs="仿宋_GB2312"/>
          <w:sz w:val="32"/>
          <w:szCs w:val="32"/>
        </w:rPr>
        <w:sectPr>
          <w:pgSz w:w="11906" w:h="16838"/>
          <w:pgMar w:top="1440" w:right="1418" w:bottom="1440" w:left="1531" w:header="851" w:footer="992" w:gutter="0"/>
          <w:pgNumType w:fmt="numberInDash" w:start="1"/>
          <w:cols w:space="425" w:num="1"/>
          <w:docGrid w:type="linesAndChars" w:linePitch="312" w:charSpace="0"/>
        </w:sectPr>
      </w:pPr>
      <w:r>
        <w:rPr>
          <w:rFonts w:hint="eastAsia" w:ascii="仿宋_GB2312" w:eastAsia="仿宋_GB2312"/>
          <w:sz w:val="32"/>
          <w:szCs w:val="32"/>
        </w:rPr>
        <w:t>填报日期：</w:t>
      </w:r>
      <w:bookmarkStart w:id="0" w:name="_Toc527"/>
      <w:bookmarkStart w:id="1" w:name="_Toc4244"/>
      <w:r>
        <w:rPr>
          <w:rFonts w:hint="eastAsia" w:ascii="仿宋_GB2312" w:hAnsi="仿宋_GB2312" w:eastAsia="仿宋_GB2312" w:cs="仿宋_GB2312"/>
          <w:sz w:val="32"/>
          <w:szCs w:val="32"/>
        </w:rPr>
        <w:t>2019年7月31日</w:t>
      </w:r>
    </w:p>
    <w:sdt>
      <w:sdtPr>
        <w:rPr>
          <w:rFonts w:ascii="Cambria" w:hAnsi="Cambria" w:eastAsia="方正小标宋简体" w:cs="Times New Roman"/>
          <w:color w:val="auto"/>
          <w:kern w:val="2"/>
          <w:sz w:val="36"/>
          <w:szCs w:val="36"/>
          <w:lang w:val="zh-CN"/>
        </w:rPr>
        <w:id w:val="673777270"/>
      </w:sdtPr>
      <w:sdtEndPr>
        <w:rPr>
          <w:rStyle w:val="17"/>
          <w:rFonts w:ascii="仿宋_GB2312" w:hAnsi="仿宋_GB2312" w:eastAsia="仿宋_GB2312" w:cs="仿宋_GB2312"/>
          <w:smallCaps/>
          <w:color w:val="auto"/>
          <w:kern w:val="2"/>
          <w:sz w:val="32"/>
          <w:szCs w:val="32"/>
          <w:u w:val="single"/>
          <w:lang w:val="en-US"/>
        </w:rPr>
      </w:sdtEndPr>
      <w:sdtContent>
        <w:p>
          <w:pPr>
            <w:pStyle w:val="29"/>
            <w:keepNext w:val="0"/>
            <w:keepLines w:val="0"/>
            <w:spacing w:line="240" w:lineRule="auto"/>
            <w:jc w:val="center"/>
            <w:rPr>
              <w:rFonts w:ascii="Cambria" w:hAnsi="Cambria" w:eastAsia="方正小标宋简体" w:cs="Times New Roman"/>
              <w:color w:val="auto"/>
              <w:kern w:val="2"/>
              <w:sz w:val="36"/>
              <w:szCs w:val="36"/>
              <w:lang w:val="zh-CN"/>
            </w:rPr>
          </w:pPr>
          <w:r>
            <w:rPr>
              <w:rFonts w:ascii="Cambria" w:hAnsi="Cambria" w:eastAsia="方正小标宋简体" w:cs="Times New Roman"/>
              <w:color w:val="auto"/>
              <w:kern w:val="2"/>
              <w:sz w:val="36"/>
              <w:szCs w:val="36"/>
              <w:lang w:val="zh-CN"/>
            </w:rPr>
            <w:t>目</w:t>
          </w:r>
          <w:r>
            <w:rPr>
              <w:rFonts w:hint="eastAsia" w:ascii="Cambria" w:hAnsi="Cambria" w:eastAsia="方正小标宋简体" w:cs="Times New Roman"/>
              <w:color w:val="auto"/>
              <w:kern w:val="2"/>
              <w:sz w:val="36"/>
              <w:szCs w:val="36"/>
              <w:lang w:val="zh-CN"/>
            </w:rPr>
            <w:t xml:space="preserve"> </w:t>
          </w:r>
          <w:r>
            <w:rPr>
              <w:rFonts w:ascii="Cambria" w:hAnsi="Cambria" w:eastAsia="方正小标宋简体" w:cs="Times New Roman"/>
              <w:color w:val="auto"/>
              <w:kern w:val="2"/>
              <w:sz w:val="36"/>
              <w:szCs w:val="36"/>
              <w:lang w:val="zh-CN"/>
            </w:rPr>
            <w:t>录</w:t>
          </w:r>
        </w:p>
        <w:p>
          <w:pPr>
            <w:pStyle w:val="10"/>
            <w:tabs>
              <w:tab w:val="right" w:leader="dot" w:pos="8948"/>
            </w:tabs>
            <w:spacing w:before="120" w:after="120"/>
            <w:ind w:firstLine="560"/>
            <w:jc w:val="left"/>
            <w:rPr>
              <w:rStyle w:val="17"/>
              <w:rFonts w:ascii="仿宋_GB2312" w:hAnsi="仿宋_GB2312" w:eastAsia="仿宋_GB2312" w:cs="仿宋_GB2312"/>
              <w:bCs/>
              <w:caps/>
              <w:color w:val="auto"/>
              <w:sz w:val="32"/>
              <w:szCs w:val="32"/>
            </w:rPr>
          </w:pPr>
          <w:r>
            <w:rPr>
              <w:rStyle w:val="17"/>
              <w:rFonts w:ascii="仿宋_GB2312" w:hAnsi="仿宋_GB2312" w:eastAsia="仿宋_GB2312" w:cs="仿宋_GB2312"/>
              <w:smallCaps/>
              <w:color w:val="auto"/>
              <w:sz w:val="32"/>
              <w:szCs w:val="32"/>
            </w:rPr>
            <w:fldChar w:fldCharType="begin"/>
          </w:r>
          <w:r>
            <w:rPr>
              <w:rStyle w:val="17"/>
              <w:rFonts w:ascii="仿宋_GB2312" w:hAnsi="仿宋_GB2312" w:eastAsia="仿宋_GB2312" w:cs="仿宋_GB2312"/>
              <w:smallCaps/>
              <w:color w:val="auto"/>
              <w:sz w:val="32"/>
              <w:szCs w:val="32"/>
            </w:rPr>
            <w:instrText xml:space="preserve"> TOC \o "1-3" \h \z \u </w:instrText>
          </w:r>
          <w:r>
            <w:rPr>
              <w:rStyle w:val="17"/>
              <w:rFonts w:ascii="仿宋_GB2312" w:hAnsi="仿宋_GB2312" w:eastAsia="仿宋_GB2312" w:cs="仿宋_GB2312"/>
              <w:smallCaps/>
              <w:color w:val="auto"/>
              <w:sz w:val="32"/>
              <w:szCs w:val="32"/>
            </w:rPr>
            <w:fldChar w:fldCharType="separate"/>
          </w:r>
          <w:r>
            <w:fldChar w:fldCharType="begin"/>
          </w:r>
          <w:r>
            <w:instrText xml:space="preserve"> HYPERLINK \l "_Toc14535862" </w:instrText>
          </w:r>
          <w:r>
            <w:fldChar w:fldCharType="separate"/>
          </w:r>
          <w:r>
            <w:rPr>
              <w:rStyle w:val="17"/>
              <w:rFonts w:ascii="仿宋_GB2312" w:hAnsi="仿宋_GB2312" w:eastAsia="仿宋_GB2312" w:cs="仿宋_GB2312"/>
              <w:bCs/>
              <w:caps/>
              <w:color w:val="auto"/>
              <w:sz w:val="32"/>
              <w:szCs w:val="32"/>
            </w:rPr>
            <w:t>一、项目基本情况及自评结论</w:t>
          </w:r>
          <w:r>
            <w:rPr>
              <w:rStyle w:val="17"/>
              <w:rFonts w:ascii="仿宋_GB2312" w:hAnsi="仿宋_GB2312" w:eastAsia="仿宋_GB2312" w:cs="仿宋_GB2312"/>
              <w:bCs/>
              <w:caps/>
              <w:color w:val="auto"/>
              <w:sz w:val="32"/>
              <w:szCs w:val="32"/>
            </w:rPr>
            <w:tab/>
          </w:r>
          <w:r>
            <w:rPr>
              <w:rStyle w:val="17"/>
              <w:rFonts w:ascii="仿宋_GB2312" w:hAnsi="仿宋_GB2312" w:eastAsia="仿宋_GB2312" w:cs="仿宋_GB2312"/>
              <w:bCs/>
              <w:caps/>
              <w:color w:val="auto"/>
              <w:sz w:val="32"/>
              <w:szCs w:val="32"/>
            </w:rPr>
            <w:fldChar w:fldCharType="begin"/>
          </w:r>
          <w:r>
            <w:rPr>
              <w:rStyle w:val="17"/>
              <w:rFonts w:ascii="仿宋_GB2312" w:hAnsi="仿宋_GB2312" w:eastAsia="仿宋_GB2312" w:cs="仿宋_GB2312"/>
              <w:bCs/>
              <w:caps/>
              <w:color w:val="auto"/>
              <w:sz w:val="32"/>
              <w:szCs w:val="32"/>
            </w:rPr>
            <w:instrText xml:space="preserve"> PAGEREF _Toc14535862 \h </w:instrText>
          </w:r>
          <w:r>
            <w:rPr>
              <w:rStyle w:val="17"/>
              <w:rFonts w:ascii="仿宋_GB2312" w:hAnsi="仿宋_GB2312" w:eastAsia="仿宋_GB2312" w:cs="仿宋_GB2312"/>
              <w:bCs/>
              <w:caps/>
              <w:color w:val="auto"/>
              <w:sz w:val="32"/>
              <w:szCs w:val="32"/>
            </w:rPr>
            <w:fldChar w:fldCharType="separate"/>
          </w:r>
          <w:r>
            <w:rPr>
              <w:rStyle w:val="17"/>
              <w:rFonts w:ascii="仿宋_GB2312" w:hAnsi="仿宋_GB2312" w:eastAsia="仿宋_GB2312" w:cs="仿宋_GB2312"/>
              <w:bCs/>
              <w:caps/>
              <w:color w:val="auto"/>
              <w:sz w:val="32"/>
              <w:szCs w:val="32"/>
            </w:rPr>
            <w:t>- 1 -</w:t>
          </w:r>
          <w:r>
            <w:rPr>
              <w:rStyle w:val="17"/>
              <w:rFonts w:ascii="仿宋_GB2312" w:hAnsi="仿宋_GB2312" w:eastAsia="仿宋_GB2312" w:cs="仿宋_GB2312"/>
              <w:bCs/>
              <w:caps/>
              <w:color w:val="auto"/>
              <w:sz w:val="32"/>
              <w:szCs w:val="32"/>
            </w:rPr>
            <w:fldChar w:fldCharType="end"/>
          </w:r>
          <w:r>
            <w:rPr>
              <w:rStyle w:val="17"/>
              <w:rFonts w:ascii="仿宋_GB2312" w:hAnsi="仿宋_GB2312" w:eastAsia="仿宋_GB2312" w:cs="仿宋_GB2312"/>
              <w:bCs/>
              <w:caps/>
              <w:color w:val="auto"/>
              <w:sz w:val="32"/>
              <w:szCs w:val="32"/>
            </w:rPr>
            <w:fldChar w:fldCharType="end"/>
          </w:r>
        </w:p>
        <w:p>
          <w:pPr>
            <w:pStyle w:val="10"/>
            <w:tabs>
              <w:tab w:val="right" w:leader="dot" w:pos="8948"/>
            </w:tabs>
            <w:spacing w:before="120" w:after="120"/>
            <w:ind w:firstLine="560"/>
            <w:jc w:val="left"/>
            <w:rPr>
              <w:rStyle w:val="17"/>
              <w:rFonts w:ascii="仿宋_GB2312" w:hAnsi="仿宋_GB2312" w:eastAsia="仿宋_GB2312" w:cs="仿宋_GB2312"/>
              <w:bCs/>
              <w:caps/>
              <w:color w:val="auto"/>
              <w:sz w:val="32"/>
              <w:szCs w:val="32"/>
            </w:rPr>
          </w:pPr>
          <w:r>
            <w:fldChar w:fldCharType="begin"/>
          </w:r>
          <w:r>
            <w:instrText xml:space="preserve"> HYPERLINK \l "_Toc14535863" </w:instrText>
          </w:r>
          <w:r>
            <w:fldChar w:fldCharType="separate"/>
          </w:r>
          <w:r>
            <w:rPr>
              <w:rStyle w:val="17"/>
              <w:rFonts w:ascii="仿宋_GB2312" w:hAnsi="仿宋_GB2312" w:eastAsia="仿宋_GB2312" w:cs="仿宋_GB2312"/>
              <w:bCs/>
              <w:caps/>
              <w:color w:val="auto"/>
              <w:sz w:val="32"/>
              <w:szCs w:val="32"/>
            </w:rPr>
            <w:t>（一）项目资金安排情况</w:t>
          </w:r>
          <w:r>
            <w:rPr>
              <w:rStyle w:val="17"/>
              <w:rFonts w:ascii="仿宋_GB2312" w:hAnsi="仿宋_GB2312" w:eastAsia="仿宋_GB2312" w:cs="仿宋_GB2312"/>
              <w:bCs/>
              <w:caps/>
              <w:color w:val="auto"/>
              <w:sz w:val="32"/>
              <w:szCs w:val="32"/>
            </w:rPr>
            <w:tab/>
          </w:r>
          <w:r>
            <w:rPr>
              <w:rStyle w:val="17"/>
              <w:rFonts w:ascii="仿宋_GB2312" w:hAnsi="仿宋_GB2312" w:eastAsia="仿宋_GB2312" w:cs="仿宋_GB2312"/>
              <w:bCs/>
              <w:caps/>
              <w:color w:val="auto"/>
              <w:sz w:val="32"/>
              <w:szCs w:val="32"/>
            </w:rPr>
            <w:fldChar w:fldCharType="begin"/>
          </w:r>
          <w:r>
            <w:rPr>
              <w:rStyle w:val="17"/>
              <w:rFonts w:ascii="仿宋_GB2312" w:hAnsi="仿宋_GB2312" w:eastAsia="仿宋_GB2312" w:cs="仿宋_GB2312"/>
              <w:bCs/>
              <w:caps/>
              <w:color w:val="auto"/>
              <w:sz w:val="32"/>
              <w:szCs w:val="32"/>
            </w:rPr>
            <w:instrText xml:space="preserve"> PAGEREF _Toc14535863 \h </w:instrText>
          </w:r>
          <w:r>
            <w:rPr>
              <w:rStyle w:val="17"/>
              <w:rFonts w:ascii="仿宋_GB2312" w:hAnsi="仿宋_GB2312" w:eastAsia="仿宋_GB2312" w:cs="仿宋_GB2312"/>
              <w:bCs/>
              <w:caps/>
              <w:color w:val="auto"/>
              <w:sz w:val="32"/>
              <w:szCs w:val="32"/>
            </w:rPr>
            <w:fldChar w:fldCharType="separate"/>
          </w:r>
          <w:r>
            <w:rPr>
              <w:rStyle w:val="17"/>
              <w:rFonts w:ascii="仿宋_GB2312" w:hAnsi="仿宋_GB2312" w:eastAsia="仿宋_GB2312" w:cs="仿宋_GB2312"/>
              <w:bCs/>
              <w:caps/>
              <w:color w:val="auto"/>
              <w:sz w:val="32"/>
              <w:szCs w:val="32"/>
            </w:rPr>
            <w:t>- 1 -</w:t>
          </w:r>
          <w:r>
            <w:rPr>
              <w:rStyle w:val="17"/>
              <w:rFonts w:ascii="仿宋_GB2312" w:hAnsi="仿宋_GB2312" w:eastAsia="仿宋_GB2312" w:cs="仿宋_GB2312"/>
              <w:bCs/>
              <w:caps/>
              <w:color w:val="auto"/>
              <w:sz w:val="32"/>
              <w:szCs w:val="32"/>
            </w:rPr>
            <w:fldChar w:fldCharType="end"/>
          </w:r>
          <w:r>
            <w:rPr>
              <w:rStyle w:val="17"/>
              <w:rFonts w:ascii="仿宋_GB2312" w:hAnsi="仿宋_GB2312" w:eastAsia="仿宋_GB2312" w:cs="仿宋_GB2312"/>
              <w:bCs/>
              <w:caps/>
              <w:color w:val="auto"/>
              <w:sz w:val="32"/>
              <w:szCs w:val="32"/>
            </w:rPr>
            <w:fldChar w:fldCharType="end"/>
          </w:r>
        </w:p>
        <w:p>
          <w:pPr>
            <w:pStyle w:val="10"/>
            <w:tabs>
              <w:tab w:val="right" w:leader="dot" w:pos="8948"/>
            </w:tabs>
            <w:spacing w:before="120" w:after="120"/>
            <w:ind w:firstLine="560"/>
            <w:jc w:val="left"/>
            <w:rPr>
              <w:rStyle w:val="17"/>
              <w:rFonts w:ascii="仿宋_GB2312" w:hAnsi="仿宋_GB2312" w:eastAsia="仿宋_GB2312" w:cs="仿宋_GB2312"/>
              <w:bCs/>
              <w:caps/>
              <w:color w:val="auto"/>
              <w:sz w:val="32"/>
              <w:szCs w:val="32"/>
            </w:rPr>
          </w:pPr>
          <w:r>
            <w:fldChar w:fldCharType="begin"/>
          </w:r>
          <w:r>
            <w:instrText xml:space="preserve"> HYPERLINK \l "_Toc14535864" </w:instrText>
          </w:r>
          <w:r>
            <w:fldChar w:fldCharType="separate"/>
          </w:r>
          <w:r>
            <w:rPr>
              <w:rStyle w:val="17"/>
              <w:rFonts w:ascii="仿宋_GB2312" w:hAnsi="仿宋_GB2312" w:eastAsia="仿宋_GB2312" w:cs="仿宋_GB2312"/>
              <w:bCs/>
              <w:caps/>
              <w:color w:val="auto"/>
              <w:sz w:val="32"/>
              <w:szCs w:val="32"/>
            </w:rPr>
            <w:t>（二）项目实施主要内容和实施程序</w:t>
          </w:r>
          <w:r>
            <w:rPr>
              <w:rStyle w:val="17"/>
              <w:rFonts w:ascii="仿宋_GB2312" w:hAnsi="仿宋_GB2312" w:eastAsia="仿宋_GB2312" w:cs="仿宋_GB2312"/>
              <w:bCs/>
              <w:caps/>
              <w:color w:val="auto"/>
              <w:sz w:val="32"/>
              <w:szCs w:val="32"/>
            </w:rPr>
            <w:tab/>
          </w:r>
          <w:r>
            <w:rPr>
              <w:rStyle w:val="17"/>
              <w:rFonts w:ascii="仿宋_GB2312" w:hAnsi="仿宋_GB2312" w:eastAsia="仿宋_GB2312" w:cs="仿宋_GB2312"/>
              <w:bCs/>
              <w:caps/>
              <w:color w:val="auto"/>
              <w:sz w:val="32"/>
              <w:szCs w:val="32"/>
            </w:rPr>
            <w:fldChar w:fldCharType="begin"/>
          </w:r>
          <w:r>
            <w:rPr>
              <w:rStyle w:val="17"/>
              <w:rFonts w:ascii="仿宋_GB2312" w:hAnsi="仿宋_GB2312" w:eastAsia="仿宋_GB2312" w:cs="仿宋_GB2312"/>
              <w:bCs/>
              <w:caps/>
              <w:color w:val="auto"/>
              <w:sz w:val="32"/>
              <w:szCs w:val="32"/>
            </w:rPr>
            <w:instrText xml:space="preserve"> PAGEREF _Toc14535864 \h </w:instrText>
          </w:r>
          <w:r>
            <w:rPr>
              <w:rStyle w:val="17"/>
              <w:rFonts w:ascii="仿宋_GB2312" w:hAnsi="仿宋_GB2312" w:eastAsia="仿宋_GB2312" w:cs="仿宋_GB2312"/>
              <w:bCs/>
              <w:caps/>
              <w:color w:val="auto"/>
              <w:sz w:val="32"/>
              <w:szCs w:val="32"/>
            </w:rPr>
            <w:fldChar w:fldCharType="separate"/>
          </w:r>
          <w:r>
            <w:rPr>
              <w:rStyle w:val="17"/>
              <w:rFonts w:ascii="仿宋_GB2312" w:hAnsi="仿宋_GB2312" w:eastAsia="仿宋_GB2312" w:cs="仿宋_GB2312"/>
              <w:bCs/>
              <w:caps/>
              <w:color w:val="auto"/>
              <w:sz w:val="32"/>
              <w:szCs w:val="32"/>
            </w:rPr>
            <w:t>- 3 -</w:t>
          </w:r>
          <w:r>
            <w:rPr>
              <w:rStyle w:val="17"/>
              <w:rFonts w:ascii="仿宋_GB2312" w:hAnsi="仿宋_GB2312" w:eastAsia="仿宋_GB2312" w:cs="仿宋_GB2312"/>
              <w:bCs/>
              <w:caps/>
              <w:color w:val="auto"/>
              <w:sz w:val="32"/>
              <w:szCs w:val="32"/>
            </w:rPr>
            <w:fldChar w:fldCharType="end"/>
          </w:r>
          <w:r>
            <w:rPr>
              <w:rStyle w:val="17"/>
              <w:rFonts w:ascii="仿宋_GB2312" w:hAnsi="仿宋_GB2312" w:eastAsia="仿宋_GB2312" w:cs="仿宋_GB2312"/>
              <w:bCs/>
              <w:caps/>
              <w:color w:val="auto"/>
              <w:sz w:val="32"/>
              <w:szCs w:val="32"/>
            </w:rPr>
            <w:fldChar w:fldCharType="end"/>
          </w:r>
        </w:p>
        <w:p>
          <w:pPr>
            <w:pStyle w:val="10"/>
            <w:tabs>
              <w:tab w:val="right" w:leader="dot" w:pos="8948"/>
            </w:tabs>
            <w:spacing w:before="120" w:after="120"/>
            <w:ind w:firstLine="560"/>
            <w:jc w:val="left"/>
            <w:rPr>
              <w:rStyle w:val="17"/>
              <w:rFonts w:ascii="仿宋_GB2312" w:hAnsi="仿宋_GB2312" w:eastAsia="仿宋_GB2312" w:cs="仿宋_GB2312"/>
              <w:bCs/>
              <w:caps/>
              <w:color w:val="auto"/>
              <w:sz w:val="32"/>
              <w:szCs w:val="32"/>
            </w:rPr>
          </w:pPr>
          <w:r>
            <w:fldChar w:fldCharType="begin"/>
          </w:r>
          <w:r>
            <w:instrText xml:space="preserve"> HYPERLINK \l "_Toc14535865" </w:instrText>
          </w:r>
          <w:r>
            <w:fldChar w:fldCharType="separate"/>
          </w:r>
          <w:r>
            <w:rPr>
              <w:rStyle w:val="17"/>
              <w:rFonts w:ascii="仿宋_GB2312" w:hAnsi="仿宋_GB2312" w:eastAsia="仿宋_GB2312" w:cs="仿宋_GB2312"/>
              <w:bCs/>
              <w:caps/>
              <w:color w:val="auto"/>
              <w:sz w:val="32"/>
              <w:szCs w:val="32"/>
            </w:rPr>
            <w:t>（三）项目自评等级和评价指标分析</w:t>
          </w:r>
          <w:r>
            <w:rPr>
              <w:rStyle w:val="17"/>
              <w:rFonts w:ascii="仿宋_GB2312" w:hAnsi="仿宋_GB2312" w:eastAsia="仿宋_GB2312" w:cs="仿宋_GB2312"/>
              <w:bCs/>
              <w:caps/>
              <w:color w:val="auto"/>
              <w:sz w:val="32"/>
              <w:szCs w:val="32"/>
            </w:rPr>
            <w:tab/>
          </w:r>
          <w:r>
            <w:rPr>
              <w:rStyle w:val="17"/>
              <w:rFonts w:ascii="仿宋_GB2312" w:hAnsi="仿宋_GB2312" w:eastAsia="仿宋_GB2312" w:cs="仿宋_GB2312"/>
              <w:bCs/>
              <w:caps/>
              <w:color w:val="auto"/>
              <w:sz w:val="32"/>
              <w:szCs w:val="32"/>
            </w:rPr>
            <w:fldChar w:fldCharType="begin"/>
          </w:r>
          <w:r>
            <w:rPr>
              <w:rStyle w:val="17"/>
              <w:rFonts w:ascii="仿宋_GB2312" w:hAnsi="仿宋_GB2312" w:eastAsia="仿宋_GB2312" w:cs="仿宋_GB2312"/>
              <w:bCs/>
              <w:caps/>
              <w:color w:val="auto"/>
              <w:sz w:val="32"/>
              <w:szCs w:val="32"/>
            </w:rPr>
            <w:instrText xml:space="preserve"> PAGEREF _Toc14535865 \h </w:instrText>
          </w:r>
          <w:r>
            <w:rPr>
              <w:rStyle w:val="17"/>
              <w:rFonts w:ascii="仿宋_GB2312" w:hAnsi="仿宋_GB2312" w:eastAsia="仿宋_GB2312" w:cs="仿宋_GB2312"/>
              <w:bCs/>
              <w:caps/>
              <w:color w:val="auto"/>
              <w:sz w:val="32"/>
              <w:szCs w:val="32"/>
            </w:rPr>
            <w:fldChar w:fldCharType="separate"/>
          </w:r>
          <w:r>
            <w:rPr>
              <w:rStyle w:val="17"/>
              <w:rFonts w:ascii="仿宋_GB2312" w:hAnsi="仿宋_GB2312" w:eastAsia="仿宋_GB2312" w:cs="仿宋_GB2312"/>
              <w:bCs/>
              <w:caps/>
              <w:color w:val="auto"/>
              <w:sz w:val="32"/>
              <w:szCs w:val="32"/>
            </w:rPr>
            <w:t>- 6 -</w:t>
          </w:r>
          <w:r>
            <w:rPr>
              <w:rStyle w:val="17"/>
              <w:rFonts w:ascii="仿宋_GB2312" w:hAnsi="仿宋_GB2312" w:eastAsia="仿宋_GB2312" w:cs="仿宋_GB2312"/>
              <w:bCs/>
              <w:caps/>
              <w:color w:val="auto"/>
              <w:sz w:val="32"/>
              <w:szCs w:val="32"/>
            </w:rPr>
            <w:fldChar w:fldCharType="end"/>
          </w:r>
          <w:r>
            <w:rPr>
              <w:rStyle w:val="17"/>
              <w:rFonts w:ascii="仿宋_GB2312" w:hAnsi="仿宋_GB2312" w:eastAsia="仿宋_GB2312" w:cs="仿宋_GB2312"/>
              <w:bCs/>
              <w:caps/>
              <w:color w:val="auto"/>
              <w:sz w:val="32"/>
              <w:szCs w:val="32"/>
            </w:rPr>
            <w:fldChar w:fldCharType="end"/>
          </w:r>
        </w:p>
        <w:p>
          <w:pPr>
            <w:pStyle w:val="10"/>
            <w:tabs>
              <w:tab w:val="right" w:leader="dot" w:pos="8948"/>
            </w:tabs>
            <w:spacing w:before="120" w:after="120"/>
            <w:ind w:firstLine="840" w:firstLineChars="400"/>
            <w:jc w:val="left"/>
            <w:rPr>
              <w:rStyle w:val="17"/>
              <w:rFonts w:ascii="仿宋_GB2312" w:hAnsi="仿宋_GB2312" w:eastAsia="仿宋_GB2312" w:cs="仿宋_GB2312"/>
              <w:bCs/>
              <w:caps/>
              <w:color w:val="auto"/>
              <w:sz w:val="32"/>
              <w:szCs w:val="32"/>
            </w:rPr>
          </w:pPr>
          <w:r>
            <w:fldChar w:fldCharType="begin"/>
          </w:r>
          <w:r>
            <w:instrText xml:space="preserve"> HYPERLINK \l "_Toc14535866" </w:instrText>
          </w:r>
          <w:r>
            <w:fldChar w:fldCharType="separate"/>
          </w:r>
          <w:r>
            <w:rPr>
              <w:rStyle w:val="17"/>
              <w:rFonts w:ascii="仿宋_GB2312" w:hAnsi="仿宋_GB2312" w:eastAsia="仿宋_GB2312" w:cs="仿宋_GB2312"/>
              <w:bCs/>
              <w:caps/>
              <w:color w:val="auto"/>
              <w:sz w:val="32"/>
              <w:szCs w:val="32"/>
            </w:rPr>
            <w:t>1.项目立项。</w:t>
          </w:r>
          <w:r>
            <w:rPr>
              <w:rStyle w:val="17"/>
              <w:rFonts w:ascii="仿宋_GB2312" w:hAnsi="仿宋_GB2312" w:eastAsia="仿宋_GB2312" w:cs="仿宋_GB2312"/>
              <w:bCs/>
              <w:caps/>
              <w:color w:val="auto"/>
              <w:sz w:val="32"/>
              <w:szCs w:val="32"/>
            </w:rPr>
            <w:tab/>
          </w:r>
          <w:r>
            <w:rPr>
              <w:rStyle w:val="17"/>
              <w:rFonts w:ascii="仿宋_GB2312" w:hAnsi="仿宋_GB2312" w:eastAsia="仿宋_GB2312" w:cs="仿宋_GB2312"/>
              <w:bCs/>
              <w:caps/>
              <w:color w:val="auto"/>
              <w:sz w:val="32"/>
              <w:szCs w:val="32"/>
            </w:rPr>
            <w:fldChar w:fldCharType="begin"/>
          </w:r>
          <w:r>
            <w:rPr>
              <w:rStyle w:val="17"/>
              <w:rFonts w:ascii="仿宋_GB2312" w:hAnsi="仿宋_GB2312" w:eastAsia="仿宋_GB2312" w:cs="仿宋_GB2312"/>
              <w:bCs/>
              <w:caps/>
              <w:color w:val="auto"/>
              <w:sz w:val="32"/>
              <w:szCs w:val="32"/>
            </w:rPr>
            <w:instrText xml:space="preserve"> PAGEREF _Toc14535866 \h </w:instrText>
          </w:r>
          <w:r>
            <w:rPr>
              <w:rStyle w:val="17"/>
              <w:rFonts w:ascii="仿宋_GB2312" w:hAnsi="仿宋_GB2312" w:eastAsia="仿宋_GB2312" w:cs="仿宋_GB2312"/>
              <w:bCs/>
              <w:caps/>
              <w:color w:val="auto"/>
              <w:sz w:val="32"/>
              <w:szCs w:val="32"/>
            </w:rPr>
            <w:fldChar w:fldCharType="separate"/>
          </w:r>
          <w:r>
            <w:rPr>
              <w:rStyle w:val="17"/>
              <w:rFonts w:ascii="仿宋_GB2312" w:hAnsi="仿宋_GB2312" w:eastAsia="仿宋_GB2312" w:cs="仿宋_GB2312"/>
              <w:bCs/>
              <w:caps/>
              <w:color w:val="auto"/>
              <w:sz w:val="32"/>
              <w:szCs w:val="32"/>
            </w:rPr>
            <w:t>- 9 -</w:t>
          </w:r>
          <w:r>
            <w:rPr>
              <w:rStyle w:val="17"/>
              <w:rFonts w:ascii="仿宋_GB2312" w:hAnsi="仿宋_GB2312" w:eastAsia="仿宋_GB2312" w:cs="仿宋_GB2312"/>
              <w:bCs/>
              <w:caps/>
              <w:color w:val="auto"/>
              <w:sz w:val="32"/>
              <w:szCs w:val="32"/>
            </w:rPr>
            <w:fldChar w:fldCharType="end"/>
          </w:r>
          <w:r>
            <w:rPr>
              <w:rStyle w:val="17"/>
              <w:rFonts w:ascii="仿宋_GB2312" w:hAnsi="仿宋_GB2312" w:eastAsia="仿宋_GB2312" w:cs="仿宋_GB2312"/>
              <w:bCs/>
              <w:caps/>
              <w:color w:val="auto"/>
              <w:sz w:val="32"/>
              <w:szCs w:val="32"/>
            </w:rPr>
            <w:fldChar w:fldCharType="end"/>
          </w:r>
        </w:p>
        <w:p>
          <w:pPr>
            <w:pStyle w:val="10"/>
            <w:tabs>
              <w:tab w:val="right" w:leader="dot" w:pos="8948"/>
            </w:tabs>
            <w:spacing w:before="120" w:after="120"/>
            <w:ind w:firstLine="840" w:firstLineChars="400"/>
            <w:jc w:val="left"/>
            <w:rPr>
              <w:rStyle w:val="17"/>
              <w:rFonts w:ascii="仿宋_GB2312" w:hAnsi="仿宋_GB2312" w:eastAsia="仿宋_GB2312" w:cs="仿宋_GB2312"/>
              <w:bCs/>
              <w:caps/>
              <w:color w:val="auto"/>
              <w:sz w:val="32"/>
              <w:szCs w:val="32"/>
            </w:rPr>
          </w:pPr>
          <w:r>
            <w:fldChar w:fldCharType="begin"/>
          </w:r>
          <w:r>
            <w:instrText xml:space="preserve"> HYPERLINK \l "_Toc14535867" </w:instrText>
          </w:r>
          <w:r>
            <w:fldChar w:fldCharType="separate"/>
          </w:r>
          <w:r>
            <w:rPr>
              <w:rStyle w:val="17"/>
              <w:rFonts w:ascii="仿宋_GB2312" w:hAnsi="仿宋_GB2312" w:eastAsia="仿宋_GB2312" w:cs="仿宋_GB2312"/>
              <w:bCs/>
              <w:caps/>
              <w:color w:val="auto"/>
              <w:sz w:val="32"/>
              <w:szCs w:val="32"/>
            </w:rPr>
            <w:t>2.资金落实。</w:t>
          </w:r>
          <w:r>
            <w:rPr>
              <w:rStyle w:val="17"/>
              <w:rFonts w:ascii="仿宋_GB2312" w:hAnsi="仿宋_GB2312" w:eastAsia="仿宋_GB2312" w:cs="仿宋_GB2312"/>
              <w:bCs/>
              <w:caps/>
              <w:color w:val="auto"/>
              <w:sz w:val="32"/>
              <w:szCs w:val="32"/>
            </w:rPr>
            <w:tab/>
          </w:r>
          <w:r>
            <w:rPr>
              <w:rStyle w:val="17"/>
              <w:rFonts w:ascii="仿宋_GB2312" w:hAnsi="仿宋_GB2312" w:eastAsia="仿宋_GB2312" w:cs="仿宋_GB2312"/>
              <w:bCs/>
              <w:caps/>
              <w:color w:val="auto"/>
              <w:sz w:val="32"/>
              <w:szCs w:val="32"/>
            </w:rPr>
            <w:fldChar w:fldCharType="begin"/>
          </w:r>
          <w:r>
            <w:rPr>
              <w:rStyle w:val="17"/>
              <w:rFonts w:ascii="仿宋_GB2312" w:hAnsi="仿宋_GB2312" w:eastAsia="仿宋_GB2312" w:cs="仿宋_GB2312"/>
              <w:bCs/>
              <w:caps/>
              <w:color w:val="auto"/>
              <w:sz w:val="32"/>
              <w:szCs w:val="32"/>
            </w:rPr>
            <w:instrText xml:space="preserve"> PAGEREF _Toc14535867 \h </w:instrText>
          </w:r>
          <w:r>
            <w:rPr>
              <w:rStyle w:val="17"/>
              <w:rFonts w:ascii="仿宋_GB2312" w:hAnsi="仿宋_GB2312" w:eastAsia="仿宋_GB2312" w:cs="仿宋_GB2312"/>
              <w:bCs/>
              <w:caps/>
              <w:color w:val="auto"/>
              <w:sz w:val="32"/>
              <w:szCs w:val="32"/>
            </w:rPr>
            <w:fldChar w:fldCharType="separate"/>
          </w:r>
          <w:r>
            <w:rPr>
              <w:rStyle w:val="17"/>
              <w:rFonts w:ascii="仿宋_GB2312" w:hAnsi="仿宋_GB2312" w:eastAsia="仿宋_GB2312" w:cs="仿宋_GB2312"/>
              <w:bCs/>
              <w:caps/>
              <w:color w:val="auto"/>
              <w:sz w:val="32"/>
              <w:szCs w:val="32"/>
            </w:rPr>
            <w:t>- 10 -</w:t>
          </w:r>
          <w:r>
            <w:rPr>
              <w:rStyle w:val="17"/>
              <w:rFonts w:ascii="仿宋_GB2312" w:hAnsi="仿宋_GB2312" w:eastAsia="仿宋_GB2312" w:cs="仿宋_GB2312"/>
              <w:bCs/>
              <w:caps/>
              <w:color w:val="auto"/>
              <w:sz w:val="32"/>
              <w:szCs w:val="32"/>
            </w:rPr>
            <w:fldChar w:fldCharType="end"/>
          </w:r>
          <w:r>
            <w:rPr>
              <w:rStyle w:val="17"/>
              <w:rFonts w:ascii="仿宋_GB2312" w:hAnsi="仿宋_GB2312" w:eastAsia="仿宋_GB2312" w:cs="仿宋_GB2312"/>
              <w:bCs/>
              <w:caps/>
              <w:color w:val="auto"/>
              <w:sz w:val="32"/>
              <w:szCs w:val="32"/>
            </w:rPr>
            <w:fldChar w:fldCharType="end"/>
          </w:r>
        </w:p>
        <w:p>
          <w:pPr>
            <w:pStyle w:val="10"/>
            <w:tabs>
              <w:tab w:val="right" w:leader="dot" w:pos="8948"/>
            </w:tabs>
            <w:spacing w:before="120" w:after="120"/>
            <w:ind w:firstLine="840" w:firstLineChars="400"/>
            <w:jc w:val="left"/>
            <w:rPr>
              <w:rStyle w:val="17"/>
              <w:rFonts w:ascii="仿宋_GB2312" w:hAnsi="仿宋_GB2312" w:eastAsia="仿宋_GB2312" w:cs="仿宋_GB2312"/>
              <w:bCs/>
              <w:caps/>
              <w:color w:val="auto"/>
              <w:sz w:val="32"/>
              <w:szCs w:val="32"/>
            </w:rPr>
          </w:pPr>
          <w:r>
            <w:fldChar w:fldCharType="begin"/>
          </w:r>
          <w:r>
            <w:instrText xml:space="preserve"> HYPERLINK \l "_Toc14535868" </w:instrText>
          </w:r>
          <w:r>
            <w:fldChar w:fldCharType="separate"/>
          </w:r>
          <w:r>
            <w:rPr>
              <w:rStyle w:val="17"/>
              <w:rFonts w:ascii="仿宋_GB2312" w:hAnsi="仿宋_GB2312" w:eastAsia="仿宋_GB2312" w:cs="仿宋_GB2312"/>
              <w:bCs/>
              <w:caps/>
              <w:color w:val="auto"/>
              <w:sz w:val="32"/>
              <w:szCs w:val="32"/>
            </w:rPr>
            <w:t>3.资金管理。</w:t>
          </w:r>
          <w:r>
            <w:rPr>
              <w:rStyle w:val="17"/>
              <w:rFonts w:ascii="仿宋_GB2312" w:hAnsi="仿宋_GB2312" w:eastAsia="仿宋_GB2312" w:cs="仿宋_GB2312"/>
              <w:bCs/>
              <w:caps/>
              <w:color w:val="auto"/>
              <w:sz w:val="32"/>
              <w:szCs w:val="32"/>
            </w:rPr>
            <w:tab/>
          </w:r>
          <w:r>
            <w:rPr>
              <w:rStyle w:val="17"/>
              <w:rFonts w:ascii="仿宋_GB2312" w:hAnsi="仿宋_GB2312" w:eastAsia="仿宋_GB2312" w:cs="仿宋_GB2312"/>
              <w:bCs/>
              <w:caps/>
              <w:color w:val="auto"/>
              <w:sz w:val="32"/>
              <w:szCs w:val="32"/>
            </w:rPr>
            <w:fldChar w:fldCharType="begin"/>
          </w:r>
          <w:r>
            <w:rPr>
              <w:rStyle w:val="17"/>
              <w:rFonts w:ascii="仿宋_GB2312" w:hAnsi="仿宋_GB2312" w:eastAsia="仿宋_GB2312" w:cs="仿宋_GB2312"/>
              <w:bCs/>
              <w:caps/>
              <w:color w:val="auto"/>
              <w:sz w:val="32"/>
              <w:szCs w:val="32"/>
            </w:rPr>
            <w:instrText xml:space="preserve"> PAGEREF _Toc14535868 \h </w:instrText>
          </w:r>
          <w:r>
            <w:rPr>
              <w:rStyle w:val="17"/>
              <w:rFonts w:ascii="仿宋_GB2312" w:hAnsi="仿宋_GB2312" w:eastAsia="仿宋_GB2312" w:cs="仿宋_GB2312"/>
              <w:bCs/>
              <w:caps/>
              <w:color w:val="auto"/>
              <w:sz w:val="32"/>
              <w:szCs w:val="32"/>
            </w:rPr>
            <w:fldChar w:fldCharType="separate"/>
          </w:r>
          <w:r>
            <w:rPr>
              <w:rStyle w:val="17"/>
              <w:rFonts w:ascii="仿宋_GB2312" w:hAnsi="仿宋_GB2312" w:eastAsia="仿宋_GB2312" w:cs="仿宋_GB2312"/>
              <w:bCs/>
              <w:caps/>
              <w:color w:val="auto"/>
              <w:sz w:val="32"/>
              <w:szCs w:val="32"/>
            </w:rPr>
            <w:t>- 10 -</w:t>
          </w:r>
          <w:r>
            <w:rPr>
              <w:rStyle w:val="17"/>
              <w:rFonts w:ascii="仿宋_GB2312" w:hAnsi="仿宋_GB2312" w:eastAsia="仿宋_GB2312" w:cs="仿宋_GB2312"/>
              <w:bCs/>
              <w:caps/>
              <w:color w:val="auto"/>
              <w:sz w:val="32"/>
              <w:szCs w:val="32"/>
            </w:rPr>
            <w:fldChar w:fldCharType="end"/>
          </w:r>
          <w:r>
            <w:rPr>
              <w:rStyle w:val="17"/>
              <w:rFonts w:ascii="仿宋_GB2312" w:hAnsi="仿宋_GB2312" w:eastAsia="仿宋_GB2312" w:cs="仿宋_GB2312"/>
              <w:bCs/>
              <w:caps/>
              <w:color w:val="auto"/>
              <w:sz w:val="32"/>
              <w:szCs w:val="32"/>
            </w:rPr>
            <w:fldChar w:fldCharType="end"/>
          </w:r>
        </w:p>
        <w:p>
          <w:pPr>
            <w:pStyle w:val="10"/>
            <w:tabs>
              <w:tab w:val="right" w:leader="dot" w:pos="8948"/>
            </w:tabs>
            <w:spacing w:before="120" w:after="120"/>
            <w:ind w:firstLine="840" w:firstLineChars="400"/>
            <w:jc w:val="left"/>
            <w:rPr>
              <w:rStyle w:val="17"/>
              <w:rFonts w:ascii="仿宋_GB2312" w:hAnsi="仿宋_GB2312" w:eastAsia="仿宋_GB2312" w:cs="仿宋_GB2312"/>
              <w:bCs/>
              <w:caps/>
              <w:color w:val="auto"/>
              <w:sz w:val="32"/>
              <w:szCs w:val="32"/>
            </w:rPr>
          </w:pPr>
          <w:r>
            <w:fldChar w:fldCharType="begin"/>
          </w:r>
          <w:r>
            <w:instrText xml:space="preserve"> HYPERLINK \l "_Toc14535869" </w:instrText>
          </w:r>
          <w:r>
            <w:fldChar w:fldCharType="separate"/>
          </w:r>
          <w:r>
            <w:rPr>
              <w:rStyle w:val="17"/>
              <w:rFonts w:ascii="仿宋_GB2312" w:hAnsi="仿宋_GB2312" w:eastAsia="仿宋_GB2312" w:cs="仿宋_GB2312"/>
              <w:bCs/>
              <w:caps/>
              <w:color w:val="auto"/>
              <w:sz w:val="32"/>
              <w:szCs w:val="32"/>
            </w:rPr>
            <w:t>4.事项管理。</w:t>
          </w:r>
          <w:r>
            <w:rPr>
              <w:rStyle w:val="17"/>
              <w:rFonts w:ascii="仿宋_GB2312" w:hAnsi="仿宋_GB2312" w:eastAsia="仿宋_GB2312" w:cs="仿宋_GB2312"/>
              <w:bCs/>
              <w:caps/>
              <w:color w:val="auto"/>
              <w:sz w:val="32"/>
              <w:szCs w:val="32"/>
            </w:rPr>
            <w:tab/>
          </w:r>
          <w:r>
            <w:rPr>
              <w:rStyle w:val="17"/>
              <w:rFonts w:ascii="仿宋_GB2312" w:hAnsi="仿宋_GB2312" w:eastAsia="仿宋_GB2312" w:cs="仿宋_GB2312"/>
              <w:bCs/>
              <w:caps/>
              <w:color w:val="auto"/>
              <w:sz w:val="32"/>
              <w:szCs w:val="32"/>
            </w:rPr>
            <w:fldChar w:fldCharType="begin"/>
          </w:r>
          <w:r>
            <w:rPr>
              <w:rStyle w:val="17"/>
              <w:rFonts w:ascii="仿宋_GB2312" w:hAnsi="仿宋_GB2312" w:eastAsia="仿宋_GB2312" w:cs="仿宋_GB2312"/>
              <w:bCs/>
              <w:caps/>
              <w:color w:val="auto"/>
              <w:sz w:val="32"/>
              <w:szCs w:val="32"/>
            </w:rPr>
            <w:instrText xml:space="preserve"> PAGEREF _Toc14535869 \h </w:instrText>
          </w:r>
          <w:r>
            <w:rPr>
              <w:rStyle w:val="17"/>
              <w:rFonts w:ascii="仿宋_GB2312" w:hAnsi="仿宋_GB2312" w:eastAsia="仿宋_GB2312" w:cs="仿宋_GB2312"/>
              <w:bCs/>
              <w:caps/>
              <w:color w:val="auto"/>
              <w:sz w:val="32"/>
              <w:szCs w:val="32"/>
            </w:rPr>
            <w:fldChar w:fldCharType="separate"/>
          </w:r>
          <w:r>
            <w:rPr>
              <w:rStyle w:val="17"/>
              <w:rFonts w:ascii="仿宋_GB2312" w:hAnsi="仿宋_GB2312" w:eastAsia="仿宋_GB2312" w:cs="仿宋_GB2312"/>
              <w:bCs/>
              <w:caps/>
              <w:color w:val="auto"/>
              <w:sz w:val="32"/>
              <w:szCs w:val="32"/>
            </w:rPr>
            <w:t>- 11 -</w:t>
          </w:r>
          <w:r>
            <w:rPr>
              <w:rStyle w:val="17"/>
              <w:rFonts w:ascii="仿宋_GB2312" w:hAnsi="仿宋_GB2312" w:eastAsia="仿宋_GB2312" w:cs="仿宋_GB2312"/>
              <w:bCs/>
              <w:caps/>
              <w:color w:val="auto"/>
              <w:sz w:val="32"/>
              <w:szCs w:val="32"/>
            </w:rPr>
            <w:fldChar w:fldCharType="end"/>
          </w:r>
          <w:r>
            <w:rPr>
              <w:rStyle w:val="17"/>
              <w:rFonts w:ascii="仿宋_GB2312" w:hAnsi="仿宋_GB2312" w:eastAsia="仿宋_GB2312" w:cs="仿宋_GB2312"/>
              <w:bCs/>
              <w:caps/>
              <w:color w:val="auto"/>
              <w:sz w:val="32"/>
              <w:szCs w:val="32"/>
            </w:rPr>
            <w:fldChar w:fldCharType="end"/>
          </w:r>
        </w:p>
        <w:p>
          <w:pPr>
            <w:pStyle w:val="10"/>
            <w:tabs>
              <w:tab w:val="right" w:leader="dot" w:pos="8948"/>
            </w:tabs>
            <w:spacing w:before="120" w:after="120"/>
            <w:ind w:firstLine="840" w:firstLineChars="400"/>
            <w:jc w:val="left"/>
            <w:rPr>
              <w:rStyle w:val="17"/>
              <w:rFonts w:ascii="仿宋_GB2312" w:hAnsi="仿宋_GB2312" w:eastAsia="仿宋_GB2312" w:cs="仿宋_GB2312"/>
              <w:bCs/>
              <w:caps/>
              <w:color w:val="auto"/>
              <w:sz w:val="32"/>
              <w:szCs w:val="32"/>
            </w:rPr>
          </w:pPr>
          <w:r>
            <w:fldChar w:fldCharType="begin"/>
          </w:r>
          <w:r>
            <w:instrText xml:space="preserve"> HYPERLINK \l "_Toc14535870" </w:instrText>
          </w:r>
          <w:r>
            <w:fldChar w:fldCharType="separate"/>
          </w:r>
          <w:r>
            <w:rPr>
              <w:rStyle w:val="17"/>
              <w:rFonts w:ascii="仿宋_GB2312" w:hAnsi="仿宋_GB2312" w:eastAsia="仿宋_GB2312" w:cs="仿宋_GB2312"/>
              <w:bCs/>
              <w:caps/>
              <w:color w:val="auto"/>
              <w:sz w:val="32"/>
              <w:szCs w:val="32"/>
            </w:rPr>
            <w:t>5.经济性。</w:t>
          </w:r>
          <w:r>
            <w:rPr>
              <w:rStyle w:val="17"/>
              <w:rFonts w:ascii="仿宋_GB2312" w:hAnsi="仿宋_GB2312" w:eastAsia="仿宋_GB2312" w:cs="仿宋_GB2312"/>
              <w:bCs/>
              <w:caps/>
              <w:color w:val="auto"/>
              <w:sz w:val="32"/>
              <w:szCs w:val="32"/>
            </w:rPr>
            <w:tab/>
          </w:r>
          <w:r>
            <w:rPr>
              <w:rStyle w:val="17"/>
              <w:rFonts w:ascii="仿宋_GB2312" w:hAnsi="仿宋_GB2312" w:eastAsia="仿宋_GB2312" w:cs="仿宋_GB2312"/>
              <w:bCs/>
              <w:caps/>
              <w:color w:val="auto"/>
              <w:sz w:val="32"/>
              <w:szCs w:val="32"/>
            </w:rPr>
            <w:fldChar w:fldCharType="begin"/>
          </w:r>
          <w:r>
            <w:rPr>
              <w:rStyle w:val="17"/>
              <w:rFonts w:ascii="仿宋_GB2312" w:hAnsi="仿宋_GB2312" w:eastAsia="仿宋_GB2312" w:cs="仿宋_GB2312"/>
              <w:bCs/>
              <w:caps/>
              <w:color w:val="auto"/>
              <w:sz w:val="32"/>
              <w:szCs w:val="32"/>
            </w:rPr>
            <w:instrText xml:space="preserve"> PAGEREF _Toc14535870 \h </w:instrText>
          </w:r>
          <w:r>
            <w:rPr>
              <w:rStyle w:val="17"/>
              <w:rFonts w:ascii="仿宋_GB2312" w:hAnsi="仿宋_GB2312" w:eastAsia="仿宋_GB2312" w:cs="仿宋_GB2312"/>
              <w:bCs/>
              <w:caps/>
              <w:color w:val="auto"/>
              <w:sz w:val="32"/>
              <w:szCs w:val="32"/>
            </w:rPr>
            <w:fldChar w:fldCharType="separate"/>
          </w:r>
          <w:r>
            <w:rPr>
              <w:rStyle w:val="17"/>
              <w:rFonts w:ascii="仿宋_GB2312" w:hAnsi="仿宋_GB2312" w:eastAsia="仿宋_GB2312" w:cs="仿宋_GB2312"/>
              <w:bCs/>
              <w:caps/>
              <w:color w:val="auto"/>
              <w:sz w:val="32"/>
              <w:szCs w:val="32"/>
            </w:rPr>
            <w:t>- 12 -</w:t>
          </w:r>
          <w:r>
            <w:rPr>
              <w:rStyle w:val="17"/>
              <w:rFonts w:ascii="仿宋_GB2312" w:hAnsi="仿宋_GB2312" w:eastAsia="仿宋_GB2312" w:cs="仿宋_GB2312"/>
              <w:bCs/>
              <w:caps/>
              <w:color w:val="auto"/>
              <w:sz w:val="32"/>
              <w:szCs w:val="32"/>
            </w:rPr>
            <w:fldChar w:fldCharType="end"/>
          </w:r>
          <w:r>
            <w:rPr>
              <w:rStyle w:val="17"/>
              <w:rFonts w:ascii="仿宋_GB2312" w:hAnsi="仿宋_GB2312" w:eastAsia="仿宋_GB2312" w:cs="仿宋_GB2312"/>
              <w:bCs/>
              <w:caps/>
              <w:color w:val="auto"/>
              <w:sz w:val="32"/>
              <w:szCs w:val="32"/>
            </w:rPr>
            <w:fldChar w:fldCharType="end"/>
          </w:r>
        </w:p>
        <w:p>
          <w:pPr>
            <w:pStyle w:val="10"/>
            <w:tabs>
              <w:tab w:val="right" w:leader="dot" w:pos="8948"/>
            </w:tabs>
            <w:spacing w:before="120" w:after="120"/>
            <w:ind w:firstLine="840" w:firstLineChars="400"/>
            <w:jc w:val="left"/>
            <w:rPr>
              <w:rStyle w:val="17"/>
              <w:rFonts w:ascii="仿宋_GB2312" w:hAnsi="仿宋_GB2312" w:eastAsia="仿宋_GB2312" w:cs="仿宋_GB2312"/>
              <w:bCs/>
              <w:caps/>
              <w:color w:val="auto"/>
              <w:sz w:val="32"/>
              <w:szCs w:val="32"/>
            </w:rPr>
          </w:pPr>
          <w:r>
            <w:fldChar w:fldCharType="begin"/>
          </w:r>
          <w:r>
            <w:instrText xml:space="preserve"> HYPERLINK \l "_Toc14535871" </w:instrText>
          </w:r>
          <w:r>
            <w:fldChar w:fldCharType="separate"/>
          </w:r>
          <w:r>
            <w:rPr>
              <w:rStyle w:val="17"/>
              <w:rFonts w:ascii="仿宋_GB2312" w:hAnsi="仿宋_GB2312" w:eastAsia="仿宋_GB2312" w:cs="仿宋_GB2312"/>
              <w:bCs/>
              <w:caps/>
              <w:color w:val="auto"/>
              <w:sz w:val="32"/>
              <w:szCs w:val="32"/>
            </w:rPr>
            <w:t>6.效率性。</w:t>
          </w:r>
          <w:r>
            <w:rPr>
              <w:rStyle w:val="17"/>
              <w:rFonts w:ascii="仿宋_GB2312" w:hAnsi="仿宋_GB2312" w:eastAsia="仿宋_GB2312" w:cs="仿宋_GB2312"/>
              <w:bCs/>
              <w:caps/>
              <w:color w:val="auto"/>
              <w:sz w:val="32"/>
              <w:szCs w:val="32"/>
            </w:rPr>
            <w:tab/>
          </w:r>
          <w:r>
            <w:rPr>
              <w:rStyle w:val="17"/>
              <w:rFonts w:ascii="仿宋_GB2312" w:hAnsi="仿宋_GB2312" w:eastAsia="仿宋_GB2312" w:cs="仿宋_GB2312"/>
              <w:bCs/>
              <w:caps/>
              <w:color w:val="auto"/>
              <w:sz w:val="32"/>
              <w:szCs w:val="32"/>
            </w:rPr>
            <w:fldChar w:fldCharType="begin"/>
          </w:r>
          <w:r>
            <w:rPr>
              <w:rStyle w:val="17"/>
              <w:rFonts w:ascii="仿宋_GB2312" w:hAnsi="仿宋_GB2312" w:eastAsia="仿宋_GB2312" w:cs="仿宋_GB2312"/>
              <w:bCs/>
              <w:caps/>
              <w:color w:val="auto"/>
              <w:sz w:val="32"/>
              <w:szCs w:val="32"/>
            </w:rPr>
            <w:instrText xml:space="preserve"> PAGEREF _Toc14535871 \h </w:instrText>
          </w:r>
          <w:r>
            <w:rPr>
              <w:rStyle w:val="17"/>
              <w:rFonts w:ascii="仿宋_GB2312" w:hAnsi="仿宋_GB2312" w:eastAsia="仿宋_GB2312" w:cs="仿宋_GB2312"/>
              <w:bCs/>
              <w:caps/>
              <w:color w:val="auto"/>
              <w:sz w:val="32"/>
              <w:szCs w:val="32"/>
            </w:rPr>
            <w:fldChar w:fldCharType="separate"/>
          </w:r>
          <w:r>
            <w:rPr>
              <w:rStyle w:val="17"/>
              <w:rFonts w:ascii="仿宋_GB2312" w:hAnsi="仿宋_GB2312" w:eastAsia="仿宋_GB2312" w:cs="仿宋_GB2312"/>
              <w:bCs/>
              <w:caps/>
              <w:color w:val="auto"/>
              <w:sz w:val="32"/>
              <w:szCs w:val="32"/>
            </w:rPr>
            <w:t>- 12 -</w:t>
          </w:r>
          <w:r>
            <w:rPr>
              <w:rStyle w:val="17"/>
              <w:rFonts w:ascii="仿宋_GB2312" w:hAnsi="仿宋_GB2312" w:eastAsia="仿宋_GB2312" w:cs="仿宋_GB2312"/>
              <w:bCs/>
              <w:caps/>
              <w:color w:val="auto"/>
              <w:sz w:val="32"/>
              <w:szCs w:val="32"/>
            </w:rPr>
            <w:fldChar w:fldCharType="end"/>
          </w:r>
          <w:r>
            <w:rPr>
              <w:rStyle w:val="17"/>
              <w:rFonts w:ascii="仿宋_GB2312" w:hAnsi="仿宋_GB2312" w:eastAsia="仿宋_GB2312" w:cs="仿宋_GB2312"/>
              <w:bCs/>
              <w:caps/>
              <w:color w:val="auto"/>
              <w:sz w:val="32"/>
              <w:szCs w:val="32"/>
            </w:rPr>
            <w:fldChar w:fldCharType="end"/>
          </w:r>
        </w:p>
        <w:p>
          <w:pPr>
            <w:pStyle w:val="10"/>
            <w:tabs>
              <w:tab w:val="right" w:leader="dot" w:pos="8948"/>
            </w:tabs>
            <w:spacing w:before="120" w:after="120"/>
            <w:ind w:firstLine="840" w:firstLineChars="400"/>
            <w:jc w:val="left"/>
            <w:rPr>
              <w:rStyle w:val="17"/>
              <w:rFonts w:ascii="仿宋_GB2312" w:hAnsi="仿宋_GB2312" w:eastAsia="仿宋_GB2312" w:cs="仿宋_GB2312"/>
              <w:bCs/>
              <w:caps/>
              <w:color w:val="auto"/>
              <w:sz w:val="32"/>
              <w:szCs w:val="32"/>
            </w:rPr>
          </w:pPr>
          <w:r>
            <w:fldChar w:fldCharType="begin"/>
          </w:r>
          <w:r>
            <w:instrText xml:space="preserve"> HYPERLINK \l "_Toc14535872" </w:instrText>
          </w:r>
          <w:r>
            <w:fldChar w:fldCharType="separate"/>
          </w:r>
          <w:r>
            <w:rPr>
              <w:rStyle w:val="17"/>
              <w:rFonts w:ascii="仿宋_GB2312" w:hAnsi="仿宋_GB2312" w:eastAsia="仿宋_GB2312" w:cs="仿宋_GB2312"/>
              <w:bCs/>
              <w:caps/>
              <w:color w:val="auto"/>
              <w:sz w:val="32"/>
              <w:szCs w:val="32"/>
            </w:rPr>
            <w:t>7.效果性。</w:t>
          </w:r>
          <w:r>
            <w:rPr>
              <w:rStyle w:val="17"/>
              <w:rFonts w:ascii="仿宋_GB2312" w:hAnsi="仿宋_GB2312" w:eastAsia="仿宋_GB2312" w:cs="仿宋_GB2312"/>
              <w:bCs/>
              <w:caps/>
              <w:color w:val="auto"/>
              <w:sz w:val="32"/>
              <w:szCs w:val="32"/>
            </w:rPr>
            <w:tab/>
          </w:r>
          <w:r>
            <w:rPr>
              <w:rStyle w:val="17"/>
              <w:rFonts w:ascii="仿宋_GB2312" w:hAnsi="仿宋_GB2312" w:eastAsia="仿宋_GB2312" w:cs="仿宋_GB2312"/>
              <w:bCs/>
              <w:caps/>
              <w:color w:val="auto"/>
              <w:sz w:val="32"/>
              <w:szCs w:val="32"/>
            </w:rPr>
            <w:fldChar w:fldCharType="begin"/>
          </w:r>
          <w:r>
            <w:rPr>
              <w:rStyle w:val="17"/>
              <w:rFonts w:ascii="仿宋_GB2312" w:hAnsi="仿宋_GB2312" w:eastAsia="仿宋_GB2312" w:cs="仿宋_GB2312"/>
              <w:bCs/>
              <w:caps/>
              <w:color w:val="auto"/>
              <w:sz w:val="32"/>
              <w:szCs w:val="32"/>
            </w:rPr>
            <w:instrText xml:space="preserve"> PAGEREF _Toc14535872 \h </w:instrText>
          </w:r>
          <w:r>
            <w:rPr>
              <w:rStyle w:val="17"/>
              <w:rFonts w:ascii="仿宋_GB2312" w:hAnsi="仿宋_GB2312" w:eastAsia="仿宋_GB2312" w:cs="仿宋_GB2312"/>
              <w:bCs/>
              <w:caps/>
              <w:color w:val="auto"/>
              <w:sz w:val="32"/>
              <w:szCs w:val="32"/>
            </w:rPr>
            <w:fldChar w:fldCharType="separate"/>
          </w:r>
          <w:r>
            <w:rPr>
              <w:rStyle w:val="17"/>
              <w:rFonts w:ascii="仿宋_GB2312" w:hAnsi="仿宋_GB2312" w:eastAsia="仿宋_GB2312" w:cs="仿宋_GB2312"/>
              <w:bCs/>
              <w:caps/>
              <w:color w:val="auto"/>
              <w:sz w:val="32"/>
              <w:szCs w:val="32"/>
            </w:rPr>
            <w:t>- 13 -</w:t>
          </w:r>
          <w:r>
            <w:rPr>
              <w:rStyle w:val="17"/>
              <w:rFonts w:ascii="仿宋_GB2312" w:hAnsi="仿宋_GB2312" w:eastAsia="仿宋_GB2312" w:cs="仿宋_GB2312"/>
              <w:bCs/>
              <w:caps/>
              <w:color w:val="auto"/>
              <w:sz w:val="32"/>
              <w:szCs w:val="32"/>
            </w:rPr>
            <w:fldChar w:fldCharType="end"/>
          </w:r>
          <w:r>
            <w:rPr>
              <w:rStyle w:val="17"/>
              <w:rFonts w:ascii="仿宋_GB2312" w:hAnsi="仿宋_GB2312" w:eastAsia="仿宋_GB2312" w:cs="仿宋_GB2312"/>
              <w:bCs/>
              <w:caps/>
              <w:color w:val="auto"/>
              <w:sz w:val="32"/>
              <w:szCs w:val="32"/>
            </w:rPr>
            <w:fldChar w:fldCharType="end"/>
          </w:r>
        </w:p>
        <w:p>
          <w:pPr>
            <w:pStyle w:val="10"/>
            <w:tabs>
              <w:tab w:val="right" w:leader="dot" w:pos="8948"/>
            </w:tabs>
            <w:spacing w:before="120" w:after="120"/>
            <w:ind w:firstLine="840" w:firstLineChars="400"/>
            <w:jc w:val="left"/>
            <w:rPr>
              <w:rStyle w:val="17"/>
              <w:rFonts w:ascii="仿宋_GB2312" w:hAnsi="仿宋_GB2312" w:eastAsia="仿宋_GB2312" w:cs="仿宋_GB2312"/>
              <w:bCs/>
              <w:caps/>
              <w:color w:val="auto"/>
              <w:sz w:val="32"/>
              <w:szCs w:val="32"/>
            </w:rPr>
          </w:pPr>
          <w:r>
            <w:fldChar w:fldCharType="begin"/>
          </w:r>
          <w:r>
            <w:instrText xml:space="preserve"> HYPERLINK \l "_Toc14535873" </w:instrText>
          </w:r>
          <w:r>
            <w:fldChar w:fldCharType="separate"/>
          </w:r>
          <w:r>
            <w:rPr>
              <w:rStyle w:val="17"/>
              <w:rFonts w:ascii="仿宋_GB2312" w:hAnsi="仿宋_GB2312" w:eastAsia="仿宋_GB2312" w:cs="仿宋_GB2312"/>
              <w:bCs/>
              <w:caps/>
              <w:color w:val="auto"/>
              <w:sz w:val="32"/>
              <w:szCs w:val="32"/>
            </w:rPr>
            <w:t>8.公平性。</w:t>
          </w:r>
          <w:r>
            <w:rPr>
              <w:rStyle w:val="17"/>
              <w:rFonts w:ascii="仿宋_GB2312" w:hAnsi="仿宋_GB2312" w:eastAsia="仿宋_GB2312" w:cs="仿宋_GB2312"/>
              <w:bCs/>
              <w:caps/>
              <w:color w:val="auto"/>
              <w:sz w:val="32"/>
              <w:szCs w:val="32"/>
            </w:rPr>
            <w:tab/>
          </w:r>
          <w:r>
            <w:rPr>
              <w:rStyle w:val="17"/>
              <w:rFonts w:ascii="仿宋_GB2312" w:hAnsi="仿宋_GB2312" w:eastAsia="仿宋_GB2312" w:cs="仿宋_GB2312"/>
              <w:bCs/>
              <w:caps/>
              <w:color w:val="auto"/>
              <w:sz w:val="32"/>
              <w:szCs w:val="32"/>
            </w:rPr>
            <w:fldChar w:fldCharType="begin"/>
          </w:r>
          <w:r>
            <w:rPr>
              <w:rStyle w:val="17"/>
              <w:rFonts w:ascii="仿宋_GB2312" w:hAnsi="仿宋_GB2312" w:eastAsia="仿宋_GB2312" w:cs="仿宋_GB2312"/>
              <w:bCs/>
              <w:caps/>
              <w:color w:val="auto"/>
              <w:sz w:val="32"/>
              <w:szCs w:val="32"/>
            </w:rPr>
            <w:instrText xml:space="preserve"> PAGEREF _Toc14535873 \h </w:instrText>
          </w:r>
          <w:r>
            <w:rPr>
              <w:rStyle w:val="17"/>
              <w:rFonts w:ascii="仿宋_GB2312" w:hAnsi="仿宋_GB2312" w:eastAsia="仿宋_GB2312" w:cs="仿宋_GB2312"/>
              <w:bCs/>
              <w:caps/>
              <w:color w:val="auto"/>
              <w:sz w:val="32"/>
              <w:szCs w:val="32"/>
            </w:rPr>
            <w:fldChar w:fldCharType="separate"/>
          </w:r>
          <w:r>
            <w:rPr>
              <w:rStyle w:val="17"/>
              <w:rFonts w:ascii="仿宋_GB2312" w:hAnsi="仿宋_GB2312" w:eastAsia="仿宋_GB2312" w:cs="仿宋_GB2312"/>
              <w:bCs/>
              <w:caps/>
              <w:color w:val="auto"/>
              <w:sz w:val="32"/>
              <w:szCs w:val="32"/>
            </w:rPr>
            <w:t>- 14 -</w:t>
          </w:r>
          <w:r>
            <w:rPr>
              <w:rStyle w:val="17"/>
              <w:rFonts w:ascii="仿宋_GB2312" w:hAnsi="仿宋_GB2312" w:eastAsia="仿宋_GB2312" w:cs="仿宋_GB2312"/>
              <w:bCs/>
              <w:caps/>
              <w:color w:val="auto"/>
              <w:sz w:val="32"/>
              <w:szCs w:val="32"/>
            </w:rPr>
            <w:fldChar w:fldCharType="end"/>
          </w:r>
          <w:r>
            <w:rPr>
              <w:rStyle w:val="17"/>
              <w:rFonts w:ascii="仿宋_GB2312" w:hAnsi="仿宋_GB2312" w:eastAsia="仿宋_GB2312" w:cs="仿宋_GB2312"/>
              <w:bCs/>
              <w:caps/>
              <w:color w:val="auto"/>
              <w:sz w:val="32"/>
              <w:szCs w:val="32"/>
            </w:rPr>
            <w:fldChar w:fldCharType="end"/>
          </w:r>
        </w:p>
        <w:p>
          <w:pPr>
            <w:pStyle w:val="10"/>
            <w:tabs>
              <w:tab w:val="right" w:leader="dot" w:pos="8948"/>
            </w:tabs>
            <w:spacing w:before="120" w:after="120"/>
            <w:ind w:firstLine="560"/>
            <w:jc w:val="left"/>
            <w:rPr>
              <w:rStyle w:val="17"/>
              <w:rFonts w:ascii="仿宋_GB2312" w:hAnsi="仿宋_GB2312" w:eastAsia="仿宋_GB2312" w:cs="仿宋_GB2312"/>
              <w:bCs/>
              <w:caps/>
              <w:color w:val="auto"/>
              <w:sz w:val="32"/>
              <w:szCs w:val="32"/>
            </w:rPr>
          </w:pPr>
          <w:r>
            <w:fldChar w:fldCharType="begin"/>
          </w:r>
          <w:r>
            <w:instrText xml:space="preserve"> HYPERLINK \l "_Toc14535874" </w:instrText>
          </w:r>
          <w:r>
            <w:fldChar w:fldCharType="separate"/>
          </w:r>
          <w:r>
            <w:rPr>
              <w:rStyle w:val="17"/>
              <w:rFonts w:ascii="仿宋_GB2312" w:hAnsi="仿宋_GB2312" w:eastAsia="仿宋_GB2312" w:cs="仿宋_GB2312"/>
              <w:bCs/>
              <w:caps/>
              <w:color w:val="auto"/>
              <w:sz w:val="32"/>
              <w:szCs w:val="32"/>
            </w:rPr>
            <w:t>二、绩效表现</w:t>
          </w:r>
          <w:r>
            <w:rPr>
              <w:rStyle w:val="17"/>
              <w:rFonts w:ascii="仿宋_GB2312" w:hAnsi="仿宋_GB2312" w:eastAsia="仿宋_GB2312" w:cs="仿宋_GB2312"/>
              <w:bCs/>
              <w:caps/>
              <w:color w:val="auto"/>
              <w:sz w:val="32"/>
              <w:szCs w:val="32"/>
            </w:rPr>
            <w:tab/>
          </w:r>
          <w:r>
            <w:rPr>
              <w:rStyle w:val="17"/>
              <w:rFonts w:ascii="仿宋_GB2312" w:hAnsi="仿宋_GB2312" w:eastAsia="仿宋_GB2312" w:cs="仿宋_GB2312"/>
              <w:bCs/>
              <w:caps/>
              <w:color w:val="auto"/>
              <w:sz w:val="32"/>
              <w:szCs w:val="32"/>
            </w:rPr>
            <w:fldChar w:fldCharType="begin"/>
          </w:r>
          <w:r>
            <w:rPr>
              <w:rStyle w:val="17"/>
              <w:rFonts w:ascii="仿宋_GB2312" w:hAnsi="仿宋_GB2312" w:eastAsia="仿宋_GB2312" w:cs="仿宋_GB2312"/>
              <w:bCs/>
              <w:caps/>
              <w:color w:val="auto"/>
              <w:sz w:val="32"/>
              <w:szCs w:val="32"/>
            </w:rPr>
            <w:instrText xml:space="preserve"> PAGEREF _Toc14535874 \h </w:instrText>
          </w:r>
          <w:r>
            <w:rPr>
              <w:rStyle w:val="17"/>
              <w:rFonts w:ascii="仿宋_GB2312" w:hAnsi="仿宋_GB2312" w:eastAsia="仿宋_GB2312" w:cs="仿宋_GB2312"/>
              <w:bCs/>
              <w:caps/>
              <w:color w:val="auto"/>
              <w:sz w:val="32"/>
              <w:szCs w:val="32"/>
            </w:rPr>
            <w:fldChar w:fldCharType="separate"/>
          </w:r>
          <w:r>
            <w:rPr>
              <w:rStyle w:val="17"/>
              <w:rFonts w:ascii="仿宋_GB2312" w:hAnsi="仿宋_GB2312" w:eastAsia="仿宋_GB2312" w:cs="仿宋_GB2312"/>
              <w:bCs/>
              <w:caps/>
              <w:color w:val="auto"/>
              <w:sz w:val="32"/>
              <w:szCs w:val="32"/>
            </w:rPr>
            <w:t>- 14 -</w:t>
          </w:r>
          <w:r>
            <w:rPr>
              <w:rStyle w:val="17"/>
              <w:rFonts w:ascii="仿宋_GB2312" w:hAnsi="仿宋_GB2312" w:eastAsia="仿宋_GB2312" w:cs="仿宋_GB2312"/>
              <w:bCs/>
              <w:caps/>
              <w:color w:val="auto"/>
              <w:sz w:val="32"/>
              <w:szCs w:val="32"/>
            </w:rPr>
            <w:fldChar w:fldCharType="end"/>
          </w:r>
          <w:r>
            <w:rPr>
              <w:rStyle w:val="17"/>
              <w:rFonts w:ascii="仿宋_GB2312" w:hAnsi="仿宋_GB2312" w:eastAsia="仿宋_GB2312" w:cs="仿宋_GB2312"/>
              <w:bCs/>
              <w:caps/>
              <w:color w:val="auto"/>
              <w:sz w:val="32"/>
              <w:szCs w:val="32"/>
            </w:rPr>
            <w:fldChar w:fldCharType="end"/>
          </w:r>
        </w:p>
        <w:p>
          <w:pPr>
            <w:pStyle w:val="10"/>
            <w:tabs>
              <w:tab w:val="right" w:leader="dot" w:pos="8948"/>
            </w:tabs>
            <w:spacing w:before="120" w:after="120"/>
            <w:ind w:firstLine="560"/>
            <w:jc w:val="left"/>
            <w:rPr>
              <w:rStyle w:val="17"/>
              <w:rFonts w:ascii="仿宋_GB2312" w:hAnsi="仿宋_GB2312" w:eastAsia="仿宋_GB2312" w:cs="仿宋_GB2312"/>
              <w:bCs/>
              <w:caps/>
              <w:color w:val="auto"/>
              <w:sz w:val="32"/>
              <w:szCs w:val="32"/>
            </w:rPr>
          </w:pPr>
          <w:r>
            <w:fldChar w:fldCharType="begin"/>
          </w:r>
          <w:r>
            <w:instrText xml:space="preserve"> HYPERLINK \l "_Toc14535875" </w:instrText>
          </w:r>
          <w:r>
            <w:fldChar w:fldCharType="separate"/>
          </w:r>
          <w:r>
            <w:rPr>
              <w:rStyle w:val="17"/>
              <w:rFonts w:ascii="仿宋_GB2312" w:hAnsi="仿宋_GB2312" w:eastAsia="仿宋_GB2312" w:cs="仿宋_GB2312"/>
              <w:bCs/>
              <w:caps/>
              <w:color w:val="auto"/>
              <w:sz w:val="32"/>
              <w:szCs w:val="32"/>
            </w:rPr>
            <w:t>（一）资金使用绩效</w:t>
          </w:r>
          <w:r>
            <w:rPr>
              <w:rStyle w:val="17"/>
              <w:rFonts w:ascii="仿宋_GB2312" w:hAnsi="仿宋_GB2312" w:eastAsia="仿宋_GB2312" w:cs="仿宋_GB2312"/>
              <w:bCs/>
              <w:caps/>
              <w:color w:val="auto"/>
              <w:sz w:val="32"/>
              <w:szCs w:val="32"/>
            </w:rPr>
            <w:tab/>
          </w:r>
          <w:r>
            <w:rPr>
              <w:rStyle w:val="17"/>
              <w:rFonts w:ascii="仿宋_GB2312" w:hAnsi="仿宋_GB2312" w:eastAsia="仿宋_GB2312" w:cs="仿宋_GB2312"/>
              <w:bCs/>
              <w:caps/>
              <w:color w:val="auto"/>
              <w:sz w:val="32"/>
              <w:szCs w:val="32"/>
            </w:rPr>
            <w:fldChar w:fldCharType="begin"/>
          </w:r>
          <w:r>
            <w:rPr>
              <w:rStyle w:val="17"/>
              <w:rFonts w:ascii="仿宋_GB2312" w:hAnsi="仿宋_GB2312" w:eastAsia="仿宋_GB2312" w:cs="仿宋_GB2312"/>
              <w:bCs/>
              <w:caps/>
              <w:color w:val="auto"/>
              <w:sz w:val="32"/>
              <w:szCs w:val="32"/>
            </w:rPr>
            <w:instrText xml:space="preserve"> PAGEREF _Toc14535875 \h </w:instrText>
          </w:r>
          <w:r>
            <w:rPr>
              <w:rStyle w:val="17"/>
              <w:rFonts w:ascii="仿宋_GB2312" w:hAnsi="仿宋_GB2312" w:eastAsia="仿宋_GB2312" w:cs="仿宋_GB2312"/>
              <w:bCs/>
              <w:caps/>
              <w:color w:val="auto"/>
              <w:sz w:val="32"/>
              <w:szCs w:val="32"/>
            </w:rPr>
            <w:fldChar w:fldCharType="separate"/>
          </w:r>
          <w:r>
            <w:rPr>
              <w:rStyle w:val="17"/>
              <w:rFonts w:ascii="仿宋_GB2312" w:hAnsi="仿宋_GB2312" w:eastAsia="仿宋_GB2312" w:cs="仿宋_GB2312"/>
              <w:bCs/>
              <w:caps/>
              <w:color w:val="auto"/>
              <w:sz w:val="32"/>
              <w:szCs w:val="32"/>
            </w:rPr>
            <w:t>- 14 -</w:t>
          </w:r>
          <w:r>
            <w:rPr>
              <w:rStyle w:val="17"/>
              <w:rFonts w:ascii="仿宋_GB2312" w:hAnsi="仿宋_GB2312" w:eastAsia="仿宋_GB2312" w:cs="仿宋_GB2312"/>
              <w:bCs/>
              <w:caps/>
              <w:color w:val="auto"/>
              <w:sz w:val="32"/>
              <w:szCs w:val="32"/>
            </w:rPr>
            <w:fldChar w:fldCharType="end"/>
          </w:r>
          <w:r>
            <w:rPr>
              <w:rStyle w:val="17"/>
              <w:rFonts w:ascii="仿宋_GB2312" w:hAnsi="仿宋_GB2312" w:eastAsia="仿宋_GB2312" w:cs="仿宋_GB2312"/>
              <w:bCs/>
              <w:caps/>
              <w:color w:val="auto"/>
              <w:sz w:val="32"/>
              <w:szCs w:val="32"/>
            </w:rPr>
            <w:fldChar w:fldCharType="end"/>
          </w:r>
        </w:p>
        <w:p>
          <w:pPr>
            <w:pStyle w:val="10"/>
            <w:tabs>
              <w:tab w:val="right" w:leader="dot" w:pos="8948"/>
            </w:tabs>
            <w:spacing w:before="120" w:after="120"/>
            <w:ind w:firstLine="840" w:firstLineChars="400"/>
            <w:jc w:val="left"/>
            <w:rPr>
              <w:rStyle w:val="17"/>
              <w:rFonts w:ascii="仿宋_GB2312" w:hAnsi="仿宋_GB2312" w:eastAsia="仿宋_GB2312" w:cs="仿宋_GB2312"/>
              <w:bCs/>
              <w:caps/>
              <w:color w:val="auto"/>
              <w:sz w:val="32"/>
              <w:szCs w:val="32"/>
            </w:rPr>
          </w:pPr>
          <w:r>
            <w:fldChar w:fldCharType="begin"/>
          </w:r>
          <w:r>
            <w:instrText xml:space="preserve"> HYPERLINK \l "_Toc14535876" </w:instrText>
          </w:r>
          <w:r>
            <w:fldChar w:fldCharType="separate"/>
          </w:r>
          <w:r>
            <w:rPr>
              <w:rStyle w:val="17"/>
              <w:rFonts w:ascii="仿宋_GB2312" w:hAnsi="仿宋_GB2312" w:eastAsia="仿宋_GB2312" w:cs="仿宋_GB2312"/>
              <w:bCs/>
              <w:caps/>
              <w:color w:val="auto"/>
              <w:sz w:val="32"/>
              <w:szCs w:val="32"/>
            </w:rPr>
            <w:t>1.农村人居环境综合整治取得明显成效。</w:t>
          </w:r>
          <w:r>
            <w:rPr>
              <w:rStyle w:val="17"/>
              <w:rFonts w:ascii="仿宋_GB2312" w:hAnsi="仿宋_GB2312" w:eastAsia="仿宋_GB2312" w:cs="仿宋_GB2312"/>
              <w:bCs/>
              <w:caps/>
              <w:color w:val="auto"/>
              <w:sz w:val="32"/>
              <w:szCs w:val="32"/>
            </w:rPr>
            <w:tab/>
          </w:r>
          <w:r>
            <w:rPr>
              <w:rStyle w:val="17"/>
              <w:rFonts w:ascii="仿宋_GB2312" w:hAnsi="仿宋_GB2312" w:eastAsia="仿宋_GB2312" w:cs="仿宋_GB2312"/>
              <w:bCs/>
              <w:caps/>
              <w:color w:val="auto"/>
              <w:sz w:val="32"/>
              <w:szCs w:val="32"/>
            </w:rPr>
            <w:fldChar w:fldCharType="begin"/>
          </w:r>
          <w:r>
            <w:rPr>
              <w:rStyle w:val="17"/>
              <w:rFonts w:ascii="仿宋_GB2312" w:hAnsi="仿宋_GB2312" w:eastAsia="仿宋_GB2312" w:cs="仿宋_GB2312"/>
              <w:bCs/>
              <w:caps/>
              <w:color w:val="auto"/>
              <w:sz w:val="32"/>
              <w:szCs w:val="32"/>
            </w:rPr>
            <w:instrText xml:space="preserve"> PAGEREF _Toc14535876 \h </w:instrText>
          </w:r>
          <w:r>
            <w:rPr>
              <w:rStyle w:val="17"/>
              <w:rFonts w:ascii="仿宋_GB2312" w:hAnsi="仿宋_GB2312" w:eastAsia="仿宋_GB2312" w:cs="仿宋_GB2312"/>
              <w:bCs/>
              <w:caps/>
              <w:color w:val="auto"/>
              <w:sz w:val="32"/>
              <w:szCs w:val="32"/>
            </w:rPr>
            <w:fldChar w:fldCharType="separate"/>
          </w:r>
          <w:r>
            <w:rPr>
              <w:rStyle w:val="17"/>
              <w:rFonts w:ascii="仿宋_GB2312" w:hAnsi="仿宋_GB2312" w:eastAsia="仿宋_GB2312" w:cs="仿宋_GB2312"/>
              <w:bCs/>
              <w:caps/>
              <w:color w:val="auto"/>
              <w:sz w:val="32"/>
              <w:szCs w:val="32"/>
            </w:rPr>
            <w:t>- 14 -</w:t>
          </w:r>
          <w:r>
            <w:rPr>
              <w:rStyle w:val="17"/>
              <w:rFonts w:ascii="仿宋_GB2312" w:hAnsi="仿宋_GB2312" w:eastAsia="仿宋_GB2312" w:cs="仿宋_GB2312"/>
              <w:bCs/>
              <w:caps/>
              <w:color w:val="auto"/>
              <w:sz w:val="32"/>
              <w:szCs w:val="32"/>
            </w:rPr>
            <w:fldChar w:fldCharType="end"/>
          </w:r>
          <w:r>
            <w:rPr>
              <w:rStyle w:val="17"/>
              <w:rFonts w:ascii="仿宋_GB2312" w:hAnsi="仿宋_GB2312" w:eastAsia="仿宋_GB2312" w:cs="仿宋_GB2312"/>
              <w:bCs/>
              <w:caps/>
              <w:color w:val="auto"/>
              <w:sz w:val="32"/>
              <w:szCs w:val="32"/>
            </w:rPr>
            <w:fldChar w:fldCharType="end"/>
          </w:r>
        </w:p>
        <w:p>
          <w:pPr>
            <w:pStyle w:val="10"/>
            <w:tabs>
              <w:tab w:val="right" w:leader="dot" w:pos="8948"/>
            </w:tabs>
            <w:spacing w:before="120" w:after="120"/>
            <w:ind w:firstLine="840" w:firstLineChars="400"/>
            <w:jc w:val="left"/>
            <w:rPr>
              <w:rStyle w:val="17"/>
              <w:rFonts w:ascii="仿宋_GB2312" w:hAnsi="仿宋_GB2312" w:eastAsia="仿宋_GB2312" w:cs="仿宋_GB2312"/>
              <w:bCs/>
              <w:caps/>
              <w:color w:val="auto"/>
              <w:sz w:val="32"/>
              <w:szCs w:val="32"/>
            </w:rPr>
          </w:pPr>
          <w:r>
            <w:fldChar w:fldCharType="begin"/>
          </w:r>
          <w:r>
            <w:instrText xml:space="preserve"> HYPERLINK \l "_Toc14535877" </w:instrText>
          </w:r>
          <w:r>
            <w:fldChar w:fldCharType="separate"/>
          </w:r>
          <w:r>
            <w:rPr>
              <w:rStyle w:val="17"/>
              <w:rFonts w:ascii="仿宋_GB2312" w:hAnsi="仿宋_GB2312" w:eastAsia="仿宋_GB2312" w:cs="仿宋_GB2312"/>
              <w:bCs/>
              <w:caps/>
              <w:color w:val="auto"/>
              <w:sz w:val="32"/>
              <w:szCs w:val="32"/>
            </w:rPr>
            <w:t>2.</w:t>
          </w:r>
          <w:r>
            <w:rPr>
              <w:rStyle w:val="17"/>
              <w:rFonts w:hint="eastAsia" w:ascii="仿宋_GB2312" w:hAnsi="仿宋_GB2312" w:eastAsia="仿宋_GB2312" w:cs="仿宋_GB2312"/>
              <w:bCs/>
              <w:caps/>
              <w:color w:val="auto"/>
              <w:sz w:val="32"/>
              <w:szCs w:val="32"/>
            </w:rPr>
            <w:t>基本完成全面覆盖村庄整治规划。</w:t>
          </w:r>
          <w:r>
            <w:rPr>
              <w:rStyle w:val="17"/>
              <w:rFonts w:ascii="仿宋_GB2312" w:hAnsi="仿宋_GB2312" w:eastAsia="仿宋_GB2312" w:cs="仿宋_GB2312"/>
              <w:bCs/>
              <w:caps/>
              <w:color w:val="auto"/>
              <w:sz w:val="32"/>
              <w:szCs w:val="32"/>
            </w:rPr>
            <w:tab/>
          </w:r>
          <w:r>
            <w:rPr>
              <w:rStyle w:val="17"/>
              <w:rFonts w:ascii="仿宋_GB2312" w:hAnsi="仿宋_GB2312" w:eastAsia="仿宋_GB2312" w:cs="仿宋_GB2312"/>
              <w:bCs/>
              <w:caps/>
              <w:color w:val="auto"/>
              <w:sz w:val="32"/>
              <w:szCs w:val="32"/>
            </w:rPr>
            <w:fldChar w:fldCharType="begin"/>
          </w:r>
          <w:r>
            <w:rPr>
              <w:rStyle w:val="17"/>
              <w:rFonts w:ascii="仿宋_GB2312" w:hAnsi="仿宋_GB2312" w:eastAsia="仿宋_GB2312" w:cs="仿宋_GB2312"/>
              <w:bCs/>
              <w:caps/>
              <w:color w:val="auto"/>
              <w:sz w:val="32"/>
              <w:szCs w:val="32"/>
            </w:rPr>
            <w:instrText xml:space="preserve"> PAGEREF _Toc14535877 \h </w:instrText>
          </w:r>
          <w:r>
            <w:rPr>
              <w:rStyle w:val="17"/>
              <w:rFonts w:ascii="仿宋_GB2312" w:hAnsi="仿宋_GB2312" w:eastAsia="仿宋_GB2312" w:cs="仿宋_GB2312"/>
              <w:bCs/>
              <w:caps/>
              <w:color w:val="auto"/>
              <w:sz w:val="32"/>
              <w:szCs w:val="32"/>
            </w:rPr>
            <w:fldChar w:fldCharType="separate"/>
          </w:r>
          <w:r>
            <w:rPr>
              <w:rStyle w:val="17"/>
              <w:rFonts w:ascii="仿宋_GB2312" w:hAnsi="仿宋_GB2312" w:eastAsia="仿宋_GB2312" w:cs="仿宋_GB2312"/>
              <w:bCs/>
              <w:caps/>
              <w:color w:val="auto"/>
              <w:sz w:val="32"/>
              <w:szCs w:val="32"/>
            </w:rPr>
            <w:t>- 15 -</w:t>
          </w:r>
          <w:r>
            <w:rPr>
              <w:rStyle w:val="17"/>
              <w:rFonts w:ascii="仿宋_GB2312" w:hAnsi="仿宋_GB2312" w:eastAsia="仿宋_GB2312" w:cs="仿宋_GB2312"/>
              <w:bCs/>
              <w:caps/>
              <w:color w:val="auto"/>
              <w:sz w:val="32"/>
              <w:szCs w:val="32"/>
            </w:rPr>
            <w:fldChar w:fldCharType="end"/>
          </w:r>
          <w:r>
            <w:rPr>
              <w:rStyle w:val="17"/>
              <w:rFonts w:ascii="仿宋_GB2312" w:hAnsi="仿宋_GB2312" w:eastAsia="仿宋_GB2312" w:cs="仿宋_GB2312"/>
              <w:bCs/>
              <w:caps/>
              <w:color w:val="auto"/>
              <w:sz w:val="32"/>
              <w:szCs w:val="32"/>
            </w:rPr>
            <w:fldChar w:fldCharType="end"/>
          </w:r>
        </w:p>
        <w:p>
          <w:pPr>
            <w:pStyle w:val="10"/>
            <w:tabs>
              <w:tab w:val="right" w:leader="dot" w:pos="8948"/>
            </w:tabs>
            <w:spacing w:before="120" w:after="120"/>
            <w:ind w:firstLine="840" w:firstLineChars="400"/>
            <w:jc w:val="left"/>
            <w:rPr>
              <w:rStyle w:val="17"/>
              <w:rFonts w:ascii="仿宋_GB2312" w:hAnsi="仿宋_GB2312" w:eastAsia="仿宋_GB2312" w:cs="仿宋_GB2312"/>
              <w:bCs/>
              <w:caps/>
              <w:color w:val="auto"/>
              <w:sz w:val="32"/>
              <w:szCs w:val="32"/>
            </w:rPr>
          </w:pPr>
          <w:r>
            <w:fldChar w:fldCharType="begin"/>
          </w:r>
          <w:r>
            <w:instrText xml:space="preserve"> HYPERLINK \l "_Toc14535878" </w:instrText>
          </w:r>
          <w:r>
            <w:fldChar w:fldCharType="separate"/>
          </w:r>
          <w:r>
            <w:rPr>
              <w:rStyle w:val="17"/>
              <w:rFonts w:ascii="仿宋_GB2312" w:hAnsi="仿宋_GB2312" w:eastAsia="仿宋_GB2312" w:cs="仿宋_GB2312"/>
              <w:bCs/>
              <w:caps/>
              <w:color w:val="auto"/>
              <w:sz w:val="32"/>
              <w:szCs w:val="32"/>
            </w:rPr>
            <w:t>3.优先解决民生突出问题。</w:t>
          </w:r>
          <w:r>
            <w:rPr>
              <w:rStyle w:val="17"/>
              <w:rFonts w:ascii="仿宋_GB2312" w:hAnsi="仿宋_GB2312" w:eastAsia="仿宋_GB2312" w:cs="仿宋_GB2312"/>
              <w:bCs/>
              <w:caps/>
              <w:color w:val="auto"/>
              <w:sz w:val="32"/>
              <w:szCs w:val="32"/>
            </w:rPr>
            <w:tab/>
          </w:r>
          <w:r>
            <w:rPr>
              <w:rStyle w:val="17"/>
              <w:rFonts w:ascii="仿宋_GB2312" w:hAnsi="仿宋_GB2312" w:eastAsia="仿宋_GB2312" w:cs="仿宋_GB2312"/>
              <w:bCs/>
              <w:caps/>
              <w:color w:val="auto"/>
              <w:sz w:val="32"/>
              <w:szCs w:val="32"/>
            </w:rPr>
            <w:fldChar w:fldCharType="begin"/>
          </w:r>
          <w:r>
            <w:rPr>
              <w:rStyle w:val="17"/>
              <w:rFonts w:ascii="仿宋_GB2312" w:hAnsi="仿宋_GB2312" w:eastAsia="仿宋_GB2312" w:cs="仿宋_GB2312"/>
              <w:bCs/>
              <w:caps/>
              <w:color w:val="auto"/>
              <w:sz w:val="32"/>
              <w:szCs w:val="32"/>
            </w:rPr>
            <w:instrText xml:space="preserve"> PAGEREF _Toc14535878 \h </w:instrText>
          </w:r>
          <w:r>
            <w:rPr>
              <w:rStyle w:val="17"/>
              <w:rFonts w:ascii="仿宋_GB2312" w:hAnsi="仿宋_GB2312" w:eastAsia="仿宋_GB2312" w:cs="仿宋_GB2312"/>
              <w:bCs/>
              <w:caps/>
              <w:color w:val="auto"/>
              <w:sz w:val="32"/>
              <w:szCs w:val="32"/>
            </w:rPr>
            <w:fldChar w:fldCharType="separate"/>
          </w:r>
          <w:r>
            <w:rPr>
              <w:rStyle w:val="17"/>
              <w:rFonts w:ascii="仿宋_GB2312" w:hAnsi="仿宋_GB2312" w:eastAsia="仿宋_GB2312" w:cs="仿宋_GB2312"/>
              <w:bCs/>
              <w:caps/>
              <w:color w:val="auto"/>
              <w:sz w:val="32"/>
              <w:szCs w:val="32"/>
            </w:rPr>
            <w:t>- 15 -</w:t>
          </w:r>
          <w:r>
            <w:rPr>
              <w:rStyle w:val="17"/>
              <w:rFonts w:ascii="仿宋_GB2312" w:hAnsi="仿宋_GB2312" w:eastAsia="仿宋_GB2312" w:cs="仿宋_GB2312"/>
              <w:bCs/>
              <w:caps/>
              <w:color w:val="auto"/>
              <w:sz w:val="32"/>
              <w:szCs w:val="32"/>
            </w:rPr>
            <w:fldChar w:fldCharType="end"/>
          </w:r>
          <w:r>
            <w:rPr>
              <w:rStyle w:val="17"/>
              <w:rFonts w:ascii="仿宋_GB2312" w:hAnsi="仿宋_GB2312" w:eastAsia="仿宋_GB2312" w:cs="仿宋_GB2312"/>
              <w:bCs/>
              <w:caps/>
              <w:color w:val="auto"/>
              <w:sz w:val="32"/>
              <w:szCs w:val="32"/>
            </w:rPr>
            <w:fldChar w:fldCharType="end"/>
          </w:r>
        </w:p>
        <w:p>
          <w:pPr>
            <w:pStyle w:val="10"/>
            <w:tabs>
              <w:tab w:val="right" w:leader="dot" w:pos="8948"/>
            </w:tabs>
            <w:spacing w:before="120" w:after="120"/>
            <w:ind w:firstLine="560"/>
            <w:jc w:val="left"/>
            <w:rPr>
              <w:rStyle w:val="17"/>
              <w:rFonts w:ascii="仿宋_GB2312" w:hAnsi="仿宋_GB2312" w:eastAsia="仿宋_GB2312" w:cs="仿宋_GB2312"/>
              <w:bCs/>
              <w:caps/>
              <w:color w:val="auto"/>
              <w:sz w:val="32"/>
              <w:szCs w:val="32"/>
            </w:rPr>
          </w:pPr>
          <w:r>
            <w:fldChar w:fldCharType="begin"/>
          </w:r>
          <w:r>
            <w:instrText xml:space="preserve"> HYPERLINK \l "_Toc14535879" </w:instrText>
          </w:r>
          <w:r>
            <w:fldChar w:fldCharType="separate"/>
          </w:r>
          <w:r>
            <w:rPr>
              <w:rStyle w:val="17"/>
              <w:rFonts w:ascii="仿宋_GB2312" w:hAnsi="仿宋_GB2312" w:eastAsia="仿宋_GB2312" w:cs="仿宋_GB2312"/>
              <w:bCs/>
              <w:caps/>
              <w:color w:val="auto"/>
              <w:sz w:val="32"/>
              <w:szCs w:val="32"/>
            </w:rPr>
            <w:t>（二）存在问题</w:t>
          </w:r>
          <w:r>
            <w:rPr>
              <w:rStyle w:val="17"/>
              <w:rFonts w:ascii="仿宋_GB2312" w:hAnsi="仿宋_GB2312" w:eastAsia="仿宋_GB2312" w:cs="仿宋_GB2312"/>
              <w:bCs/>
              <w:caps/>
              <w:color w:val="auto"/>
              <w:sz w:val="32"/>
              <w:szCs w:val="32"/>
            </w:rPr>
            <w:tab/>
          </w:r>
          <w:r>
            <w:rPr>
              <w:rStyle w:val="17"/>
              <w:rFonts w:ascii="仿宋_GB2312" w:hAnsi="仿宋_GB2312" w:eastAsia="仿宋_GB2312" w:cs="仿宋_GB2312"/>
              <w:bCs/>
              <w:caps/>
              <w:color w:val="auto"/>
              <w:sz w:val="32"/>
              <w:szCs w:val="32"/>
            </w:rPr>
            <w:fldChar w:fldCharType="begin"/>
          </w:r>
          <w:r>
            <w:rPr>
              <w:rStyle w:val="17"/>
              <w:rFonts w:ascii="仿宋_GB2312" w:hAnsi="仿宋_GB2312" w:eastAsia="仿宋_GB2312" w:cs="仿宋_GB2312"/>
              <w:bCs/>
              <w:caps/>
              <w:color w:val="auto"/>
              <w:sz w:val="32"/>
              <w:szCs w:val="32"/>
            </w:rPr>
            <w:instrText xml:space="preserve"> PAGEREF _Toc14535879 \h </w:instrText>
          </w:r>
          <w:r>
            <w:rPr>
              <w:rStyle w:val="17"/>
              <w:rFonts w:ascii="仿宋_GB2312" w:hAnsi="仿宋_GB2312" w:eastAsia="仿宋_GB2312" w:cs="仿宋_GB2312"/>
              <w:bCs/>
              <w:caps/>
              <w:color w:val="auto"/>
              <w:sz w:val="32"/>
              <w:szCs w:val="32"/>
            </w:rPr>
            <w:fldChar w:fldCharType="separate"/>
          </w:r>
          <w:r>
            <w:rPr>
              <w:rStyle w:val="17"/>
              <w:rFonts w:ascii="仿宋_GB2312" w:hAnsi="仿宋_GB2312" w:eastAsia="仿宋_GB2312" w:cs="仿宋_GB2312"/>
              <w:bCs/>
              <w:caps/>
              <w:color w:val="auto"/>
              <w:sz w:val="32"/>
              <w:szCs w:val="32"/>
            </w:rPr>
            <w:t>- 16 -</w:t>
          </w:r>
          <w:r>
            <w:rPr>
              <w:rStyle w:val="17"/>
              <w:rFonts w:ascii="仿宋_GB2312" w:hAnsi="仿宋_GB2312" w:eastAsia="仿宋_GB2312" w:cs="仿宋_GB2312"/>
              <w:bCs/>
              <w:caps/>
              <w:color w:val="auto"/>
              <w:sz w:val="32"/>
              <w:szCs w:val="32"/>
            </w:rPr>
            <w:fldChar w:fldCharType="end"/>
          </w:r>
          <w:r>
            <w:rPr>
              <w:rStyle w:val="17"/>
              <w:rFonts w:ascii="仿宋_GB2312" w:hAnsi="仿宋_GB2312" w:eastAsia="仿宋_GB2312" w:cs="仿宋_GB2312"/>
              <w:bCs/>
              <w:caps/>
              <w:color w:val="auto"/>
              <w:sz w:val="32"/>
              <w:szCs w:val="32"/>
            </w:rPr>
            <w:fldChar w:fldCharType="end"/>
          </w:r>
        </w:p>
        <w:p>
          <w:pPr>
            <w:pStyle w:val="10"/>
            <w:tabs>
              <w:tab w:val="right" w:leader="dot" w:pos="8948"/>
            </w:tabs>
            <w:spacing w:before="120" w:after="120"/>
            <w:ind w:firstLine="560"/>
            <w:jc w:val="left"/>
            <w:rPr>
              <w:rStyle w:val="17"/>
              <w:rFonts w:ascii="仿宋_GB2312" w:hAnsi="仿宋_GB2312" w:eastAsia="仿宋_GB2312" w:cs="仿宋_GB2312"/>
              <w:bCs/>
              <w:caps/>
              <w:color w:val="auto"/>
              <w:sz w:val="32"/>
              <w:szCs w:val="32"/>
            </w:rPr>
          </w:pPr>
          <w:r>
            <w:fldChar w:fldCharType="begin"/>
          </w:r>
          <w:r>
            <w:instrText xml:space="preserve"> HYPERLINK \l "_Toc14535880" </w:instrText>
          </w:r>
          <w:r>
            <w:fldChar w:fldCharType="separate"/>
          </w:r>
          <w:r>
            <w:rPr>
              <w:rStyle w:val="17"/>
              <w:rFonts w:ascii="仿宋_GB2312" w:hAnsi="仿宋_GB2312" w:eastAsia="仿宋_GB2312" w:cs="仿宋_GB2312"/>
              <w:bCs/>
              <w:caps/>
              <w:color w:val="auto"/>
              <w:sz w:val="32"/>
              <w:szCs w:val="32"/>
            </w:rPr>
            <w:t>三、改进意见</w:t>
          </w:r>
          <w:r>
            <w:rPr>
              <w:rStyle w:val="17"/>
              <w:rFonts w:ascii="仿宋_GB2312" w:hAnsi="仿宋_GB2312" w:eastAsia="仿宋_GB2312" w:cs="仿宋_GB2312"/>
              <w:bCs/>
              <w:caps/>
              <w:color w:val="auto"/>
              <w:sz w:val="32"/>
              <w:szCs w:val="32"/>
            </w:rPr>
            <w:tab/>
          </w:r>
          <w:r>
            <w:rPr>
              <w:rStyle w:val="17"/>
              <w:rFonts w:ascii="仿宋_GB2312" w:hAnsi="仿宋_GB2312" w:eastAsia="仿宋_GB2312" w:cs="仿宋_GB2312"/>
              <w:bCs/>
              <w:caps/>
              <w:color w:val="auto"/>
              <w:sz w:val="32"/>
              <w:szCs w:val="32"/>
            </w:rPr>
            <w:fldChar w:fldCharType="begin"/>
          </w:r>
          <w:r>
            <w:rPr>
              <w:rStyle w:val="17"/>
              <w:rFonts w:ascii="仿宋_GB2312" w:hAnsi="仿宋_GB2312" w:eastAsia="仿宋_GB2312" w:cs="仿宋_GB2312"/>
              <w:bCs/>
              <w:caps/>
              <w:color w:val="auto"/>
              <w:sz w:val="32"/>
              <w:szCs w:val="32"/>
            </w:rPr>
            <w:instrText xml:space="preserve"> PAGEREF _Toc14535880 \h </w:instrText>
          </w:r>
          <w:r>
            <w:rPr>
              <w:rStyle w:val="17"/>
              <w:rFonts w:ascii="仿宋_GB2312" w:hAnsi="仿宋_GB2312" w:eastAsia="仿宋_GB2312" w:cs="仿宋_GB2312"/>
              <w:bCs/>
              <w:caps/>
              <w:color w:val="auto"/>
              <w:sz w:val="32"/>
              <w:szCs w:val="32"/>
            </w:rPr>
            <w:fldChar w:fldCharType="separate"/>
          </w:r>
          <w:r>
            <w:rPr>
              <w:rStyle w:val="17"/>
              <w:rFonts w:ascii="仿宋_GB2312" w:hAnsi="仿宋_GB2312" w:eastAsia="仿宋_GB2312" w:cs="仿宋_GB2312"/>
              <w:bCs/>
              <w:caps/>
              <w:color w:val="auto"/>
              <w:sz w:val="32"/>
              <w:szCs w:val="32"/>
            </w:rPr>
            <w:t>- 17 -</w:t>
          </w:r>
          <w:r>
            <w:rPr>
              <w:rStyle w:val="17"/>
              <w:rFonts w:ascii="仿宋_GB2312" w:hAnsi="仿宋_GB2312" w:eastAsia="仿宋_GB2312" w:cs="仿宋_GB2312"/>
              <w:bCs/>
              <w:caps/>
              <w:color w:val="auto"/>
              <w:sz w:val="32"/>
              <w:szCs w:val="32"/>
            </w:rPr>
            <w:fldChar w:fldCharType="end"/>
          </w:r>
          <w:r>
            <w:rPr>
              <w:rStyle w:val="17"/>
              <w:rFonts w:ascii="仿宋_GB2312" w:hAnsi="仿宋_GB2312" w:eastAsia="仿宋_GB2312" w:cs="仿宋_GB2312"/>
              <w:bCs/>
              <w:caps/>
              <w:color w:val="auto"/>
              <w:sz w:val="32"/>
              <w:szCs w:val="32"/>
            </w:rPr>
            <w:fldChar w:fldCharType="end"/>
          </w:r>
        </w:p>
        <w:p>
          <w:pPr>
            <w:pStyle w:val="10"/>
            <w:tabs>
              <w:tab w:val="right" w:leader="dot" w:pos="8948"/>
            </w:tabs>
            <w:spacing w:before="120" w:after="120"/>
            <w:ind w:firstLine="560"/>
            <w:jc w:val="left"/>
            <w:rPr>
              <w:rStyle w:val="17"/>
              <w:rFonts w:ascii="仿宋_GB2312" w:hAnsi="仿宋_GB2312" w:eastAsia="仿宋_GB2312" w:cs="仿宋_GB2312"/>
              <w:bCs/>
              <w:caps/>
              <w:color w:val="auto"/>
              <w:sz w:val="32"/>
              <w:szCs w:val="32"/>
            </w:rPr>
          </w:pPr>
          <w:r>
            <w:fldChar w:fldCharType="begin"/>
          </w:r>
          <w:r>
            <w:instrText xml:space="preserve"> HYPERLINK \l "_Toc14535881" </w:instrText>
          </w:r>
          <w:r>
            <w:fldChar w:fldCharType="separate"/>
          </w:r>
          <w:r>
            <w:rPr>
              <w:rStyle w:val="17"/>
              <w:rFonts w:ascii="仿宋_GB2312" w:hAnsi="仿宋_GB2312" w:eastAsia="仿宋_GB2312" w:cs="仿宋_GB2312"/>
              <w:bCs/>
              <w:caps/>
              <w:color w:val="auto"/>
              <w:sz w:val="32"/>
              <w:szCs w:val="32"/>
            </w:rPr>
            <w:t>（一）加强对示范片建设进展情况监控</w:t>
          </w:r>
          <w:r>
            <w:rPr>
              <w:rStyle w:val="17"/>
              <w:rFonts w:ascii="仿宋_GB2312" w:hAnsi="仿宋_GB2312" w:eastAsia="仿宋_GB2312" w:cs="仿宋_GB2312"/>
              <w:bCs/>
              <w:caps/>
              <w:color w:val="auto"/>
              <w:sz w:val="32"/>
              <w:szCs w:val="32"/>
            </w:rPr>
            <w:tab/>
          </w:r>
          <w:r>
            <w:rPr>
              <w:rStyle w:val="17"/>
              <w:rFonts w:ascii="仿宋_GB2312" w:hAnsi="仿宋_GB2312" w:eastAsia="仿宋_GB2312" w:cs="仿宋_GB2312"/>
              <w:bCs/>
              <w:caps/>
              <w:color w:val="auto"/>
              <w:sz w:val="32"/>
              <w:szCs w:val="32"/>
            </w:rPr>
            <w:fldChar w:fldCharType="begin"/>
          </w:r>
          <w:r>
            <w:rPr>
              <w:rStyle w:val="17"/>
              <w:rFonts w:ascii="仿宋_GB2312" w:hAnsi="仿宋_GB2312" w:eastAsia="仿宋_GB2312" w:cs="仿宋_GB2312"/>
              <w:bCs/>
              <w:caps/>
              <w:color w:val="auto"/>
              <w:sz w:val="32"/>
              <w:szCs w:val="32"/>
            </w:rPr>
            <w:instrText xml:space="preserve"> PAGEREF _Toc14535881 \h </w:instrText>
          </w:r>
          <w:r>
            <w:rPr>
              <w:rStyle w:val="17"/>
              <w:rFonts w:ascii="仿宋_GB2312" w:hAnsi="仿宋_GB2312" w:eastAsia="仿宋_GB2312" w:cs="仿宋_GB2312"/>
              <w:bCs/>
              <w:caps/>
              <w:color w:val="auto"/>
              <w:sz w:val="32"/>
              <w:szCs w:val="32"/>
            </w:rPr>
            <w:fldChar w:fldCharType="separate"/>
          </w:r>
          <w:r>
            <w:rPr>
              <w:rStyle w:val="17"/>
              <w:rFonts w:ascii="仿宋_GB2312" w:hAnsi="仿宋_GB2312" w:eastAsia="仿宋_GB2312" w:cs="仿宋_GB2312"/>
              <w:bCs/>
              <w:caps/>
              <w:color w:val="auto"/>
              <w:sz w:val="32"/>
              <w:szCs w:val="32"/>
            </w:rPr>
            <w:t>- 17 -</w:t>
          </w:r>
          <w:r>
            <w:rPr>
              <w:rStyle w:val="17"/>
              <w:rFonts w:ascii="仿宋_GB2312" w:hAnsi="仿宋_GB2312" w:eastAsia="仿宋_GB2312" w:cs="仿宋_GB2312"/>
              <w:bCs/>
              <w:caps/>
              <w:color w:val="auto"/>
              <w:sz w:val="32"/>
              <w:szCs w:val="32"/>
            </w:rPr>
            <w:fldChar w:fldCharType="end"/>
          </w:r>
          <w:r>
            <w:rPr>
              <w:rStyle w:val="17"/>
              <w:rFonts w:ascii="仿宋_GB2312" w:hAnsi="仿宋_GB2312" w:eastAsia="仿宋_GB2312" w:cs="仿宋_GB2312"/>
              <w:bCs/>
              <w:caps/>
              <w:color w:val="auto"/>
              <w:sz w:val="32"/>
              <w:szCs w:val="32"/>
            </w:rPr>
            <w:fldChar w:fldCharType="end"/>
          </w:r>
        </w:p>
        <w:p>
          <w:pPr>
            <w:pStyle w:val="10"/>
            <w:tabs>
              <w:tab w:val="right" w:leader="dot" w:pos="8948"/>
            </w:tabs>
            <w:spacing w:before="120" w:after="120"/>
            <w:ind w:firstLine="560"/>
            <w:jc w:val="left"/>
            <w:rPr>
              <w:rStyle w:val="17"/>
              <w:rFonts w:ascii="仿宋_GB2312" w:hAnsi="仿宋_GB2312" w:eastAsia="仿宋_GB2312" w:cs="仿宋_GB2312"/>
              <w:bCs/>
              <w:caps/>
              <w:color w:val="auto"/>
              <w:sz w:val="32"/>
              <w:szCs w:val="32"/>
            </w:rPr>
          </w:pPr>
          <w:r>
            <w:fldChar w:fldCharType="begin"/>
          </w:r>
          <w:r>
            <w:instrText xml:space="preserve"> HYPERLINK \l "_Toc14535882" </w:instrText>
          </w:r>
          <w:r>
            <w:fldChar w:fldCharType="separate"/>
          </w:r>
          <w:r>
            <w:rPr>
              <w:rStyle w:val="17"/>
              <w:rFonts w:ascii="仿宋_GB2312" w:hAnsi="仿宋_GB2312" w:eastAsia="仿宋_GB2312" w:cs="仿宋_GB2312"/>
              <w:bCs/>
              <w:caps/>
              <w:color w:val="auto"/>
              <w:sz w:val="32"/>
              <w:szCs w:val="32"/>
            </w:rPr>
            <w:t>（二）加强示范片项目主体责任管理</w:t>
          </w:r>
          <w:r>
            <w:rPr>
              <w:rStyle w:val="17"/>
              <w:rFonts w:ascii="仿宋_GB2312" w:hAnsi="仿宋_GB2312" w:eastAsia="仿宋_GB2312" w:cs="仿宋_GB2312"/>
              <w:bCs/>
              <w:caps/>
              <w:color w:val="auto"/>
              <w:sz w:val="32"/>
              <w:szCs w:val="32"/>
            </w:rPr>
            <w:tab/>
          </w:r>
          <w:r>
            <w:rPr>
              <w:rStyle w:val="17"/>
              <w:rFonts w:ascii="仿宋_GB2312" w:hAnsi="仿宋_GB2312" w:eastAsia="仿宋_GB2312" w:cs="仿宋_GB2312"/>
              <w:bCs/>
              <w:caps/>
              <w:color w:val="auto"/>
              <w:sz w:val="32"/>
              <w:szCs w:val="32"/>
            </w:rPr>
            <w:fldChar w:fldCharType="begin"/>
          </w:r>
          <w:r>
            <w:rPr>
              <w:rStyle w:val="17"/>
              <w:rFonts w:ascii="仿宋_GB2312" w:hAnsi="仿宋_GB2312" w:eastAsia="仿宋_GB2312" w:cs="仿宋_GB2312"/>
              <w:bCs/>
              <w:caps/>
              <w:color w:val="auto"/>
              <w:sz w:val="32"/>
              <w:szCs w:val="32"/>
            </w:rPr>
            <w:instrText xml:space="preserve"> PAGEREF _Toc14535882 \h </w:instrText>
          </w:r>
          <w:r>
            <w:rPr>
              <w:rStyle w:val="17"/>
              <w:rFonts w:ascii="仿宋_GB2312" w:hAnsi="仿宋_GB2312" w:eastAsia="仿宋_GB2312" w:cs="仿宋_GB2312"/>
              <w:bCs/>
              <w:caps/>
              <w:color w:val="auto"/>
              <w:sz w:val="32"/>
              <w:szCs w:val="32"/>
            </w:rPr>
            <w:fldChar w:fldCharType="separate"/>
          </w:r>
          <w:r>
            <w:rPr>
              <w:rStyle w:val="17"/>
              <w:rFonts w:ascii="仿宋_GB2312" w:hAnsi="仿宋_GB2312" w:eastAsia="仿宋_GB2312" w:cs="仿宋_GB2312"/>
              <w:bCs/>
              <w:caps/>
              <w:color w:val="auto"/>
              <w:sz w:val="32"/>
              <w:szCs w:val="32"/>
            </w:rPr>
            <w:t>- 18 -</w:t>
          </w:r>
          <w:r>
            <w:rPr>
              <w:rStyle w:val="17"/>
              <w:rFonts w:ascii="仿宋_GB2312" w:hAnsi="仿宋_GB2312" w:eastAsia="仿宋_GB2312" w:cs="仿宋_GB2312"/>
              <w:bCs/>
              <w:caps/>
              <w:color w:val="auto"/>
              <w:sz w:val="32"/>
              <w:szCs w:val="32"/>
            </w:rPr>
            <w:fldChar w:fldCharType="end"/>
          </w:r>
          <w:r>
            <w:rPr>
              <w:rStyle w:val="17"/>
              <w:rFonts w:ascii="仿宋_GB2312" w:hAnsi="仿宋_GB2312" w:eastAsia="仿宋_GB2312" w:cs="仿宋_GB2312"/>
              <w:bCs/>
              <w:caps/>
              <w:color w:val="auto"/>
              <w:sz w:val="32"/>
              <w:szCs w:val="32"/>
            </w:rPr>
            <w:fldChar w:fldCharType="end"/>
          </w:r>
        </w:p>
        <w:p>
          <w:pPr>
            <w:pStyle w:val="10"/>
            <w:tabs>
              <w:tab w:val="right" w:leader="dot" w:pos="8948"/>
            </w:tabs>
            <w:spacing w:before="120" w:after="120"/>
            <w:ind w:firstLine="560"/>
            <w:jc w:val="left"/>
            <w:rPr>
              <w:rStyle w:val="17"/>
              <w:rFonts w:ascii="仿宋_GB2312" w:hAnsi="仿宋_GB2312" w:eastAsia="仿宋_GB2312" w:cs="仿宋_GB2312"/>
              <w:bCs/>
              <w:caps/>
              <w:color w:val="auto"/>
              <w:sz w:val="32"/>
              <w:szCs w:val="32"/>
            </w:rPr>
          </w:pPr>
          <w:r>
            <w:fldChar w:fldCharType="begin"/>
          </w:r>
          <w:r>
            <w:instrText xml:space="preserve"> HYPERLINK \l "_Toc14535883" </w:instrText>
          </w:r>
          <w:r>
            <w:fldChar w:fldCharType="separate"/>
          </w:r>
          <w:r>
            <w:rPr>
              <w:rStyle w:val="17"/>
              <w:rFonts w:ascii="仿宋_GB2312" w:hAnsi="仿宋_GB2312" w:eastAsia="仿宋_GB2312" w:cs="仿宋_GB2312"/>
              <w:bCs/>
              <w:caps/>
              <w:color w:val="auto"/>
              <w:sz w:val="32"/>
              <w:szCs w:val="32"/>
            </w:rPr>
            <w:t>（三）进一步细化示范片资金使用管理</w:t>
          </w:r>
          <w:r>
            <w:rPr>
              <w:rStyle w:val="17"/>
              <w:rFonts w:ascii="仿宋_GB2312" w:hAnsi="仿宋_GB2312" w:eastAsia="仿宋_GB2312" w:cs="仿宋_GB2312"/>
              <w:bCs/>
              <w:caps/>
              <w:color w:val="auto"/>
              <w:sz w:val="32"/>
              <w:szCs w:val="32"/>
            </w:rPr>
            <w:tab/>
          </w:r>
          <w:r>
            <w:rPr>
              <w:rStyle w:val="17"/>
              <w:rFonts w:ascii="仿宋_GB2312" w:hAnsi="仿宋_GB2312" w:eastAsia="仿宋_GB2312" w:cs="仿宋_GB2312"/>
              <w:bCs/>
              <w:caps/>
              <w:color w:val="auto"/>
              <w:sz w:val="32"/>
              <w:szCs w:val="32"/>
            </w:rPr>
            <w:fldChar w:fldCharType="begin"/>
          </w:r>
          <w:r>
            <w:rPr>
              <w:rStyle w:val="17"/>
              <w:rFonts w:ascii="仿宋_GB2312" w:hAnsi="仿宋_GB2312" w:eastAsia="仿宋_GB2312" w:cs="仿宋_GB2312"/>
              <w:bCs/>
              <w:caps/>
              <w:color w:val="auto"/>
              <w:sz w:val="32"/>
              <w:szCs w:val="32"/>
            </w:rPr>
            <w:instrText xml:space="preserve"> PAGEREF _Toc14535883 \h </w:instrText>
          </w:r>
          <w:r>
            <w:rPr>
              <w:rStyle w:val="17"/>
              <w:rFonts w:ascii="仿宋_GB2312" w:hAnsi="仿宋_GB2312" w:eastAsia="仿宋_GB2312" w:cs="仿宋_GB2312"/>
              <w:bCs/>
              <w:caps/>
              <w:color w:val="auto"/>
              <w:sz w:val="32"/>
              <w:szCs w:val="32"/>
            </w:rPr>
            <w:fldChar w:fldCharType="separate"/>
          </w:r>
          <w:r>
            <w:rPr>
              <w:rStyle w:val="17"/>
              <w:rFonts w:ascii="仿宋_GB2312" w:hAnsi="仿宋_GB2312" w:eastAsia="仿宋_GB2312" w:cs="仿宋_GB2312"/>
              <w:bCs/>
              <w:caps/>
              <w:color w:val="auto"/>
              <w:sz w:val="32"/>
              <w:szCs w:val="32"/>
            </w:rPr>
            <w:t>- 18 -</w:t>
          </w:r>
          <w:r>
            <w:rPr>
              <w:rStyle w:val="17"/>
              <w:rFonts w:ascii="仿宋_GB2312" w:hAnsi="仿宋_GB2312" w:eastAsia="仿宋_GB2312" w:cs="仿宋_GB2312"/>
              <w:bCs/>
              <w:caps/>
              <w:color w:val="auto"/>
              <w:sz w:val="32"/>
              <w:szCs w:val="32"/>
            </w:rPr>
            <w:fldChar w:fldCharType="end"/>
          </w:r>
          <w:r>
            <w:rPr>
              <w:rStyle w:val="17"/>
              <w:rFonts w:ascii="仿宋_GB2312" w:hAnsi="仿宋_GB2312" w:eastAsia="仿宋_GB2312" w:cs="仿宋_GB2312"/>
              <w:bCs/>
              <w:caps/>
              <w:color w:val="auto"/>
              <w:sz w:val="32"/>
              <w:szCs w:val="32"/>
            </w:rPr>
            <w:fldChar w:fldCharType="end"/>
          </w:r>
        </w:p>
        <w:p>
          <w:pPr>
            <w:pStyle w:val="11"/>
            <w:tabs>
              <w:tab w:val="right" w:leader="dot" w:pos="8948"/>
            </w:tabs>
            <w:ind w:left="0" w:leftChars="0"/>
            <w:jc w:val="left"/>
            <w:rPr>
              <w:rFonts w:ascii="仿宋_GB2312" w:hAnsi="仿宋_GB2312" w:eastAsia="仿宋_GB2312" w:cs="仿宋_GB2312"/>
              <w:smallCaps/>
              <w:sz w:val="32"/>
              <w:szCs w:val="32"/>
              <w:u w:val="single"/>
            </w:rPr>
            <w:sectPr>
              <w:pgSz w:w="11906" w:h="16838"/>
              <w:pgMar w:top="1440" w:right="1418" w:bottom="1440" w:left="1531" w:header="851" w:footer="992" w:gutter="0"/>
              <w:pgNumType w:fmt="numberInDash" w:start="1"/>
              <w:cols w:space="425" w:num="1"/>
              <w:docGrid w:type="linesAndChars" w:linePitch="312" w:charSpace="0"/>
            </w:sectPr>
          </w:pPr>
          <w:r>
            <w:rPr>
              <w:rStyle w:val="17"/>
              <w:rFonts w:ascii="仿宋_GB2312" w:hAnsi="仿宋_GB2312" w:eastAsia="仿宋_GB2312" w:cs="仿宋_GB2312"/>
              <w:smallCaps/>
              <w:color w:val="auto"/>
              <w:sz w:val="32"/>
              <w:szCs w:val="32"/>
            </w:rPr>
            <w:fldChar w:fldCharType="end"/>
          </w:r>
        </w:p>
      </w:sdtContent>
    </w:sdt>
    <w:p>
      <w:pPr>
        <w:spacing w:line="360" w:lineRule="auto"/>
        <w:ind w:firstLine="640" w:firstLineChars="200"/>
        <w:rPr>
          <w:rFonts w:ascii="黑体" w:hAnsi="仿宋_GB2312" w:eastAsia="黑体" w:cs="仿宋_GB2312"/>
          <w:b/>
          <w:sz w:val="32"/>
          <w:szCs w:val="32"/>
        </w:rPr>
      </w:pPr>
      <w:r>
        <w:rPr>
          <w:rFonts w:hint="eastAsia" w:ascii="仿宋_GB2312" w:eastAsia="仿宋_GB2312"/>
          <w:sz w:val="32"/>
          <w:szCs w:val="32"/>
        </w:rPr>
        <w:t>为检验财政资金使用绩效，考核资金预期绩效目标的实现程度、支出效率和综合效果，进一步提高财政支出的管理水平，按照《中共广东省委 广东省人民政府关于全面实施预算绩效管理的若干意见》（粤发〔2019〕5号）和《关于开展2019年省级财政资金绩效自评工作的通知》（粤财绩函〔2019〕24号）的有关要求，我厅对2018年乡村振兴战略专项资金（推进美丽宜居乡村建设）共计1</w:t>
      </w:r>
      <w:r>
        <w:rPr>
          <w:rFonts w:ascii="仿宋_GB2312" w:eastAsia="仿宋_GB2312"/>
          <w:sz w:val="32"/>
          <w:szCs w:val="32"/>
        </w:rPr>
        <w:t>2</w:t>
      </w:r>
      <w:r>
        <w:rPr>
          <w:rFonts w:hint="eastAsia" w:ascii="仿宋_GB2312" w:eastAsia="仿宋_GB2312"/>
          <w:sz w:val="32"/>
          <w:szCs w:val="32"/>
        </w:rPr>
        <w:t>亿元的使用情况组织实施了绩效评价。评价基准日为2019年6月3</w:t>
      </w:r>
      <w:r>
        <w:rPr>
          <w:rFonts w:ascii="仿宋_GB2312" w:eastAsia="仿宋_GB2312"/>
          <w:sz w:val="32"/>
          <w:szCs w:val="32"/>
        </w:rPr>
        <w:t>0</w:t>
      </w:r>
      <w:r>
        <w:rPr>
          <w:rFonts w:hint="eastAsia" w:ascii="仿宋_GB2312" w:eastAsia="仿宋_GB2312"/>
          <w:sz w:val="32"/>
          <w:szCs w:val="32"/>
        </w:rPr>
        <w:t>日。</w:t>
      </w:r>
    </w:p>
    <w:p>
      <w:pPr>
        <w:spacing w:line="360" w:lineRule="auto"/>
        <w:ind w:firstLine="640" w:firstLineChars="200"/>
        <w:outlineLvl w:val="0"/>
        <w:rPr>
          <w:rFonts w:ascii="黑体" w:hAnsi="仿宋_GB2312" w:eastAsia="黑体" w:cs="仿宋_GB2312"/>
          <w:bCs/>
          <w:sz w:val="32"/>
          <w:szCs w:val="32"/>
        </w:rPr>
      </w:pPr>
      <w:bookmarkStart w:id="2" w:name="_Toc14535862"/>
      <w:r>
        <w:rPr>
          <w:rFonts w:hint="eastAsia" w:ascii="黑体" w:hAnsi="仿宋_GB2312" w:eastAsia="黑体" w:cs="仿宋_GB2312"/>
          <w:bCs/>
          <w:sz w:val="32"/>
          <w:szCs w:val="32"/>
        </w:rPr>
        <w:t>一、项目基本情况</w:t>
      </w:r>
      <w:bookmarkEnd w:id="0"/>
      <w:bookmarkEnd w:id="1"/>
      <w:r>
        <w:rPr>
          <w:rFonts w:hint="eastAsia" w:ascii="黑体" w:hAnsi="仿宋_GB2312" w:eastAsia="黑体" w:cs="仿宋_GB2312"/>
          <w:bCs/>
          <w:sz w:val="32"/>
          <w:szCs w:val="32"/>
        </w:rPr>
        <w:t>及自评结论</w:t>
      </w:r>
      <w:bookmarkEnd w:id="2"/>
    </w:p>
    <w:p>
      <w:pPr>
        <w:snapToGrid w:val="0"/>
        <w:spacing w:line="360" w:lineRule="auto"/>
        <w:ind w:left="630"/>
        <w:outlineLvl w:val="1"/>
        <w:rPr>
          <w:rFonts w:ascii="楷体_GB2312" w:hAnsi="仿宋_GB2312" w:eastAsia="楷体_GB2312" w:cs="仿宋_GB2312"/>
          <w:b/>
          <w:bCs/>
          <w:snapToGrid w:val="0"/>
          <w:spacing w:val="11"/>
          <w:sz w:val="32"/>
          <w:szCs w:val="32"/>
        </w:rPr>
      </w:pPr>
      <w:bookmarkStart w:id="3" w:name="_Toc13788"/>
      <w:bookmarkStart w:id="4" w:name="_Toc14533193"/>
      <w:bookmarkStart w:id="5" w:name="_Toc14535863"/>
      <w:bookmarkStart w:id="6" w:name="_Toc5983"/>
      <w:r>
        <w:rPr>
          <w:rFonts w:hint="eastAsia" w:ascii="楷体_GB2312" w:hAnsi="仿宋_GB2312" w:eastAsia="楷体_GB2312" w:cs="仿宋_GB2312"/>
          <w:b/>
          <w:bCs/>
          <w:snapToGrid w:val="0"/>
          <w:spacing w:val="11"/>
          <w:sz w:val="32"/>
          <w:szCs w:val="32"/>
        </w:rPr>
        <w:t>（一）</w:t>
      </w:r>
      <w:bookmarkEnd w:id="3"/>
      <w:r>
        <w:rPr>
          <w:rFonts w:hint="eastAsia" w:ascii="楷体_GB2312" w:hAnsi="仿宋_GB2312" w:eastAsia="楷体_GB2312" w:cs="仿宋_GB2312"/>
          <w:b/>
          <w:bCs/>
          <w:snapToGrid w:val="0"/>
          <w:spacing w:val="11"/>
          <w:sz w:val="32"/>
          <w:szCs w:val="32"/>
        </w:rPr>
        <w:t>项目资金安排情况</w:t>
      </w:r>
      <w:bookmarkEnd w:id="4"/>
      <w:bookmarkEnd w:id="5"/>
    </w:p>
    <w:bookmarkEnd w:id="6"/>
    <w:p>
      <w:pPr>
        <w:spacing w:line="360" w:lineRule="auto"/>
        <w:ind w:firstLine="640" w:firstLineChars="200"/>
        <w:rPr>
          <w:rFonts w:ascii="仿宋_GB2312" w:eastAsia="仿宋_GB2312"/>
          <w:snapToGrid w:val="0"/>
          <w:spacing w:val="11"/>
          <w:sz w:val="32"/>
          <w:szCs w:val="32"/>
        </w:rPr>
      </w:pPr>
      <w:r>
        <w:rPr>
          <w:rFonts w:hint="eastAsia" w:ascii="仿宋_GB2312" w:eastAsia="仿宋_GB2312"/>
          <w:sz w:val="32"/>
          <w:szCs w:val="32"/>
        </w:rPr>
        <w:t>为全面提升我省社会主义新农村建设水平，发挥示范带动作用，</w:t>
      </w:r>
      <w:r>
        <w:rPr>
          <w:rFonts w:hint="eastAsia" w:ascii="仿宋_GB2312" w:eastAsia="仿宋_GB2312"/>
          <w:snapToGrid w:val="0"/>
          <w:spacing w:val="11"/>
          <w:sz w:val="32"/>
          <w:szCs w:val="32"/>
        </w:rPr>
        <w:t>贯彻落实省委、省政府率先全面建成小康社会目标战略部署，根据省委关于进一步加快县域经济社会发展的决定分工方案要求，决定在2</w:t>
      </w:r>
      <w:r>
        <w:rPr>
          <w:rFonts w:ascii="仿宋_GB2312" w:eastAsia="仿宋_GB2312"/>
          <w:snapToGrid w:val="0"/>
          <w:spacing w:val="11"/>
          <w:sz w:val="32"/>
          <w:szCs w:val="32"/>
        </w:rPr>
        <w:t>017</w:t>
      </w:r>
      <w:r>
        <w:rPr>
          <w:rFonts w:hint="eastAsia" w:ascii="仿宋_GB2312" w:eastAsia="仿宋_GB2312"/>
          <w:snapToGrid w:val="0"/>
          <w:spacing w:val="11"/>
          <w:sz w:val="32"/>
          <w:szCs w:val="32"/>
        </w:rPr>
        <w:t>年、2</w:t>
      </w:r>
      <w:r>
        <w:rPr>
          <w:rFonts w:ascii="仿宋_GB2312" w:eastAsia="仿宋_GB2312"/>
          <w:snapToGrid w:val="0"/>
          <w:spacing w:val="11"/>
          <w:sz w:val="32"/>
          <w:szCs w:val="32"/>
        </w:rPr>
        <w:t>018</w:t>
      </w:r>
      <w:r>
        <w:rPr>
          <w:rFonts w:hint="eastAsia" w:ascii="仿宋_GB2312" w:eastAsia="仿宋_GB2312"/>
          <w:snapToGrid w:val="0"/>
          <w:spacing w:val="11"/>
          <w:sz w:val="32"/>
          <w:szCs w:val="32"/>
        </w:rPr>
        <w:t>年组织实施新一轮省级新农村连片示范建设工程（以下简称“省级新农村示范片”）。</w:t>
      </w:r>
      <w:r>
        <w:rPr>
          <w:rFonts w:hint="eastAsia" w:ascii="仿宋_GB2312" w:hAnsi="仿宋_GB2312" w:eastAsia="仿宋_GB2312" w:cs="仿宋_GB2312"/>
          <w:sz w:val="32"/>
          <w:szCs w:val="32"/>
        </w:rPr>
        <w:t>《中共广东省委农村工作办公室 广东省财政厅关于实施新一轮省级新农村连片示范建设工程的通知》</w:t>
      </w:r>
      <w:r>
        <w:rPr>
          <w:rFonts w:hint="eastAsia" w:ascii="仿宋_GB2312" w:eastAsia="仿宋_GB2312"/>
          <w:snapToGrid w:val="0"/>
          <w:spacing w:val="11"/>
          <w:sz w:val="32"/>
          <w:szCs w:val="32"/>
        </w:rPr>
        <w:t>（粤委农工办〔201</w:t>
      </w:r>
      <w:r>
        <w:rPr>
          <w:rFonts w:ascii="仿宋_GB2312" w:eastAsia="仿宋_GB2312"/>
          <w:snapToGrid w:val="0"/>
          <w:spacing w:val="11"/>
          <w:sz w:val="32"/>
          <w:szCs w:val="32"/>
        </w:rPr>
        <w:t>7</w:t>
      </w:r>
      <w:r>
        <w:rPr>
          <w:rFonts w:hint="eastAsia" w:ascii="仿宋_GB2312" w:eastAsia="仿宋_GB2312"/>
          <w:snapToGrid w:val="0"/>
          <w:spacing w:val="11"/>
          <w:sz w:val="32"/>
          <w:szCs w:val="32"/>
        </w:rPr>
        <w:t>〕1</w:t>
      </w:r>
      <w:r>
        <w:rPr>
          <w:rFonts w:ascii="仿宋_GB2312" w:eastAsia="仿宋_GB2312"/>
          <w:snapToGrid w:val="0"/>
          <w:spacing w:val="11"/>
          <w:sz w:val="32"/>
          <w:szCs w:val="32"/>
        </w:rPr>
        <w:t>2</w:t>
      </w:r>
      <w:r>
        <w:rPr>
          <w:rFonts w:hint="eastAsia" w:ascii="仿宋_GB2312" w:eastAsia="仿宋_GB2312"/>
          <w:snapToGrid w:val="0"/>
          <w:spacing w:val="11"/>
          <w:sz w:val="32"/>
          <w:szCs w:val="32"/>
        </w:rPr>
        <w:t>号）决定通过竞争遴选办法，在尚未开展省级新农村示范片的24个县（市）中，每年遴选产生12个示范片。</w:t>
      </w:r>
    </w:p>
    <w:p>
      <w:pPr>
        <w:spacing w:line="360" w:lineRule="auto"/>
        <w:ind w:firstLine="684" w:firstLineChars="200"/>
        <w:rPr>
          <w:rFonts w:ascii="仿宋_GB2312" w:eastAsia="仿宋_GB2312"/>
          <w:snapToGrid w:val="0"/>
          <w:spacing w:val="11"/>
          <w:sz w:val="32"/>
          <w:szCs w:val="32"/>
        </w:rPr>
      </w:pPr>
      <w:r>
        <w:rPr>
          <w:rFonts w:hint="eastAsia" w:ascii="仿宋_GB2312" w:eastAsia="仿宋_GB2312"/>
          <w:snapToGrid w:val="0"/>
          <w:spacing w:val="11"/>
          <w:sz w:val="32"/>
          <w:szCs w:val="32"/>
        </w:rPr>
        <w:t>省级新农村示范片的遴选分三个步骤：第一步，各有关市党委农办要会同财政局、住房城乡建设、规划主管部门共同制定遴选方案，采取专家评审方式确定建设单位。对不需竞争遴选的地市，要组织专家对县（市）纳入示范片的选点、规划、特色和实施方案的可行性、可操作性、乡村特点风貌情况进行审核、审定、确保高标准、高水平建设，达到预期目标，专家成员要求不少于7名，由与新农村建设联系密切的相关领域专业人员组成，遴选过程确保体现公平公正公开，遴选结果经得住省的巡视、审计。第二步，遴选结果经各地级市省级新农村示范片建设领导小组审核后，在市政府网站进行公示，无异议并报市委、市政府审定后，于规定时间以地级市人民政府名义将遴选情况报告及有关材料报省委农办、省财政厅备案。第三步，备案审核通过后，由省委农办、省财政厅与省级新农村示范片所在市、县（市）人民政府签订《广东省省级新农村连片示范建设工程责任书》。省级财政将给予每个省级新农村示范片1亿元专项补助资金，要求市、县两级要切实履行主体职责，及时足额将资金投入用于新农村示范片建设。有关市县可利用省级扶持资金、当地财政资金和整合涉农资金用于引导资金，建立激励奖补机制，撬动金融部门和社会资源积极投入农村建设，改善农村人居环境和促进农村发展及农民增收。</w:t>
      </w:r>
      <w:r>
        <w:rPr>
          <w:rFonts w:hint="eastAsia" w:ascii="仿宋_GB2312" w:hAnsi="仿宋_GB2312" w:eastAsia="仿宋_GB2312" w:cs="仿宋_GB2312"/>
          <w:sz w:val="32"/>
          <w:szCs w:val="32"/>
        </w:rPr>
        <w:t>2018年</w:t>
      </w:r>
      <w:r>
        <w:rPr>
          <w:rFonts w:hint="eastAsia" w:ascii="仿宋_GB2312" w:eastAsia="仿宋_GB2312"/>
          <w:sz w:val="32"/>
          <w:szCs w:val="32"/>
        </w:rPr>
        <w:t>新农村示范片</w:t>
      </w:r>
      <w:r>
        <w:rPr>
          <w:rFonts w:hint="eastAsia" w:ascii="仿宋_GB2312" w:eastAsia="仿宋_GB2312"/>
          <w:snapToGrid w:val="0"/>
          <w:spacing w:val="11"/>
          <w:sz w:val="32"/>
          <w:szCs w:val="32"/>
        </w:rPr>
        <w:t>遴选结果是：</w:t>
      </w:r>
      <w:r>
        <w:rPr>
          <w:rFonts w:hint="eastAsia" w:ascii="仿宋_GB2312" w:eastAsia="仿宋_GB2312"/>
          <w:sz w:val="32"/>
          <w:szCs w:val="32"/>
        </w:rPr>
        <w:t>新丰县、翁源县、平远县、丰顺县、连平县、阳春县、遂溪县、雷州市、徐闻县、封开县、惠来县、连山壮族瑶族自治县示范片。</w:t>
      </w:r>
    </w:p>
    <w:p>
      <w:pPr>
        <w:spacing w:line="360" w:lineRule="auto"/>
        <w:ind w:firstLine="640" w:firstLineChars="200"/>
        <w:rPr>
          <w:rFonts w:ascii="仿宋_GB2312" w:eastAsia="仿宋_GB2312"/>
          <w:sz w:val="32"/>
          <w:szCs w:val="32"/>
        </w:rPr>
      </w:pPr>
      <w:r>
        <w:rPr>
          <w:rFonts w:hint="eastAsia" w:ascii="仿宋_GB2312" w:hAnsi="仿宋_GB2312" w:eastAsia="仿宋_GB2312" w:cs="仿宋_GB2312"/>
          <w:sz w:val="32"/>
          <w:szCs w:val="32"/>
        </w:rPr>
        <w:t>2018年4月，《关于下达2018年乡村振兴战略专项资金（推进美丽宜居乡村建设）的通知》（粤财农〔2018〕48号）</w:t>
      </w:r>
      <w:r>
        <w:rPr>
          <w:rFonts w:ascii="仿宋_GB2312" w:eastAsia="仿宋_GB2312"/>
          <w:sz w:val="32"/>
          <w:szCs w:val="32"/>
        </w:rPr>
        <w:t>安排</w:t>
      </w: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个新农村示范片各1亿元省级专项补助资金，共计1</w:t>
      </w:r>
      <w:r>
        <w:rPr>
          <w:rFonts w:ascii="仿宋_GB2312" w:eastAsia="仿宋_GB2312"/>
          <w:sz w:val="32"/>
          <w:szCs w:val="32"/>
        </w:rPr>
        <w:t>2</w:t>
      </w:r>
      <w:r>
        <w:rPr>
          <w:rFonts w:hint="eastAsia" w:ascii="仿宋_GB2312" w:eastAsia="仿宋_GB2312"/>
          <w:sz w:val="32"/>
          <w:szCs w:val="32"/>
        </w:rPr>
        <w:t>亿元。</w:t>
      </w:r>
    </w:p>
    <w:p>
      <w:pPr>
        <w:spacing w:line="360" w:lineRule="auto"/>
        <w:ind w:firstLine="640" w:firstLineChars="200"/>
        <w:rPr>
          <w:rFonts w:ascii="仿宋_GB2312" w:hAnsi="仿宋_GB2312" w:eastAsia="仿宋_GB2312" w:cs="仿宋_GB2312"/>
          <w:sz w:val="32"/>
          <w:szCs w:val="32"/>
        </w:rPr>
      </w:pPr>
      <w:r>
        <w:rPr>
          <w:rFonts w:hint="eastAsia" w:ascii="仿宋_GB2312" w:eastAsia="仿宋_GB2312"/>
          <w:sz w:val="32"/>
          <w:szCs w:val="32"/>
        </w:rPr>
        <w:t>2018 年乡村振兴战略专项资金（推进美丽宜居乡村建设）项目原主管部门为中共</w:t>
      </w:r>
      <w:r>
        <w:rPr>
          <w:rFonts w:hint="eastAsia" w:ascii="仿宋_GB2312" w:eastAsia="仿宋_GB2312"/>
          <w:bCs/>
          <w:sz w:val="32"/>
          <w:szCs w:val="32"/>
        </w:rPr>
        <w:t>广东省委农村工作办公室，2</w:t>
      </w:r>
      <w:r>
        <w:rPr>
          <w:rFonts w:ascii="仿宋_GB2312" w:eastAsia="仿宋_GB2312"/>
          <w:bCs/>
          <w:sz w:val="32"/>
          <w:szCs w:val="32"/>
        </w:rPr>
        <w:t>018</w:t>
      </w:r>
      <w:r>
        <w:rPr>
          <w:rFonts w:hint="eastAsia" w:ascii="仿宋_GB2312" w:eastAsia="仿宋_GB2312"/>
          <w:bCs/>
          <w:sz w:val="32"/>
          <w:szCs w:val="32"/>
        </w:rPr>
        <w:t>年12月机构改革后该项目</w:t>
      </w:r>
      <w:r>
        <w:rPr>
          <w:rFonts w:hint="eastAsia" w:ascii="仿宋_GB2312" w:eastAsia="仿宋_GB2312"/>
          <w:sz w:val="32"/>
          <w:szCs w:val="32"/>
        </w:rPr>
        <w:t>主管部门为</w:t>
      </w:r>
      <w:r>
        <w:rPr>
          <w:rFonts w:hint="eastAsia" w:ascii="仿宋_GB2312" w:eastAsia="仿宋_GB2312"/>
          <w:bCs/>
          <w:sz w:val="32"/>
          <w:szCs w:val="32"/>
        </w:rPr>
        <w:t>广东省农业农村厅</w:t>
      </w:r>
      <w:r>
        <w:rPr>
          <w:rFonts w:hint="eastAsia" w:ascii="仿宋_GB2312" w:hAnsi="仿宋_GB2312" w:eastAsia="仿宋_GB2312" w:cs="仿宋_GB2312"/>
          <w:sz w:val="32"/>
          <w:szCs w:val="32"/>
        </w:rPr>
        <w:t>。</w:t>
      </w:r>
    </w:p>
    <w:p>
      <w:pPr>
        <w:numPr>
          <w:ilvl w:val="0"/>
          <w:numId w:val="1"/>
        </w:numPr>
        <w:snapToGrid w:val="0"/>
        <w:spacing w:line="360" w:lineRule="auto"/>
        <w:ind w:left="630"/>
        <w:outlineLvl w:val="1"/>
        <w:rPr>
          <w:rFonts w:ascii="楷体_GB2312" w:hAnsi="仿宋_GB2312" w:eastAsia="楷体_GB2312" w:cs="仿宋_GB2312"/>
          <w:b/>
          <w:bCs/>
          <w:snapToGrid w:val="0"/>
          <w:spacing w:val="11"/>
          <w:sz w:val="32"/>
          <w:szCs w:val="32"/>
        </w:rPr>
      </w:pPr>
      <w:bookmarkStart w:id="7" w:name="_Toc14533194"/>
      <w:bookmarkStart w:id="8" w:name="_Toc8246"/>
      <w:bookmarkStart w:id="9" w:name="_Toc14535864"/>
      <w:bookmarkStart w:id="10" w:name="_Toc1129"/>
      <w:r>
        <w:rPr>
          <w:rFonts w:hint="eastAsia" w:ascii="楷体_GB2312" w:hAnsi="仿宋_GB2312" w:eastAsia="楷体_GB2312" w:cs="仿宋_GB2312"/>
          <w:b/>
          <w:bCs/>
          <w:snapToGrid w:val="0"/>
          <w:spacing w:val="11"/>
          <w:sz w:val="32"/>
          <w:szCs w:val="32"/>
        </w:rPr>
        <w:t>项目实施主要内容和实施程序</w:t>
      </w:r>
      <w:bookmarkEnd w:id="7"/>
      <w:bookmarkEnd w:id="8"/>
      <w:bookmarkEnd w:id="9"/>
      <w:bookmarkEnd w:id="10"/>
      <w:bookmarkStart w:id="11" w:name="_Toc21963"/>
      <w:bookmarkStart w:id="12" w:name="_Toc20680"/>
    </w:p>
    <w:p>
      <w:pPr>
        <w:spacing w:line="360" w:lineRule="auto"/>
        <w:ind w:firstLine="640" w:firstLineChars="200"/>
        <w:rPr>
          <w:rFonts w:ascii="仿宋_GB2312" w:eastAsia="仿宋_GB2312"/>
          <w:sz w:val="32"/>
          <w:szCs w:val="32"/>
        </w:rPr>
      </w:pPr>
      <w:r>
        <w:rPr>
          <w:rFonts w:hint="eastAsia" w:ascii="仿宋_GB2312" w:hAnsi="仿宋_GB2312" w:eastAsia="仿宋_GB2312" w:cs="仿宋_GB2312"/>
          <w:sz w:val="32"/>
          <w:szCs w:val="32"/>
        </w:rPr>
        <w:t>根据《中共广东省委农村工作办公室 广东省财政厅关于实施新一轮省级新农村连片示范建设工程的通知》</w:t>
      </w:r>
      <w:r>
        <w:rPr>
          <w:rFonts w:hint="eastAsia" w:ascii="仿宋_GB2312" w:eastAsia="仿宋_GB2312"/>
          <w:snapToGrid w:val="0"/>
          <w:spacing w:val="11"/>
          <w:sz w:val="32"/>
          <w:szCs w:val="32"/>
        </w:rPr>
        <w:t>（粤委农工办〔201</w:t>
      </w:r>
      <w:r>
        <w:rPr>
          <w:rFonts w:ascii="仿宋_GB2312" w:eastAsia="仿宋_GB2312"/>
          <w:snapToGrid w:val="0"/>
          <w:spacing w:val="11"/>
          <w:sz w:val="32"/>
          <w:szCs w:val="32"/>
        </w:rPr>
        <w:t>7</w:t>
      </w:r>
      <w:r>
        <w:rPr>
          <w:rFonts w:hint="eastAsia" w:ascii="仿宋_GB2312" w:eastAsia="仿宋_GB2312"/>
          <w:snapToGrid w:val="0"/>
          <w:spacing w:val="11"/>
          <w:sz w:val="32"/>
          <w:szCs w:val="32"/>
        </w:rPr>
        <w:t>〕1</w:t>
      </w:r>
      <w:r>
        <w:rPr>
          <w:rFonts w:ascii="仿宋_GB2312" w:eastAsia="仿宋_GB2312"/>
          <w:snapToGrid w:val="0"/>
          <w:spacing w:val="11"/>
          <w:sz w:val="32"/>
          <w:szCs w:val="32"/>
        </w:rPr>
        <w:t>2</w:t>
      </w:r>
      <w:r>
        <w:rPr>
          <w:rFonts w:hint="eastAsia" w:ascii="仿宋_GB2312" w:eastAsia="仿宋_GB2312"/>
          <w:snapToGrid w:val="0"/>
          <w:spacing w:val="11"/>
          <w:sz w:val="32"/>
          <w:szCs w:val="32"/>
        </w:rPr>
        <w:t>号）、</w:t>
      </w:r>
      <w:r>
        <w:rPr>
          <w:rFonts w:hint="eastAsia" w:ascii="仿宋_GB2312" w:eastAsia="仿宋_GB2312"/>
          <w:sz w:val="32"/>
          <w:szCs w:val="32"/>
        </w:rPr>
        <w:t>《中共广东省委农村工作办公室关于启动第五批省级示范连片建设工程的通知》（粤委农工办〔2018〕29号）通知有关地市、</w:t>
      </w:r>
      <w:r>
        <w:rPr>
          <w:rFonts w:ascii="仿宋_GB2312" w:eastAsia="仿宋_GB2312"/>
          <w:snapToGrid w:val="0"/>
          <w:spacing w:val="11"/>
          <w:sz w:val="32"/>
          <w:szCs w:val="32"/>
        </w:rPr>
        <w:t>《</w:t>
      </w:r>
      <w:r>
        <w:rPr>
          <w:rFonts w:hint="eastAsia" w:ascii="仿宋_GB2312" w:eastAsia="仿宋_GB2312"/>
          <w:snapToGrid w:val="0"/>
          <w:spacing w:val="11"/>
          <w:sz w:val="32"/>
          <w:szCs w:val="32"/>
        </w:rPr>
        <w:t>关于</w:t>
      </w:r>
      <w:r>
        <w:rPr>
          <w:rFonts w:ascii="仿宋_GB2312" w:eastAsia="仿宋_GB2312"/>
          <w:snapToGrid w:val="0"/>
          <w:spacing w:val="11"/>
          <w:sz w:val="32"/>
          <w:szCs w:val="32"/>
        </w:rPr>
        <w:t>做好2018年第五批省级新农村连片示范建设工程有关工作的通知》</w:t>
      </w:r>
      <w:r>
        <w:rPr>
          <w:rFonts w:hint="eastAsia" w:ascii="仿宋_GB2312" w:eastAsia="仿宋_GB2312"/>
          <w:snapToGrid w:val="0"/>
          <w:spacing w:val="11"/>
          <w:sz w:val="32"/>
          <w:szCs w:val="32"/>
        </w:rPr>
        <w:t>（粤委农办〔2019〕7号）等文件，</w:t>
      </w:r>
      <w:r>
        <w:rPr>
          <w:rFonts w:hint="eastAsia" w:ascii="仿宋_GB2312" w:eastAsia="仿宋_GB2312"/>
          <w:sz w:val="32"/>
          <w:szCs w:val="32"/>
        </w:rPr>
        <w:t>省级新农村连片示范建设工作的目标任务、建设内容</w:t>
      </w:r>
      <w:r>
        <w:rPr>
          <w:rFonts w:hint="eastAsia" w:ascii="仿宋_GB2312" w:eastAsia="仿宋_GB2312"/>
          <w:snapToGrid w:val="0"/>
          <w:spacing w:val="11"/>
          <w:sz w:val="32"/>
          <w:szCs w:val="32"/>
        </w:rPr>
        <w:t>和实施程序是：</w:t>
      </w:r>
      <w:bookmarkStart w:id="13" w:name="_Toc14533195"/>
      <w:bookmarkStart w:id="14" w:name="_Toc14533547"/>
    </w:p>
    <w:p>
      <w:pPr>
        <w:spacing w:line="360" w:lineRule="auto"/>
        <w:ind w:firstLine="640" w:firstLineChars="200"/>
        <w:rPr>
          <w:rFonts w:ascii="仿宋_GB2312" w:eastAsia="仿宋_GB2312"/>
          <w:sz w:val="32"/>
          <w:szCs w:val="32"/>
        </w:rPr>
      </w:pPr>
      <w:r>
        <w:rPr>
          <w:rFonts w:hint="eastAsia" w:ascii="仿宋_GB2312" w:hAnsi="仿宋_GB2312" w:eastAsia="仿宋_GB2312" w:cs="仿宋_GB2312"/>
          <w:b/>
          <w:bCs/>
          <w:sz w:val="32"/>
          <w:szCs w:val="32"/>
        </w:rPr>
        <w:t>1.目标任务。</w:t>
      </w:r>
      <w:r>
        <w:rPr>
          <w:rFonts w:hint="eastAsia" w:ascii="仿宋_GB2312" w:hAnsi="仿宋_GB2312" w:eastAsia="仿宋_GB2312" w:cs="仿宋_GB2312"/>
          <w:snapToGrid w:val="0"/>
          <w:spacing w:val="11"/>
          <w:sz w:val="32"/>
          <w:szCs w:val="32"/>
        </w:rPr>
        <w:t>以建设</w:t>
      </w:r>
      <w:r>
        <w:rPr>
          <w:rFonts w:ascii="仿宋_GB2312" w:hAnsi="仿宋_GB2312" w:eastAsia="仿宋_GB2312" w:cs="仿宋_GB2312"/>
          <w:snapToGrid w:val="0"/>
          <w:spacing w:val="11"/>
          <w:sz w:val="32"/>
          <w:szCs w:val="32"/>
        </w:rPr>
        <w:t>宜居美丽乡村</w:t>
      </w:r>
      <w:r>
        <w:rPr>
          <w:rFonts w:hint="eastAsia" w:ascii="仿宋_GB2312" w:hAnsi="仿宋_GB2312" w:eastAsia="仿宋_GB2312" w:cs="仿宋_GB2312"/>
          <w:snapToGrid w:val="0"/>
          <w:spacing w:val="11"/>
          <w:sz w:val="32"/>
          <w:szCs w:val="32"/>
        </w:rPr>
        <w:t>为目标，</w:t>
      </w:r>
      <w:r>
        <w:rPr>
          <w:rFonts w:hint="eastAsia" w:ascii="仿宋_GB2312" w:hAnsi="仿宋_GB2312" w:eastAsia="仿宋_GB2312" w:cs="仿宋_GB2312"/>
          <w:sz w:val="32"/>
          <w:szCs w:val="32"/>
        </w:rPr>
        <w:t>全面推进省级新农村示范片人居环境综合整治，改善生产生活生态条件，挖掘自然资源和人文特色优势，大力推动农业休闲观光、规模化种植养殖、家庭手工业、乡村旅游业等“一村一品”特色产业发展，带动农民特别是贫困户稳定增收，率先实现省级新农村示范片贫困村和贫困人口脱贫，发挥省级新农村示范片的先行先试和示范带动作用。</w:t>
      </w:r>
      <w:bookmarkEnd w:id="13"/>
      <w:bookmarkEnd w:id="14"/>
      <w:bookmarkStart w:id="15" w:name="_Toc14533196"/>
      <w:bookmarkStart w:id="16" w:name="_Toc14533548"/>
    </w:p>
    <w:p>
      <w:pPr>
        <w:spacing w:line="360" w:lineRule="auto"/>
        <w:ind w:firstLine="640" w:firstLineChars="200"/>
        <w:rPr>
          <w:rFonts w:ascii="仿宋_GB2312" w:eastAsia="仿宋_GB2312"/>
          <w:sz w:val="32"/>
          <w:szCs w:val="32"/>
        </w:rPr>
      </w:pPr>
      <w:r>
        <w:rPr>
          <w:rFonts w:hint="eastAsia" w:ascii="仿宋_GB2312" w:eastAsia="仿宋_GB2312"/>
          <w:b/>
          <w:bCs/>
          <w:sz w:val="32"/>
          <w:szCs w:val="32"/>
        </w:rPr>
        <w:t>2.建设内容。</w:t>
      </w:r>
      <w:r>
        <w:rPr>
          <w:rFonts w:hint="eastAsia" w:ascii="仿宋_GB2312" w:eastAsia="仿宋_GB2312"/>
          <w:sz w:val="32"/>
          <w:szCs w:val="32"/>
        </w:rPr>
        <w:t>结合推进美丽乡村、名镇名村、幸福村居、宜居村庄、生态文明村等各种建设活动，以科学规划为引领，以村容村貌和环境综合整治为重点，以农民持续增收、农村全面小康为目标，整合资源、集中力量，连点、连线、成片推进连片示范工程，辐射带动各地提升新农村建设水平。</w:t>
      </w:r>
      <w:r>
        <w:rPr>
          <w:rFonts w:hint="eastAsia" w:ascii="仿宋_GB2312" w:eastAsia="仿宋_GB2312"/>
          <w:b/>
          <w:bCs/>
          <w:sz w:val="32"/>
          <w:szCs w:val="32"/>
        </w:rPr>
        <w:t>一是</w:t>
      </w:r>
      <w:r>
        <w:rPr>
          <w:rFonts w:hint="eastAsia" w:ascii="仿宋_GB2312" w:eastAsia="仿宋_GB2312"/>
          <w:sz w:val="32"/>
          <w:szCs w:val="32"/>
        </w:rPr>
        <w:t>全面启动村庄环境综合整治活动。各地以自然村为基本单元，组织发动村民开展整治村庄环境脏乱差行动，切实改善示范片村庄生态环境；</w:t>
      </w:r>
      <w:r>
        <w:rPr>
          <w:rFonts w:hint="eastAsia" w:ascii="仿宋_GB2312" w:eastAsia="仿宋_GB2312"/>
          <w:b/>
          <w:bCs/>
          <w:sz w:val="32"/>
          <w:szCs w:val="32"/>
        </w:rPr>
        <w:t>二是</w:t>
      </w:r>
      <w:r>
        <w:rPr>
          <w:rFonts w:hint="eastAsia" w:ascii="仿宋_GB2312" w:eastAsia="仿宋_GB2312"/>
          <w:sz w:val="32"/>
          <w:szCs w:val="32"/>
        </w:rPr>
        <w:t>抓好示范片村容村貌整治提升建设规划。以自然村为单元，突出实用、简便、宜居、特色的原则，编制村庄整治提升规划，</w:t>
      </w:r>
      <w:r>
        <w:rPr>
          <w:rFonts w:hint="eastAsia" w:ascii="仿宋_GB2312" w:hAnsi="仿宋_GB2312" w:eastAsia="仿宋_GB2312" w:cs="仿宋_GB2312"/>
          <w:sz w:val="32"/>
          <w:szCs w:val="32"/>
        </w:rPr>
        <w:t>强化科学规划引领，各地按照要求编制连片示范工程总体规划和实施方案，并与当地土地利用总体规划、城乡规划衔接，</w:t>
      </w:r>
      <w:r>
        <w:rPr>
          <w:rFonts w:hint="eastAsia" w:ascii="仿宋_GB2312" w:eastAsia="仿宋_GB2312"/>
          <w:sz w:val="32"/>
          <w:szCs w:val="32"/>
        </w:rPr>
        <w:t>为带动乡村旅游发展、促进农民增收奠定基础；</w:t>
      </w:r>
      <w:r>
        <w:rPr>
          <w:rFonts w:hint="eastAsia" w:ascii="仿宋_GB2312" w:eastAsia="仿宋_GB2312"/>
          <w:b/>
          <w:bCs/>
          <w:sz w:val="32"/>
          <w:szCs w:val="32"/>
        </w:rPr>
        <w:t>三是</w:t>
      </w:r>
      <w:r>
        <w:rPr>
          <w:rFonts w:hint="eastAsia" w:ascii="仿宋_GB2312" w:eastAsia="仿宋_GB2312"/>
          <w:sz w:val="32"/>
          <w:szCs w:val="32"/>
        </w:rPr>
        <w:t>优先解决民众最迫切需要的民生项目，特别要优先解决村内道路硬化、饮水安全、垃圾和污水处理、贫困户安居和村容村貌、空心村整治等。第一，</w:t>
      </w:r>
      <w:r>
        <w:rPr>
          <w:rFonts w:hint="eastAsia" w:ascii="仿宋_GB2312" w:hAnsi="仿宋_GB2312" w:eastAsia="仿宋_GB2312" w:cs="仿宋_GB2312"/>
          <w:sz w:val="32"/>
          <w:szCs w:val="32"/>
        </w:rPr>
        <w:t>强化基础设施建设，以改善农村生产生活条件作为示范工程建设的重要内容，着重改善农村水电路气房条件，实现村（巷）道硬化率100%。第二，强化环境卫生整治，连片示范工程重点解决农村垃圾收集、污水治理、禽畜养殖污染、卫生改厕、河沟清理等问题，建设垃圾保洁清运制度和保洁队伍，完善垃圾运营体系。推进垃圾分类和废物回收，推进雨污分流，完善管网收集污水等。第三，强化农村旧房整治，按照一户一宅政策，在尊重群众意愿基础上，加大对农村旧房改造和整治力度，盘活农村宅基地资源。第四，强化岭南特色和乡村风貌，示范片建设要围绕山区、丘陵、平原、城郊、水乡、海岛等不同地域特色文化和风貌进行建设。第五，强化农村公共服务，建立综合文化活动室、乡村公园、文体广场和村级卫生站。建立健全统一的村级公共服务平台，为村民提供“三资”管理、涉农补贴、农产品供销等相关服务。</w:t>
      </w:r>
      <w:bookmarkEnd w:id="15"/>
      <w:bookmarkEnd w:id="16"/>
      <w:bookmarkStart w:id="17" w:name="_Toc14533549"/>
      <w:bookmarkStart w:id="18" w:name="_Toc14533197"/>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3.实施程序。</w:t>
      </w:r>
      <w:r>
        <w:rPr>
          <w:rFonts w:hint="eastAsia" w:ascii="仿宋_GB2312" w:hAnsi="仿宋_GB2312" w:eastAsia="仿宋_GB2312" w:cs="仿宋_GB2312"/>
          <w:sz w:val="32"/>
          <w:szCs w:val="32"/>
        </w:rPr>
        <w:t>主要分为四个阶段。</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遴选规划阶段，主要是动员部署，调研选片选点、征询民意、规划设计、竞争遴选和人员培训等前期工作。</w:t>
      </w:r>
      <w:r>
        <w:rPr>
          <w:rFonts w:hint="eastAsia" w:ascii="仿宋_GB2312" w:eastAsia="仿宋_GB2312"/>
          <w:snapToGrid w:val="0"/>
          <w:spacing w:val="11"/>
          <w:sz w:val="32"/>
          <w:szCs w:val="32"/>
        </w:rPr>
        <w:t>各有关市党委农办会同财政局、住房城乡建设、规划主管部门组织</w:t>
      </w:r>
      <w:r>
        <w:rPr>
          <w:rFonts w:hint="eastAsia" w:ascii="仿宋_GB2312" w:hAnsi="仿宋_GB2312" w:eastAsia="仿宋_GB2312" w:cs="仿宋_GB2312"/>
          <w:sz w:val="32"/>
          <w:szCs w:val="32"/>
        </w:rPr>
        <w:t>遴选，</w:t>
      </w:r>
      <w:r>
        <w:rPr>
          <w:rFonts w:hint="eastAsia" w:ascii="仿宋_GB2312" w:eastAsia="仿宋_GB2312"/>
          <w:snapToGrid w:val="0"/>
          <w:spacing w:val="11"/>
          <w:sz w:val="32"/>
          <w:szCs w:val="32"/>
        </w:rPr>
        <w:t>遴选结果经各地省级新农村示范片建设领导小组审核后，在市政府网进行公示，同时无异议并报市委、市政府审定后，于规定时间以地级市人民政府名义将遴选情况报告及有关材料报省委农办、省财政厅备案。备案审核通过后，由省委农办、省财政厅与省级新农村示范片所在市、县（市）人民政府签订《广东省省级新农村连片示范建设工程责任书》。</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组织实施阶段，</w:t>
      </w:r>
      <w:r>
        <w:rPr>
          <w:rFonts w:hint="eastAsia" w:ascii="仿宋_GB2312" w:eastAsia="仿宋_GB2312"/>
          <w:snapToGrid w:val="0"/>
          <w:spacing w:val="11"/>
          <w:sz w:val="32"/>
          <w:szCs w:val="32"/>
        </w:rPr>
        <w:t>省级财政给予每个省级新农村示范片1亿元专项补助资金，有关市县</w:t>
      </w:r>
      <w:r>
        <w:rPr>
          <w:rFonts w:hint="eastAsia" w:ascii="仿宋_GB2312" w:hAnsi="仿宋_GB2312" w:eastAsia="仿宋_GB2312" w:cs="仿宋_GB2312"/>
          <w:sz w:val="32"/>
          <w:szCs w:val="32"/>
        </w:rPr>
        <w:t>主要是组织落实连片示范工程总体规划，包括深度规划设计、施工设计、建设项目立项、招投标、组织实施、确保质量和进度等。</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绩效评价阶段，主要是每年组织督查检查、绩效评价。对示范片建设资金的使用效果、建设成效情况进行考核检查、综合评价，形成绩效报告报省委省政府。</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总结验收阶段，在检查考核、绩效评价基础上进行系统总结，逐片验收。计划每年下半年（秋季时间）召开一次现场会，总结表彰先进、通报进展情况，部署下一步工作。</w:t>
      </w:r>
      <w:bookmarkEnd w:id="17"/>
      <w:bookmarkEnd w:id="18"/>
      <w:bookmarkStart w:id="19" w:name="_Toc14535865"/>
      <w:bookmarkStart w:id="20" w:name="_Toc14533198"/>
    </w:p>
    <w:p>
      <w:pPr>
        <w:spacing w:line="360" w:lineRule="auto"/>
        <w:ind w:firstLine="684" w:firstLineChars="200"/>
        <w:rPr>
          <w:rFonts w:ascii="楷体_GB2312" w:hAnsi="仿宋_GB2312" w:eastAsia="楷体_GB2312" w:cs="仿宋_GB2312"/>
          <w:b/>
          <w:bCs/>
          <w:snapToGrid w:val="0"/>
          <w:spacing w:val="11"/>
          <w:sz w:val="32"/>
          <w:szCs w:val="32"/>
        </w:rPr>
      </w:pPr>
      <w:r>
        <w:rPr>
          <w:rFonts w:hint="eastAsia" w:ascii="楷体_GB2312" w:hAnsi="仿宋_GB2312" w:eastAsia="楷体_GB2312" w:cs="仿宋_GB2312"/>
          <w:b/>
          <w:bCs/>
          <w:snapToGrid w:val="0"/>
          <w:spacing w:val="11"/>
          <w:sz w:val="32"/>
          <w:szCs w:val="32"/>
        </w:rPr>
        <w:t>（三）项目自评等级和评价指标分析</w:t>
      </w:r>
    </w:p>
    <w:p>
      <w:pPr>
        <w:widowControl/>
        <w:spacing w:line="360" w:lineRule="auto"/>
        <w:ind w:firstLine="640" w:firstLineChars="200"/>
        <w:jc w:val="left"/>
        <w:textAlignment w:val="center"/>
        <w:rPr>
          <w:rFonts w:ascii="仿宋_GB2312" w:eastAsia="仿宋_GB2312"/>
          <w:sz w:val="32"/>
          <w:szCs w:val="32"/>
        </w:rPr>
      </w:pPr>
      <w:r>
        <w:rPr>
          <w:rFonts w:hint="eastAsia" w:ascii="仿宋_GB2312" w:eastAsia="仿宋_GB2312"/>
          <w:sz w:val="32"/>
          <w:szCs w:val="32"/>
        </w:rPr>
        <w:t>综合项目实施情况和结果，依据既定的绩效评价指标体系和评分标准，2018年乡村振兴战略专项资金（推进美丽宜居乡村建设）绩效自评分数为</w:t>
      </w:r>
      <w:r>
        <w:rPr>
          <w:rFonts w:ascii="仿宋_GB2312" w:eastAsia="仿宋_GB2312"/>
          <w:b/>
          <w:bCs/>
          <w:sz w:val="32"/>
          <w:szCs w:val="32"/>
        </w:rPr>
        <w:t>91.10</w:t>
      </w:r>
      <w:r>
        <w:rPr>
          <w:rFonts w:hint="eastAsia" w:ascii="仿宋_GB2312" w:eastAsia="仿宋_GB2312"/>
          <w:sz w:val="32"/>
          <w:szCs w:val="32"/>
        </w:rPr>
        <w:t>分（详见表1），绩效等级为</w:t>
      </w:r>
      <w:r>
        <w:rPr>
          <w:rFonts w:hint="eastAsia" w:ascii="仿宋_GB2312" w:eastAsia="仿宋_GB2312"/>
          <w:b/>
          <w:sz w:val="32"/>
          <w:szCs w:val="32"/>
        </w:rPr>
        <w:t>“优”</w:t>
      </w:r>
      <w:r>
        <w:rPr>
          <w:rFonts w:hint="eastAsia" w:ascii="仿宋_GB2312" w:eastAsia="仿宋_GB2312"/>
          <w:sz w:val="32"/>
          <w:szCs w:val="32"/>
        </w:rPr>
        <w:t>。从22个四级指标的评价得分情况看（详见图1），项目资金在论证决策、目标设置的合理性、制度完整性、计划安排合理性、资金到位率、资金到位及时性、资金分配合理性、程序规范性、监管有效性、预算控制、成本节约、社会效益、可持续发展、服务对象满意度14个指标上取得了较为良好的成绩。</w:t>
      </w:r>
    </w:p>
    <w:p>
      <w:pPr>
        <w:widowControl/>
        <w:spacing w:line="360" w:lineRule="auto"/>
        <w:ind w:firstLine="640" w:firstLineChars="200"/>
        <w:jc w:val="left"/>
        <w:textAlignment w:val="center"/>
        <w:rPr>
          <w:rFonts w:ascii="仿宋_GB2312" w:eastAsia="仿宋_GB2312"/>
          <w:sz w:val="32"/>
          <w:szCs w:val="32"/>
        </w:rPr>
        <w:sectPr>
          <w:footerReference r:id="rId3" w:type="default"/>
          <w:pgSz w:w="11906" w:h="16838"/>
          <w:pgMar w:top="2041" w:right="1418" w:bottom="1418" w:left="1531" w:header="851" w:footer="992" w:gutter="0"/>
          <w:pgNumType w:fmt="numberInDash" w:start="1"/>
          <w:cols w:space="425" w:num="1"/>
          <w:docGrid w:type="linesAndChars" w:linePitch="312" w:charSpace="0"/>
        </w:sectPr>
      </w:pPr>
    </w:p>
    <w:tbl>
      <w:tblPr>
        <w:tblStyle w:val="22"/>
        <w:tblW w:w="8805" w:type="dxa"/>
        <w:jc w:val="center"/>
        <w:tblInd w:w="0" w:type="dxa"/>
        <w:tblLayout w:type="fixed"/>
        <w:tblCellMar>
          <w:top w:w="0" w:type="dxa"/>
          <w:left w:w="0" w:type="dxa"/>
          <w:bottom w:w="0" w:type="dxa"/>
          <w:right w:w="0" w:type="dxa"/>
        </w:tblCellMar>
      </w:tblPr>
      <w:tblGrid>
        <w:gridCol w:w="760"/>
        <w:gridCol w:w="760"/>
        <w:gridCol w:w="980"/>
        <w:gridCol w:w="760"/>
        <w:gridCol w:w="1300"/>
        <w:gridCol w:w="760"/>
        <w:gridCol w:w="1740"/>
        <w:gridCol w:w="760"/>
        <w:gridCol w:w="713"/>
        <w:gridCol w:w="272"/>
      </w:tblGrid>
      <w:tr>
        <w:tblPrEx>
          <w:tblLayout w:type="fixed"/>
          <w:tblCellMar>
            <w:top w:w="0" w:type="dxa"/>
            <w:left w:w="0" w:type="dxa"/>
            <w:bottom w:w="0" w:type="dxa"/>
            <w:right w:w="0" w:type="dxa"/>
          </w:tblCellMar>
        </w:tblPrEx>
        <w:trPr>
          <w:gridAfter w:val="1"/>
          <w:wAfter w:w="272" w:type="dxa"/>
          <w:trHeight w:val="560" w:hRule="atLeast"/>
          <w:jc w:val="center"/>
        </w:trPr>
        <w:tc>
          <w:tcPr>
            <w:tcW w:w="8533" w:type="dxa"/>
            <w:gridSpan w:val="9"/>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黑体" w:hAnsi="宋体" w:eastAsia="黑体" w:cs="黑体"/>
                <w:kern w:val="0"/>
                <w:sz w:val="28"/>
                <w:szCs w:val="28"/>
                <w:lang w:bidi="ar"/>
              </w:rPr>
            </w:pPr>
            <w:r>
              <w:rPr>
                <w:rFonts w:hint="eastAsia" w:ascii="黑体" w:hAnsi="宋体" w:eastAsia="黑体" w:cs="黑体"/>
                <w:kern w:val="0"/>
                <w:sz w:val="28"/>
                <w:szCs w:val="28"/>
                <w:lang w:bidi="ar"/>
              </w:rPr>
              <w:t>表1 2018年乡村振兴战略专项资金（推进美丽宜居乡村建设）</w:t>
            </w:r>
          </w:p>
          <w:p>
            <w:pPr>
              <w:widowControl/>
              <w:jc w:val="center"/>
              <w:textAlignment w:val="center"/>
              <w:rPr>
                <w:rFonts w:ascii="黑体" w:hAnsi="宋体" w:eastAsia="黑体" w:cs="黑体"/>
                <w:kern w:val="0"/>
                <w:sz w:val="28"/>
                <w:szCs w:val="28"/>
                <w:lang w:bidi="ar"/>
              </w:rPr>
            </w:pPr>
            <w:r>
              <w:rPr>
                <w:rFonts w:hint="eastAsia" w:ascii="黑体" w:hAnsi="宋体" w:eastAsia="黑体" w:cs="黑体"/>
                <w:kern w:val="0"/>
                <w:sz w:val="28"/>
                <w:szCs w:val="28"/>
                <w:lang w:bidi="ar"/>
              </w:rPr>
              <w:t>绩效评价评分表</w:t>
            </w:r>
          </w:p>
        </w:tc>
      </w:tr>
      <w:tr>
        <w:tblPrEx>
          <w:tblLayout w:type="fixed"/>
          <w:tblCellMar>
            <w:top w:w="0" w:type="dxa"/>
            <w:left w:w="108" w:type="dxa"/>
            <w:bottom w:w="0" w:type="dxa"/>
            <w:right w:w="108" w:type="dxa"/>
          </w:tblCellMar>
        </w:tblPrEx>
        <w:trPr>
          <w:trHeight w:val="400" w:hRule="atLeast"/>
        </w:trPr>
        <w:tc>
          <w:tcPr>
            <w:tcW w:w="782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b/>
                <w:bCs/>
                <w:kern w:val="0"/>
                <w:sz w:val="24"/>
                <w:szCs w:val="24"/>
                <w:lang w:bidi="ar"/>
              </w:rPr>
            </w:pPr>
            <w:r>
              <w:rPr>
                <w:rFonts w:hint="eastAsia" w:ascii="仿宋_GB2312" w:hAnsi="宋体" w:eastAsia="仿宋_GB2312" w:cs="仿宋_GB2312"/>
                <w:b/>
                <w:bCs/>
                <w:kern w:val="0"/>
                <w:sz w:val="24"/>
                <w:szCs w:val="24"/>
                <w:lang w:bidi="ar"/>
              </w:rPr>
              <w:t>评价指标</w:t>
            </w:r>
          </w:p>
        </w:tc>
        <w:tc>
          <w:tcPr>
            <w:tcW w:w="98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b/>
                <w:bCs/>
                <w:kern w:val="0"/>
                <w:sz w:val="24"/>
                <w:szCs w:val="24"/>
                <w:lang w:bidi="ar"/>
              </w:rPr>
            </w:pPr>
            <w:r>
              <w:rPr>
                <w:rFonts w:hint="eastAsia" w:ascii="仿宋_GB2312" w:hAnsi="宋体" w:eastAsia="仿宋_GB2312" w:cs="仿宋_GB2312"/>
                <w:b/>
                <w:bCs/>
                <w:kern w:val="0"/>
                <w:sz w:val="24"/>
                <w:szCs w:val="24"/>
                <w:lang w:bidi="ar"/>
              </w:rPr>
              <w:br w:type="textWrapping"/>
            </w:r>
            <w:r>
              <w:rPr>
                <w:rFonts w:hint="eastAsia" w:ascii="仿宋_GB2312" w:hAnsi="宋体" w:eastAsia="仿宋_GB2312" w:cs="仿宋_GB2312"/>
                <w:b/>
                <w:bCs/>
                <w:kern w:val="0"/>
                <w:sz w:val="24"/>
                <w:szCs w:val="24"/>
                <w:lang w:bidi="ar"/>
              </w:rPr>
              <w:t xml:space="preserve">自评  </w:t>
            </w:r>
            <w:r>
              <w:rPr>
                <w:rFonts w:hint="eastAsia" w:ascii="仿宋_GB2312" w:hAnsi="宋体" w:eastAsia="仿宋_GB2312" w:cs="仿宋_GB2312"/>
                <w:b/>
                <w:bCs/>
                <w:kern w:val="0"/>
                <w:sz w:val="24"/>
                <w:szCs w:val="24"/>
                <w:lang w:bidi="ar"/>
              </w:rPr>
              <w:br w:type="textWrapping"/>
            </w:r>
            <w:r>
              <w:rPr>
                <w:rFonts w:hint="eastAsia" w:ascii="仿宋_GB2312" w:hAnsi="宋体" w:eastAsia="仿宋_GB2312" w:cs="仿宋_GB2312"/>
                <w:b/>
                <w:bCs/>
                <w:kern w:val="0"/>
                <w:sz w:val="24"/>
                <w:szCs w:val="24"/>
                <w:lang w:bidi="ar"/>
              </w:rPr>
              <w:t>分数</w:t>
            </w:r>
          </w:p>
        </w:tc>
      </w:tr>
      <w:tr>
        <w:tblPrEx>
          <w:tblLayout w:type="fixed"/>
          <w:tblCellMar>
            <w:top w:w="0" w:type="dxa"/>
            <w:left w:w="108" w:type="dxa"/>
            <w:bottom w:w="0" w:type="dxa"/>
            <w:right w:w="108" w:type="dxa"/>
          </w:tblCellMar>
        </w:tblPrEx>
        <w:trPr>
          <w:trHeight w:val="400" w:hRule="atLeast"/>
        </w:trPr>
        <w:tc>
          <w:tcPr>
            <w:tcW w:w="1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b/>
                <w:bCs/>
                <w:kern w:val="0"/>
                <w:sz w:val="24"/>
                <w:szCs w:val="24"/>
                <w:lang w:bidi="ar"/>
              </w:rPr>
            </w:pPr>
            <w:r>
              <w:rPr>
                <w:rFonts w:hint="eastAsia" w:ascii="仿宋_GB2312" w:hAnsi="宋体" w:eastAsia="仿宋_GB2312" w:cs="仿宋_GB2312"/>
                <w:b/>
                <w:bCs/>
                <w:kern w:val="0"/>
                <w:sz w:val="24"/>
                <w:szCs w:val="24"/>
                <w:lang w:bidi="ar"/>
              </w:rPr>
              <w:t>一级指标</w:t>
            </w:r>
          </w:p>
        </w:tc>
        <w:tc>
          <w:tcPr>
            <w:tcW w:w="17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b/>
                <w:bCs/>
                <w:kern w:val="0"/>
                <w:sz w:val="24"/>
                <w:szCs w:val="24"/>
                <w:lang w:bidi="ar"/>
              </w:rPr>
            </w:pPr>
            <w:r>
              <w:rPr>
                <w:rFonts w:hint="eastAsia" w:ascii="仿宋_GB2312" w:hAnsi="宋体" w:eastAsia="仿宋_GB2312" w:cs="仿宋_GB2312"/>
                <w:b/>
                <w:bCs/>
                <w:kern w:val="0"/>
                <w:sz w:val="24"/>
                <w:szCs w:val="24"/>
                <w:lang w:bidi="ar"/>
              </w:rPr>
              <w:t>二级指标</w:t>
            </w:r>
          </w:p>
        </w:tc>
        <w:tc>
          <w:tcPr>
            <w:tcW w:w="20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b/>
                <w:bCs/>
                <w:kern w:val="0"/>
                <w:sz w:val="24"/>
                <w:szCs w:val="24"/>
                <w:lang w:bidi="ar"/>
              </w:rPr>
            </w:pPr>
            <w:r>
              <w:rPr>
                <w:rFonts w:hint="eastAsia" w:ascii="仿宋_GB2312" w:hAnsi="宋体" w:eastAsia="仿宋_GB2312" w:cs="仿宋_GB2312"/>
                <w:b/>
                <w:bCs/>
                <w:kern w:val="0"/>
                <w:sz w:val="24"/>
                <w:szCs w:val="24"/>
                <w:lang w:bidi="ar"/>
              </w:rPr>
              <w:t>三级指标</w:t>
            </w:r>
          </w:p>
        </w:tc>
        <w:tc>
          <w:tcPr>
            <w:tcW w:w="2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b/>
                <w:bCs/>
                <w:kern w:val="0"/>
                <w:sz w:val="24"/>
                <w:szCs w:val="24"/>
                <w:lang w:bidi="ar"/>
              </w:rPr>
            </w:pPr>
            <w:r>
              <w:rPr>
                <w:rFonts w:hint="eastAsia" w:ascii="仿宋_GB2312" w:hAnsi="宋体" w:eastAsia="仿宋_GB2312" w:cs="仿宋_GB2312"/>
                <w:b/>
                <w:bCs/>
                <w:kern w:val="0"/>
                <w:sz w:val="24"/>
                <w:szCs w:val="24"/>
                <w:lang w:bidi="ar"/>
              </w:rPr>
              <w:t>四级指标</w:t>
            </w:r>
          </w:p>
        </w:tc>
        <w:tc>
          <w:tcPr>
            <w:tcW w:w="9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sz w:val="24"/>
                <w:szCs w:val="24"/>
                <w:lang w:bidi="ar"/>
              </w:rPr>
            </w:pPr>
          </w:p>
        </w:tc>
      </w:tr>
      <w:tr>
        <w:tblPrEx>
          <w:tblLayout w:type="fixed"/>
          <w:tblCellMar>
            <w:top w:w="0" w:type="dxa"/>
            <w:left w:w="108" w:type="dxa"/>
            <w:bottom w:w="0" w:type="dxa"/>
            <w:right w:w="108" w:type="dxa"/>
          </w:tblCellMar>
        </w:tblPrEx>
        <w:trPr>
          <w:trHeight w:val="600"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b/>
                <w:bCs/>
                <w:kern w:val="0"/>
                <w:sz w:val="24"/>
                <w:szCs w:val="24"/>
                <w:lang w:bidi="ar"/>
              </w:rPr>
            </w:pPr>
            <w:r>
              <w:rPr>
                <w:rFonts w:hint="eastAsia" w:ascii="仿宋_GB2312" w:hAnsi="宋体" w:eastAsia="仿宋_GB2312" w:cs="仿宋_GB2312"/>
                <w:b/>
                <w:bCs/>
                <w:kern w:val="0"/>
                <w:sz w:val="24"/>
                <w:szCs w:val="24"/>
                <w:lang w:bidi="ar"/>
              </w:rPr>
              <w:t>名称</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b/>
                <w:bCs/>
                <w:kern w:val="0"/>
                <w:sz w:val="24"/>
                <w:szCs w:val="24"/>
                <w:lang w:bidi="ar"/>
              </w:rPr>
            </w:pPr>
            <w:r>
              <w:rPr>
                <w:rFonts w:hint="eastAsia" w:ascii="仿宋_GB2312" w:hAnsi="宋体" w:eastAsia="仿宋_GB2312" w:cs="仿宋_GB2312"/>
                <w:b/>
                <w:bCs/>
                <w:kern w:val="0"/>
                <w:sz w:val="24"/>
                <w:szCs w:val="24"/>
                <w:lang w:bidi="ar"/>
              </w:rPr>
              <w:t>权重(%)</w:t>
            </w: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b/>
                <w:bCs/>
                <w:kern w:val="0"/>
                <w:sz w:val="24"/>
                <w:szCs w:val="24"/>
                <w:lang w:bidi="ar"/>
              </w:rPr>
            </w:pPr>
            <w:r>
              <w:rPr>
                <w:rFonts w:hint="eastAsia" w:ascii="仿宋_GB2312" w:hAnsi="宋体" w:eastAsia="仿宋_GB2312" w:cs="仿宋_GB2312"/>
                <w:b/>
                <w:bCs/>
                <w:kern w:val="0"/>
                <w:sz w:val="24"/>
                <w:szCs w:val="24"/>
                <w:lang w:bidi="ar"/>
              </w:rPr>
              <w:t>名称</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b/>
                <w:bCs/>
                <w:kern w:val="0"/>
                <w:sz w:val="24"/>
                <w:szCs w:val="24"/>
                <w:lang w:bidi="ar"/>
              </w:rPr>
            </w:pPr>
            <w:r>
              <w:rPr>
                <w:rFonts w:hint="eastAsia" w:ascii="仿宋_GB2312" w:hAnsi="宋体" w:eastAsia="仿宋_GB2312" w:cs="仿宋_GB2312"/>
                <w:b/>
                <w:bCs/>
                <w:kern w:val="0"/>
                <w:sz w:val="24"/>
                <w:szCs w:val="24"/>
                <w:lang w:bidi="ar"/>
              </w:rPr>
              <w:t>权重(%)</w:t>
            </w:r>
          </w:p>
        </w:tc>
        <w:tc>
          <w:tcPr>
            <w:tcW w:w="130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b/>
                <w:bCs/>
                <w:kern w:val="0"/>
                <w:sz w:val="24"/>
                <w:szCs w:val="24"/>
                <w:lang w:bidi="ar"/>
              </w:rPr>
            </w:pPr>
            <w:r>
              <w:rPr>
                <w:rFonts w:hint="eastAsia" w:ascii="仿宋_GB2312" w:hAnsi="宋体" w:eastAsia="仿宋_GB2312" w:cs="仿宋_GB2312"/>
                <w:b/>
                <w:bCs/>
                <w:kern w:val="0"/>
                <w:sz w:val="24"/>
                <w:szCs w:val="24"/>
                <w:lang w:bidi="ar"/>
              </w:rPr>
              <w:t>名称</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b/>
                <w:bCs/>
                <w:kern w:val="0"/>
                <w:sz w:val="24"/>
                <w:szCs w:val="24"/>
                <w:lang w:bidi="ar"/>
              </w:rPr>
            </w:pPr>
            <w:r>
              <w:rPr>
                <w:rFonts w:hint="eastAsia" w:ascii="仿宋_GB2312" w:hAnsi="宋体" w:eastAsia="仿宋_GB2312" w:cs="仿宋_GB2312"/>
                <w:b/>
                <w:bCs/>
                <w:kern w:val="0"/>
                <w:sz w:val="24"/>
                <w:szCs w:val="24"/>
                <w:lang w:bidi="ar"/>
              </w:rPr>
              <w:t>权重(%)</w:t>
            </w:r>
          </w:p>
        </w:tc>
        <w:tc>
          <w:tcPr>
            <w:tcW w:w="17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b/>
                <w:bCs/>
                <w:kern w:val="0"/>
                <w:sz w:val="24"/>
                <w:szCs w:val="24"/>
                <w:lang w:bidi="ar"/>
              </w:rPr>
            </w:pPr>
            <w:r>
              <w:rPr>
                <w:rFonts w:hint="eastAsia" w:ascii="仿宋_GB2312" w:hAnsi="宋体" w:eastAsia="仿宋_GB2312" w:cs="仿宋_GB2312"/>
                <w:b/>
                <w:bCs/>
                <w:kern w:val="0"/>
                <w:sz w:val="24"/>
                <w:szCs w:val="24"/>
                <w:lang w:bidi="ar"/>
              </w:rPr>
              <w:t>名称</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b/>
                <w:bCs/>
                <w:kern w:val="0"/>
                <w:sz w:val="24"/>
                <w:szCs w:val="24"/>
                <w:lang w:bidi="ar"/>
              </w:rPr>
            </w:pPr>
            <w:r>
              <w:rPr>
                <w:rFonts w:hint="eastAsia" w:ascii="仿宋_GB2312" w:hAnsi="宋体" w:eastAsia="仿宋_GB2312" w:cs="仿宋_GB2312"/>
                <w:b/>
                <w:bCs/>
                <w:kern w:val="0"/>
                <w:sz w:val="24"/>
                <w:szCs w:val="24"/>
                <w:lang w:bidi="ar"/>
              </w:rPr>
              <w:t>权重(%)</w:t>
            </w:r>
          </w:p>
        </w:tc>
        <w:tc>
          <w:tcPr>
            <w:tcW w:w="9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仿宋_GB2312"/>
                <w:kern w:val="0"/>
                <w:sz w:val="24"/>
                <w:szCs w:val="24"/>
                <w:lang w:bidi="ar"/>
              </w:rPr>
            </w:pPr>
          </w:p>
        </w:tc>
      </w:tr>
      <w:tr>
        <w:tblPrEx>
          <w:tblLayout w:type="fixed"/>
          <w:tblCellMar>
            <w:top w:w="0" w:type="dxa"/>
            <w:left w:w="108" w:type="dxa"/>
            <w:bottom w:w="0" w:type="dxa"/>
            <w:right w:w="108" w:type="dxa"/>
          </w:tblCellMar>
        </w:tblPrEx>
        <w:trPr>
          <w:trHeight w:val="320" w:hRule="atLeast"/>
        </w:trPr>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投入</w:t>
            </w:r>
          </w:p>
        </w:tc>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20</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项目立项</w:t>
            </w:r>
          </w:p>
        </w:tc>
        <w:tc>
          <w:tcPr>
            <w:tcW w:w="7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12</w:t>
            </w:r>
          </w:p>
        </w:tc>
        <w:tc>
          <w:tcPr>
            <w:tcW w:w="130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论证决策</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4</w:t>
            </w:r>
          </w:p>
        </w:tc>
        <w:tc>
          <w:tcPr>
            <w:tcW w:w="17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论证充分性</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4</w:t>
            </w:r>
          </w:p>
        </w:tc>
        <w:tc>
          <w:tcPr>
            <w:tcW w:w="98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 xml:space="preserve">4.00 </w:t>
            </w:r>
          </w:p>
        </w:tc>
      </w:tr>
      <w:tr>
        <w:tblPrEx>
          <w:tblLayout w:type="fixed"/>
          <w:tblCellMar>
            <w:top w:w="0" w:type="dxa"/>
            <w:left w:w="108" w:type="dxa"/>
            <w:bottom w:w="0" w:type="dxa"/>
            <w:right w:w="108" w:type="dxa"/>
          </w:tblCellMar>
        </w:tblPrEx>
        <w:trPr>
          <w:trHeight w:val="32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13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目标设置</w:t>
            </w:r>
          </w:p>
        </w:tc>
        <w:tc>
          <w:tcPr>
            <w:tcW w:w="7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6</w:t>
            </w:r>
          </w:p>
        </w:tc>
        <w:tc>
          <w:tcPr>
            <w:tcW w:w="17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完整性</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2</w:t>
            </w:r>
          </w:p>
        </w:tc>
        <w:tc>
          <w:tcPr>
            <w:tcW w:w="98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 xml:space="preserve">1.95 </w:t>
            </w:r>
          </w:p>
        </w:tc>
      </w:tr>
      <w:tr>
        <w:tblPrEx>
          <w:tblLayout w:type="fixed"/>
          <w:tblCellMar>
            <w:top w:w="0" w:type="dxa"/>
            <w:left w:w="108" w:type="dxa"/>
            <w:bottom w:w="0" w:type="dxa"/>
            <w:right w:w="108" w:type="dxa"/>
          </w:tblCellMar>
        </w:tblPrEx>
        <w:trPr>
          <w:trHeight w:val="32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17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合理性</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2</w:t>
            </w:r>
          </w:p>
        </w:tc>
        <w:tc>
          <w:tcPr>
            <w:tcW w:w="98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 xml:space="preserve">1.90 </w:t>
            </w:r>
          </w:p>
        </w:tc>
      </w:tr>
      <w:tr>
        <w:tblPrEx>
          <w:tblLayout w:type="fixed"/>
          <w:tblCellMar>
            <w:top w:w="0" w:type="dxa"/>
            <w:left w:w="108" w:type="dxa"/>
            <w:bottom w:w="0" w:type="dxa"/>
            <w:right w:w="108" w:type="dxa"/>
          </w:tblCellMar>
        </w:tblPrEx>
        <w:trPr>
          <w:trHeight w:val="32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17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可衡量性</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2</w:t>
            </w:r>
          </w:p>
        </w:tc>
        <w:tc>
          <w:tcPr>
            <w:tcW w:w="98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 xml:space="preserve">1.85 </w:t>
            </w:r>
          </w:p>
        </w:tc>
      </w:tr>
      <w:tr>
        <w:tblPrEx>
          <w:tblLayout w:type="fixed"/>
          <w:tblCellMar>
            <w:top w:w="0" w:type="dxa"/>
            <w:left w:w="108" w:type="dxa"/>
            <w:bottom w:w="0" w:type="dxa"/>
            <w:right w:w="108" w:type="dxa"/>
          </w:tblCellMar>
        </w:tblPrEx>
        <w:trPr>
          <w:trHeight w:val="32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1300" w:type="dxa"/>
            <w:vMerge w:val="restart"/>
            <w:tcBorders>
              <w:top w:val="nil"/>
              <w:left w:val="single" w:color="auto" w:sz="4" w:space="0"/>
              <w:bottom w:val="nil"/>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保障措施</w:t>
            </w:r>
          </w:p>
        </w:tc>
        <w:tc>
          <w:tcPr>
            <w:tcW w:w="760" w:type="dxa"/>
            <w:vMerge w:val="restart"/>
            <w:tcBorders>
              <w:top w:val="nil"/>
              <w:left w:val="single" w:color="auto" w:sz="4" w:space="0"/>
              <w:bottom w:val="nil"/>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2</w:t>
            </w:r>
          </w:p>
        </w:tc>
        <w:tc>
          <w:tcPr>
            <w:tcW w:w="17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制度完整性</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1</w:t>
            </w:r>
          </w:p>
        </w:tc>
        <w:tc>
          <w:tcPr>
            <w:tcW w:w="98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 xml:space="preserve">1.00 </w:t>
            </w:r>
          </w:p>
        </w:tc>
      </w:tr>
      <w:tr>
        <w:tblPrEx>
          <w:tblLayout w:type="fixed"/>
          <w:tblCellMar>
            <w:top w:w="0" w:type="dxa"/>
            <w:left w:w="108" w:type="dxa"/>
            <w:bottom w:w="0" w:type="dxa"/>
            <w:right w:w="108" w:type="dxa"/>
          </w:tblCellMar>
        </w:tblPrEx>
        <w:trPr>
          <w:trHeight w:val="32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1300" w:type="dxa"/>
            <w:vMerge w:val="continue"/>
            <w:tcBorders>
              <w:top w:val="nil"/>
              <w:left w:val="single" w:color="auto" w:sz="4" w:space="0"/>
              <w:bottom w:val="nil"/>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nil"/>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17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计划安排合理性</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1</w:t>
            </w:r>
          </w:p>
        </w:tc>
        <w:tc>
          <w:tcPr>
            <w:tcW w:w="98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 xml:space="preserve">1.00 </w:t>
            </w:r>
          </w:p>
        </w:tc>
      </w:tr>
      <w:tr>
        <w:tblPrEx>
          <w:tblLayout w:type="fixed"/>
          <w:tblCellMar>
            <w:top w:w="0" w:type="dxa"/>
            <w:left w:w="108" w:type="dxa"/>
            <w:bottom w:w="0" w:type="dxa"/>
            <w:right w:w="108" w:type="dxa"/>
          </w:tblCellMar>
        </w:tblPrEx>
        <w:trPr>
          <w:trHeight w:val="32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980" w:type="dxa"/>
            <w:vMerge w:val="restart"/>
            <w:tcBorders>
              <w:top w:val="nil"/>
              <w:left w:val="single" w:color="auto" w:sz="4" w:space="0"/>
              <w:bottom w:val="nil"/>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资金落实</w:t>
            </w:r>
          </w:p>
        </w:tc>
        <w:tc>
          <w:tcPr>
            <w:tcW w:w="760" w:type="dxa"/>
            <w:vMerge w:val="restart"/>
            <w:tcBorders>
              <w:top w:val="nil"/>
              <w:left w:val="single" w:color="auto" w:sz="4" w:space="0"/>
              <w:bottom w:val="nil"/>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8</w:t>
            </w:r>
          </w:p>
        </w:tc>
        <w:tc>
          <w:tcPr>
            <w:tcW w:w="130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资金到位</w:t>
            </w:r>
          </w:p>
        </w:tc>
        <w:tc>
          <w:tcPr>
            <w:tcW w:w="76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5</w:t>
            </w:r>
          </w:p>
        </w:tc>
        <w:tc>
          <w:tcPr>
            <w:tcW w:w="17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资金到位率</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3</w:t>
            </w:r>
          </w:p>
        </w:tc>
        <w:tc>
          <w:tcPr>
            <w:tcW w:w="98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 xml:space="preserve">3.00 </w:t>
            </w:r>
          </w:p>
        </w:tc>
      </w:tr>
      <w:tr>
        <w:tblPrEx>
          <w:tblLayout w:type="fixed"/>
          <w:tblCellMar>
            <w:top w:w="0" w:type="dxa"/>
            <w:left w:w="108" w:type="dxa"/>
            <w:bottom w:w="0" w:type="dxa"/>
            <w:right w:w="108" w:type="dxa"/>
          </w:tblCellMar>
        </w:tblPrEx>
        <w:trPr>
          <w:trHeight w:val="32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980" w:type="dxa"/>
            <w:vMerge w:val="continue"/>
            <w:tcBorders>
              <w:top w:val="nil"/>
              <w:left w:val="single" w:color="auto" w:sz="4" w:space="0"/>
              <w:bottom w:val="nil"/>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nil"/>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1300" w:type="dxa"/>
            <w:vMerge w:val="continue"/>
            <w:tcBorders>
              <w:top w:val="single" w:color="auto" w:sz="4" w:space="0"/>
              <w:left w:val="single" w:color="auto" w:sz="4" w:space="0"/>
              <w:bottom w:val="nil"/>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single" w:color="auto" w:sz="4" w:space="0"/>
              <w:left w:val="single" w:color="auto" w:sz="4" w:space="0"/>
              <w:bottom w:val="nil"/>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17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资金到位及时性</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2</w:t>
            </w:r>
          </w:p>
        </w:tc>
        <w:tc>
          <w:tcPr>
            <w:tcW w:w="98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 xml:space="preserve">2.00 </w:t>
            </w:r>
          </w:p>
        </w:tc>
      </w:tr>
      <w:tr>
        <w:tblPrEx>
          <w:tblLayout w:type="fixed"/>
          <w:tblCellMar>
            <w:top w:w="0" w:type="dxa"/>
            <w:left w:w="108" w:type="dxa"/>
            <w:bottom w:w="0" w:type="dxa"/>
            <w:right w:w="108" w:type="dxa"/>
          </w:tblCellMar>
        </w:tblPrEx>
        <w:trPr>
          <w:trHeight w:val="32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980" w:type="dxa"/>
            <w:vMerge w:val="continue"/>
            <w:tcBorders>
              <w:top w:val="nil"/>
              <w:left w:val="single" w:color="auto" w:sz="4" w:space="0"/>
              <w:bottom w:val="nil"/>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nil"/>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资金分配</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3</w:t>
            </w:r>
          </w:p>
        </w:tc>
        <w:tc>
          <w:tcPr>
            <w:tcW w:w="17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资金分配合理性</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3</w:t>
            </w:r>
          </w:p>
        </w:tc>
        <w:tc>
          <w:tcPr>
            <w:tcW w:w="98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 xml:space="preserve">3.00 </w:t>
            </w:r>
          </w:p>
        </w:tc>
      </w:tr>
      <w:tr>
        <w:tblPrEx>
          <w:tblLayout w:type="fixed"/>
          <w:tblCellMar>
            <w:top w:w="0" w:type="dxa"/>
            <w:left w:w="108" w:type="dxa"/>
            <w:bottom w:w="0" w:type="dxa"/>
            <w:right w:w="108" w:type="dxa"/>
          </w:tblCellMar>
        </w:tblPrEx>
        <w:trPr>
          <w:trHeight w:val="320" w:hRule="atLeast"/>
        </w:trPr>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过程</w:t>
            </w:r>
          </w:p>
        </w:tc>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20</w:t>
            </w:r>
          </w:p>
        </w:tc>
        <w:tc>
          <w:tcPr>
            <w:tcW w:w="98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资金管理</w:t>
            </w:r>
          </w:p>
        </w:tc>
        <w:tc>
          <w:tcPr>
            <w:tcW w:w="76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12</w:t>
            </w:r>
          </w:p>
        </w:tc>
        <w:tc>
          <w:tcPr>
            <w:tcW w:w="130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资金支付</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6</w:t>
            </w:r>
          </w:p>
        </w:tc>
        <w:tc>
          <w:tcPr>
            <w:tcW w:w="17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资金支出率</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6</w:t>
            </w:r>
          </w:p>
        </w:tc>
        <w:tc>
          <w:tcPr>
            <w:tcW w:w="98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 xml:space="preserve">4.50 </w:t>
            </w:r>
          </w:p>
        </w:tc>
      </w:tr>
      <w:tr>
        <w:tblPrEx>
          <w:tblLayout w:type="fixed"/>
          <w:tblCellMar>
            <w:top w:w="0" w:type="dxa"/>
            <w:left w:w="108" w:type="dxa"/>
            <w:bottom w:w="0" w:type="dxa"/>
            <w:right w:w="108" w:type="dxa"/>
          </w:tblCellMar>
        </w:tblPrEx>
        <w:trPr>
          <w:trHeight w:val="32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980" w:type="dxa"/>
            <w:vMerge w:val="continue"/>
            <w:tcBorders>
              <w:top w:val="single" w:color="auto" w:sz="4" w:space="0"/>
              <w:left w:val="single" w:color="auto" w:sz="4" w:space="0"/>
              <w:bottom w:val="nil"/>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single" w:color="auto" w:sz="4" w:space="0"/>
              <w:left w:val="single" w:color="auto" w:sz="4" w:space="0"/>
              <w:bottom w:val="nil"/>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支出规范性</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6</w:t>
            </w:r>
          </w:p>
        </w:tc>
        <w:tc>
          <w:tcPr>
            <w:tcW w:w="17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支出规范性</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6</w:t>
            </w:r>
          </w:p>
        </w:tc>
        <w:tc>
          <w:tcPr>
            <w:tcW w:w="98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 xml:space="preserve">6.00 </w:t>
            </w:r>
          </w:p>
        </w:tc>
      </w:tr>
      <w:tr>
        <w:tblPrEx>
          <w:tblLayout w:type="fixed"/>
          <w:tblCellMar>
            <w:top w:w="0" w:type="dxa"/>
            <w:left w:w="108" w:type="dxa"/>
            <w:bottom w:w="0" w:type="dxa"/>
            <w:right w:w="108" w:type="dxa"/>
          </w:tblCellMar>
        </w:tblPrEx>
        <w:trPr>
          <w:trHeight w:val="32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98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事项管理</w:t>
            </w:r>
          </w:p>
        </w:tc>
        <w:tc>
          <w:tcPr>
            <w:tcW w:w="76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8</w:t>
            </w:r>
          </w:p>
        </w:tc>
        <w:tc>
          <w:tcPr>
            <w:tcW w:w="130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实施程序</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4</w:t>
            </w:r>
          </w:p>
        </w:tc>
        <w:tc>
          <w:tcPr>
            <w:tcW w:w="17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程序规范性</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4</w:t>
            </w:r>
          </w:p>
        </w:tc>
        <w:tc>
          <w:tcPr>
            <w:tcW w:w="98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 xml:space="preserve">4.00 </w:t>
            </w:r>
          </w:p>
        </w:tc>
      </w:tr>
      <w:tr>
        <w:tblPrEx>
          <w:tblLayout w:type="fixed"/>
          <w:tblCellMar>
            <w:top w:w="0" w:type="dxa"/>
            <w:left w:w="108" w:type="dxa"/>
            <w:bottom w:w="0" w:type="dxa"/>
            <w:right w:w="108" w:type="dxa"/>
          </w:tblCellMar>
        </w:tblPrEx>
        <w:trPr>
          <w:trHeight w:val="32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980" w:type="dxa"/>
            <w:vMerge w:val="continue"/>
            <w:tcBorders>
              <w:top w:val="single" w:color="auto" w:sz="4" w:space="0"/>
              <w:left w:val="single" w:color="auto" w:sz="4" w:space="0"/>
              <w:bottom w:val="nil"/>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single" w:color="auto" w:sz="4" w:space="0"/>
              <w:left w:val="single" w:color="auto" w:sz="4" w:space="0"/>
              <w:bottom w:val="nil"/>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管理情况</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4</w:t>
            </w:r>
          </w:p>
        </w:tc>
        <w:tc>
          <w:tcPr>
            <w:tcW w:w="17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监管有效性</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4</w:t>
            </w:r>
          </w:p>
        </w:tc>
        <w:tc>
          <w:tcPr>
            <w:tcW w:w="98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 xml:space="preserve">3.60 </w:t>
            </w:r>
          </w:p>
        </w:tc>
      </w:tr>
      <w:tr>
        <w:tblPrEx>
          <w:tblLayout w:type="fixed"/>
          <w:tblCellMar>
            <w:top w:w="0" w:type="dxa"/>
            <w:left w:w="108" w:type="dxa"/>
            <w:bottom w:w="0" w:type="dxa"/>
            <w:right w:w="108" w:type="dxa"/>
          </w:tblCellMar>
        </w:tblPrEx>
        <w:trPr>
          <w:trHeight w:val="320" w:hRule="atLeast"/>
        </w:trPr>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产出</w:t>
            </w:r>
          </w:p>
        </w:tc>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30</w:t>
            </w:r>
          </w:p>
        </w:tc>
        <w:tc>
          <w:tcPr>
            <w:tcW w:w="98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经济性</w:t>
            </w:r>
          </w:p>
        </w:tc>
        <w:tc>
          <w:tcPr>
            <w:tcW w:w="76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5</w:t>
            </w:r>
          </w:p>
        </w:tc>
        <w:tc>
          <w:tcPr>
            <w:tcW w:w="130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预算控制</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3</w:t>
            </w:r>
          </w:p>
        </w:tc>
        <w:tc>
          <w:tcPr>
            <w:tcW w:w="17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预算控制</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3</w:t>
            </w:r>
          </w:p>
        </w:tc>
        <w:tc>
          <w:tcPr>
            <w:tcW w:w="98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 xml:space="preserve">3.00 </w:t>
            </w:r>
          </w:p>
        </w:tc>
      </w:tr>
      <w:tr>
        <w:tblPrEx>
          <w:tblLayout w:type="fixed"/>
          <w:tblCellMar>
            <w:top w:w="0" w:type="dxa"/>
            <w:left w:w="108" w:type="dxa"/>
            <w:bottom w:w="0" w:type="dxa"/>
            <w:right w:w="108" w:type="dxa"/>
          </w:tblCellMar>
        </w:tblPrEx>
        <w:trPr>
          <w:trHeight w:val="32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980" w:type="dxa"/>
            <w:vMerge w:val="continue"/>
            <w:tcBorders>
              <w:top w:val="single" w:color="auto" w:sz="4" w:space="0"/>
              <w:left w:val="single" w:color="auto" w:sz="4" w:space="0"/>
              <w:bottom w:val="nil"/>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single" w:color="auto" w:sz="4" w:space="0"/>
              <w:left w:val="single" w:color="auto" w:sz="4" w:space="0"/>
              <w:bottom w:val="nil"/>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成本控制</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2</w:t>
            </w:r>
          </w:p>
        </w:tc>
        <w:tc>
          <w:tcPr>
            <w:tcW w:w="17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成本节约</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2</w:t>
            </w:r>
          </w:p>
        </w:tc>
        <w:tc>
          <w:tcPr>
            <w:tcW w:w="98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 xml:space="preserve">2.00 </w:t>
            </w:r>
          </w:p>
        </w:tc>
      </w:tr>
      <w:tr>
        <w:tblPrEx>
          <w:tblLayout w:type="fixed"/>
          <w:tblCellMar>
            <w:top w:w="0" w:type="dxa"/>
            <w:left w:w="108" w:type="dxa"/>
            <w:bottom w:w="0" w:type="dxa"/>
            <w:right w:w="108" w:type="dxa"/>
          </w:tblCellMar>
        </w:tblPrEx>
        <w:trPr>
          <w:trHeight w:val="32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98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效率性</w:t>
            </w:r>
          </w:p>
        </w:tc>
        <w:tc>
          <w:tcPr>
            <w:tcW w:w="76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25</w:t>
            </w:r>
          </w:p>
        </w:tc>
        <w:tc>
          <w:tcPr>
            <w:tcW w:w="130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完成进度</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15</w:t>
            </w:r>
          </w:p>
        </w:tc>
        <w:tc>
          <w:tcPr>
            <w:tcW w:w="17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完成进度</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15</w:t>
            </w:r>
          </w:p>
        </w:tc>
        <w:tc>
          <w:tcPr>
            <w:tcW w:w="98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 xml:space="preserve">12.50 </w:t>
            </w:r>
          </w:p>
        </w:tc>
      </w:tr>
      <w:tr>
        <w:tblPrEx>
          <w:tblLayout w:type="fixed"/>
          <w:tblCellMar>
            <w:top w:w="0" w:type="dxa"/>
            <w:left w:w="108" w:type="dxa"/>
            <w:bottom w:w="0" w:type="dxa"/>
            <w:right w:w="108" w:type="dxa"/>
          </w:tblCellMar>
        </w:tblPrEx>
        <w:trPr>
          <w:trHeight w:val="32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980" w:type="dxa"/>
            <w:vMerge w:val="continue"/>
            <w:tcBorders>
              <w:top w:val="single" w:color="auto" w:sz="4" w:space="0"/>
              <w:left w:val="single" w:color="auto" w:sz="4" w:space="0"/>
              <w:bottom w:val="nil"/>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single" w:color="auto" w:sz="4" w:space="0"/>
              <w:left w:val="single" w:color="auto" w:sz="4" w:space="0"/>
              <w:bottom w:val="nil"/>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完成质量</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10</w:t>
            </w:r>
          </w:p>
        </w:tc>
        <w:tc>
          <w:tcPr>
            <w:tcW w:w="17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完成质量</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10</w:t>
            </w:r>
          </w:p>
        </w:tc>
        <w:tc>
          <w:tcPr>
            <w:tcW w:w="98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 xml:space="preserve">9.00 </w:t>
            </w:r>
          </w:p>
        </w:tc>
      </w:tr>
      <w:tr>
        <w:tblPrEx>
          <w:tblLayout w:type="fixed"/>
          <w:tblCellMar>
            <w:top w:w="0" w:type="dxa"/>
            <w:left w:w="108" w:type="dxa"/>
            <w:bottom w:w="0" w:type="dxa"/>
            <w:right w:w="108" w:type="dxa"/>
          </w:tblCellMar>
        </w:tblPrEx>
        <w:trPr>
          <w:trHeight w:val="320" w:hRule="atLeast"/>
        </w:trPr>
        <w:tc>
          <w:tcPr>
            <w:tcW w:w="7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效益</w:t>
            </w:r>
          </w:p>
        </w:tc>
        <w:tc>
          <w:tcPr>
            <w:tcW w:w="7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30</w:t>
            </w:r>
          </w:p>
        </w:tc>
        <w:tc>
          <w:tcPr>
            <w:tcW w:w="9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效果性</w:t>
            </w:r>
          </w:p>
        </w:tc>
        <w:tc>
          <w:tcPr>
            <w:tcW w:w="7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25</w:t>
            </w:r>
          </w:p>
        </w:tc>
        <w:tc>
          <w:tcPr>
            <w:tcW w:w="130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经济效益</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4</w:t>
            </w:r>
          </w:p>
        </w:tc>
        <w:tc>
          <w:tcPr>
            <w:tcW w:w="17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经济效益</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4</w:t>
            </w:r>
          </w:p>
        </w:tc>
        <w:tc>
          <w:tcPr>
            <w:tcW w:w="98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 xml:space="preserve">3.60 </w:t>
            </w:r>
          </w:p>
        </w:tc>
      </w:tr>
      <w:tr>
        <w:tblPrEx>
          <w:tblLayout w:type="fixed"/>
          <w:tblCellMar>
            <w:top w:w="0" w:type="dxa"/>
            <w:left w:w="108" w:type="dxa"/>
            <w:bottom w:w="0" w:type="dxa"/>
            <w:right w:w="108" w:type="dxa"/>
          </w:tblCellMar>
        </w:tblPrEx>
        <w:trPr>
          <w:trHeight w:val="320" w:hRule="atLeast"/>
        </w:trPr>
        <w:tc>
          <w:tcPr>
            <w:tcW w:w="760" w:type="dxa"/>
            <w:vMerge w:val="continue"/>
            <w:tcBorders>
              <w:top w:val="nil"/>
              <w:left w:val="single" w:color="auto"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980"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社会效益</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8</w:t>
            </w:r>
          </w:p>
        </w:tc>
        <w:tc>
          <w:tcPr>
            <w:tcW w:w="17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社会效益</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8</w:t>
            </w:r>
          </w:p>
        </w:tc>
        <w:tc>
          <w:tcPr>
            <w:tcW w:w="98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 xml:space="preserve">7.10 </w:t>
            </w:r>
          </w:p>
        </w:tc>
      </w:tr>
      <w:tr>
        <w:tblPrEx>
          <w:tblLayout w:type="fixed"/>
          <w:tblCellMar>
            <w:top w:w="0" w:type="dxa"/>
            <w:left w:w="108" w:type="dxa"/>
            <w:bottom w:w="0" w:type="dxa"/>
            <w:right w:w="108" w:type="dxa"/>
          </w:tblCellMar>
        </w:tblPrEx>
        <w:trPr>
          <w:trHeight w:val="320" w:hRule="atLeast"/>
        </w:trPr>
        <w:tc>
          <w:tcPr>
            <w:tcW w:w="760" w:type="dxa"/>
            <w:vMerge w:val="continue"/>
            <w:tcBorders>
              <w:top w:val="nil"/>
              <w:left w:val="single" w:color="auto"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980"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生态效益</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8</w:t>
            </w:r>
          </w:p>
        </w:tc>
        <w:tc>
          <w:tcPr>
            <w:tcW w:w="17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生态效益</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8</w:t>
            </w:r>
          </w:p>
        </w:tc>
        <w:tc>
          <w:tcPr>
            <w:tcW w:w="98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 xml:space="preserve">7.20 </w:t>
            </w:r>
          </w:p>
        </w:tc>
      </w:tr>
      <w:tr>
        <w:tblPrEx>
          <w:tblLayout w:type="fixed"/>
          <w:tblCellMar>
            <w:top w:w="0" w:type="dxa"/>
            <w:left w:w="108" w:type="dxa"/>
            <w:bottom w:w="0" w:type="dxa"/>
            <w:right w:w="108" w:type="dxa"/>
          </w:tblCellMar>
        </w:tblPrEx>
        <w:trPr>
          <w:trHeight w:val="320" w:hRule="atLeast"/>
        </w:trPr>
        <w:tc>
          <w:tcPr>
            <w:tcW w:w="760" w:type="dxa"/>
            <w:vMerge w:val="continue"/>
            <w:tcBorders>
              <w:top w:val="nil"/>
              <w:left w:val="single" w:color="auto"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980"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可持续发展</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5</w:t>
            </w:r>
          </w:p>
        </w:tc>
        <w:tc>
          <w:tcPr>
            <w:tcW w:w="17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可持续发展</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5</w:t>
            </w:r>
          </w:p>
        </w:tc>
        <w:tc>
          <w:tcPr>
            <w:tcW w:w="98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 xml:space="preserve">4.30 </w:t>
            </w:r>
          </w:p>
        </w:tc>
      </w:tr>
      <w:tr>
        <w:tblPrEx>
          <w:tblLayout w:type="fixed"/>
          <w:tblCellMar>
            <w:top w:w="0" w:type="dxa"/>
            <w:left w:w="108" w:type="dxa"/>
            <w:bottom w:w="0" w:type="dxa"/>
            <w:right w:w="108" w:type="dxa"/>
          </w:tblCellMar>
        </w:tblPrEx>
        <w:trPr>
          <w:trHeight w:val="320" w:hRule="atLeast"/>
        </w:trPr>
        <w:tc>
          <w:tcPr>
            <w:tcW w:w="760" w:type="dxa"/>
            <w:vMerge w:val="continue"/>
            <w:tcBorders>
              <w:top w:val="nil"/>
              <w:left w:val="single" w:color="auto"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760" w:type="dxa"/>
            <w:vMerge w:val="continue"/>
            <w:tcBorders>
              <w:top w:val="nil"/>
              <w:left w:val="single" w:color="auto" w:sz="4" w:space="0"/>
              <w:bottom w:val="single" w:color="000000" w:sz="4" w:space="0"/>
              <w:right w:val="single" w:color="auto" w:sz="4" w:space="0"/>
            </w:tcBorders>
            <w:vAlign w:val="center"/>
          </w:tcPr>
          <w:p>
            <w:pPr>
              <w:widowControl/>
              <w:jc w:val="center"/>
              <w:textAlignment w:val="center"/>
              <w:rPr>
                <w:rFonts w:ascii="仿宋_GB2312" w:hAnsi="宋体" w:eastAsia="仿宋_GB2312" w:cs="仿宋_GB2312"/>
                <w:kern w:val="0"/>
                <w:sz w:val="24"/>
                <w:szCs w:val="24"/>
                <w:lang w:bidi="ar"/>
              </w:rPr>
            </w:pPr>
          </w:p>
        </w:tc>
        <w:tc>
          <w:tcPr>
            <w:tcW w:w="98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公平性</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5</w:t>
            </w:r>
          </w:p>
        </w:tc>
        <w:tc>
          <w:tcPr>
            <w:tcW w:w="130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满意度</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5</w:t>
            </w:r>
          </w:p>
        </w:tc>
        <w:tc>
          <w:tcPr>
            <w:tcW w:w="17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服务对象满意度</w:t>
            </w:r>
          </w:p>
        </w:tc>
        <w:tc>
          <w:tcPr>
            <w:tcW w:w="7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5</w:t>
            </w:r>
          </w:p>
        </w:tc>
        <w:tc>
          <w:tcPr>
            <w:tcW w:w="98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 xml:space="preserve">4.60 </w:t>
            </w:r>
          </w:p>
        </w:tc>
      </w:tr>
      <w:tr>
        <w:tblPrEx>
          <w:tblLayout w:type="fixed"/>
          <w:tblCellMar>
            <w:top w:w="0" w:type="dxa"/>
            <w:left w:w="108" w:type="dxa"/>
            <w:bottom w:w="0" w:type="dxa"/>
            <w:right w:w="108" w:type="dxa"/>
          </w:tblCellMar>
        </w:tblPrEx>
        <w:trPr>
          <w:trHeight w:val="320" w:hRule="atLeast"/>
        </w:trPr>
        <w:tc>
          <w:tcPr>
            <w:tcW w:w="7820"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合计</w:t>
            </w:r>
          </w:p>
        </w:tc>
        <w:tc>
          <w:tcPr>
            <w:tcW w:w="98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 xml:space="preserve">91.10 </w:t>
            </w:r>
          </w:p>
        </w:tc>
      </w:tr>
      <w:bookmarkEnd w:id="19"/>
      <w:bookmarkEnd w:id="20"/>
    </w:tbl>
    <w:p>
      <w:pPr>
        <w:spacing w:line="360" w:lineRule="auto"/>
      </w:pPr>
    </w:p>
    <w:p>
      <w:pPr>
        <w:spacing w:line="360" w:lineRule="auto"/>
      </w:pPr>
      <w:r>
        <w:drawing>
          <wp:inline distT="0" distB="0" distL="0" distR="0">
            <wp:extent cx="5929630" cy="7833360"/>
            <wp:effectExtent l="0" t="0" r="13970" b="1524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360" w:lineRule="auto"/>
        <w:jc w:val="center"/>
        <w:rPr>
          <w:rFonts w:ascii="黑体" w:hAnsi="黑体" w:eastAsia="黑体"/>
          <w:sz w:val="28"/>
          <w:szCs w:val="28"/>
        </w:rPr>
      </w:pPr>
      <w:bookmarkStart w:id="21" w:name="_Toc14533553"/>
      <w:r>
        <w:rPr>
          <w:rFonts w:hint="eastAsia" w:ascii="黑体" w:hAnsi="黑体" w:eastAsia="黑体"/>
          <w:sz w:val="28"/>
          <w:szCs w:val="28"/>
        </w:rPr>
        <w:t>图1.四级指标得分率（%）</w:t>
      </w:r>
      <w:bookmarkEnd w:id="21"/>
    </w:p>
    <w:p>
      <w:pPr>
        <w:snapToGrid w:val="0"/>
        <w:spacing w:line="360" w:lineRule="auto"/>
        <w:ind w:firstLine="627" w:firstLineChars="196"/>
        <w:outlineLvl w:val="1"/>
        <w:rPr>
          <w:rFonts w:ascii="仿宋_GB2312" w:hAnsi="仿宋_GB2312" w:eastAsia="仿宋_GB2312" w:cs="仿宋_GB2312"/>
          <w:sz w:val="32"/>
          <w:szCs w:val="32"/>
        </w:rPr>
      </w:pPr>
      <w:bookmarkStart w:id="22" w:name="_Toc14535866"/>
      <w:r>
        <w:rPr>
          <w:rFonts w:hint="eastAsia" w:ascii="仿宋_GB2312" w:hAnsi="仿宋_GB2312" w:eastAsia="仿宋_GB2312" w:cs="仿宋_GB2312"/>
          <w:b/>
          <w:bCs/>
          <w:sz w:val="32"/>
          <w:szCs w:val="32"/>
        </w:rPr>
        <w:t>1.项目立项。</w:t>
      </w:r>
      <w:bookmarkEnd w:id="22"/>
      <w:r>
        <w:rPr>
          <w:rFonts w:hint="eastAsia" w:ascii="仿宋_GB2312" w:hAnsi="仿宋_GB2312" w:eastAsia="仿宋_GB2312" w:cs="仿宋_GB2312"/>
          <w:sz w:val="32"/>
          <w:szCs w:val="32"/>
        </w:rPr>
        <w:t>该指标主要从项目前期设置方面考察项目论证的充分性，绩效目标的完整性、合理性和可衡量性，制度和计划上的保障措施。指标分值12分，评价得分1</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分，得分率9</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论证决策方面，我厅根据省委省政府有关推进美丽宜居乡村建设的战略部署，按照集体会议协商等工作程序会同省财政厅印发了</w:t>
      </w:r>
      <w:r>
        <w:rPr>
          <w:rFonts w:hint="eastAsia" w:ascii="仿宋_GB2312" w:hAnsi="仿宋_GB2312" w:eastAsia="仿宋_GB2312" w:cs="仿宋_GB2312"/>
          <w:sz w:val="32"/>
          <w:szCs w:val="32"/>
        </w:rPr>
        <w:t>《中共广东省委农村工作办公室 广东省财政厅关于实施新一轮省级新农村连片示范建设工程的通知》</w:t>
      </w:r>
      <w:r>
        <w:rPr>
          <w:rFonts w:hint="eastAsia" w:ascii="仿宋_GB2312" w:eastAsia="仿宋_GB2312"/>
          <w:snapToGrid w:val="0"/>
          <w:spacing w:val="11"/>
          <w:sz w:val="32"/>
          <w:szCs w:val="32"/>
        </w:rPr>
        <w:t>（粤委农工办〔201</w:t>
      </w:r>
      <w:r>
        <w:rPr>
          <w:rFonts w:ascii="仿宋_GB2312" w:eastAsia="仿宋_GB2312"/>
          <w:snapToGrid w:val="0"/>
          <w:spacing w:val="11"/>
          <w:sz w:val="32"/>
          <w:szCs w:val="32"/>
        </w:rPr>
        <w:t>7</w:t>
      </w:r>
      <w:r>
        <w:rPr>
          <w:rFonts w:hint="eastAsia" w:ascii="仿宋_GB2312" w:eastAsia="仿宋_GB2312"/>
          <w:snapToGrid w:val="0"/>
          <w:spacing w:val="11"/>
          <w:sz w:val="32"/>
          <w:szCs w:val="32"/>
        </w:rPr>
        <w:t>〕1</w:t>
      </w:r>
      <w:r>
        <w:rPr>
          <w:rFonts w:ascii="仿宋_GB2312" w:eastAsia="仿宋_GB2312"/>
          <w:snapToGrid w:val="0"/>
          <w:spacing w:val="11"/>
          <w:sz w:val="32"/>
          <w:szCs w:val="32"/>
        </w:rPr>
        <w:t>2</w:t>
      </w:r>
      <w:r>
        <w:rPr>
          <w:rFonts w:hint="eastAsia" w:ascii="仿宋_GB2312" w:eastAsia="仿宋_GB2312"/>
          <w:snapToGrid w:val="0"/>
          <w:spacing w:val="11"/>
          <w:sz w:val="32"/>
          <w:szCs w:val="32"/>
        </w:rPr>
        <w:t>号），按照“公平、公开、公正”原则，通过竞争遴选办法和程序，确定</w:t>
      </w:r>
      <w:r>
        <w:rPr>
          <w:rFonts w:hint="eastAsia" w:ascii="仿宋_GB2312" w:eastAsia="仿宋_GB2312"/>
          <w:sz w:val="32"/>
          <w:szCs w:val="32"/>
        </w:rPr>
        <w:t>新丰县新农村示范片等12个项目，每个项目安排省级专项资金1亿元。资金投向和结构合理，符合省级专项资金管理办法，符合公共财政扶持方向。</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目标设置方面，根据推进美丽宜居乡村建设目标任务和建设内容，</w:t>
      </w:r>
      <w:r>
        <w:rPr>
          <w:rFonts w:ascii="仿宋_GB2312" w:eastAsia="仿宋_GB2312"/>
          <w:sz w:val="32"/>
          <w:szCs w:val="32"/>
        </w:rPr>
        <w:t>设置</w:t>
      </w:r>
      <w:r>
        <w:rPr>
          <w:rFonts w:hint="eastAsia" w:ascii="仿宋_GB2312" w:eastAsia="仿宋_GB2312"/>
          <w:sz w:val="32"/>
          <w:szCs w:val="32"/>
        </w:rPr>
        <w:t>了项目</w:t>
      </w:r>
      <w:r>
        <w:rPr>
          <w:rFonts w:ascii="仿宋_GB2312" w:eastAsia="仿宋_GB2312"/>
          <w:sz w:val="32"/>
          <w:szCs w:val="32"/>
        </w:rPr>
        <w:t>总</w:t>
      </w:r>
      <w:r>
        <w:rPr>
          <w:rFonts w:hint="eastAsia" w:ascii="仿宋_GB2312" w:eastAsia="仿宋_GB2312"/>
          <w:sz w:val="32"/>
          <w:szCs w:val="32"/>
        </w:rPr>
        <w:t>体</w:t>
      </w:r>
      <w:r>
        <w:rPr>
          <w:rFonts w:ascii="仿宋_GB2312" w:eastAsia="仿宋_GB2312"/>
          <w:sz w:val="32"/>
          <w:szCs w:val="32"/>
        </w:rPr>
        <w:t>目标和阶段性目标，资金绩效目标明确</w:t>
      </w:r>
      <w:r>
        <w:rPr>
          <w:rFonts w:hint="eastAsia" w:ascii="仿宋_GB2312" w:eastAsia="仿宋_GB2312"/>
          <w:sz w:val="32"/>
          <w:szCs w:val="32"/>
        </w:rPr>
        <w:t>、</w:t>
      </w:r>
      <w:r>
        <w:rPr>
          <w:rFonts w:ascii="仿宋_GB2312" w:eastAsia="仿宋_GB2312"/>
          <w:sz w:val="32"/>
          <w:szCs w:val="32"/>
        </w:rPr>
        <w:t>合理、细化</w:t>
      </w:r>
      <w:r>
        <w:rPr>
          <w:rFonts w:hint="eastAsia" w:ascii="仿宋_GB2312" w:eastAsia="仿宋_GB2312"/>
          <w:sz w:val="32"/>
          <w:szCs w:val="32"/>
        </w:rPr>
        <w:t>，具有一定</w:t>
      </w:r>
      <w:r>
        <w:rPr>
          <w:rFonts w:ascii="仿宋_GB2312" w:eastAsia="仿宋_GB2312"/>
          <w:sz w:val="32"/>
          <w:szCs w:val="32"/>
        </w:rPr>
        <w:t>可衡量性，且绩效目标与项目属性特点、支出内容相关，体现决策意图，合乎客观实际</w:t>
      </w:r>
      <w:r>
        <w:rPr>
          <w:rFonts w:hint="eastAsia" w:ascii="仿宋_GB2312" w:eastAsia="仿宋_GB2312"/>
          <w:sz w:val="32"/>
          <w:szCs w:val="32"/>
        </w:rPr>
        <w:t>。</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eastAsia="仿宋_GB2312"/>
          <w:sz w:val="32"/>
          <w:szCs w:val="32"/>
        </w:rPr>
        <w:t>保障措施方面，各级主管部门管理、实施项目的组织机构健全，并且人员分工、责任落实到位，我厅会同省财政厅制定了专项资金项目管理制度，与承担项目的市县</w:t>
      </w:r>
      <w:r>
        <w:rPr>
          <w:rFonts w:hint="eastAsia" w:ascii="仿宋_GB2312" w:eastAsia="仿宋_GB2312"/>
          <w:snapToGrid w:val="0"/>
          <w:spacing w:val="11"/>
          <w:sz w:val="32"/>
          <w:szCs w:val="32"/>
        </w:rPr>
        <w:t>人民政府签订《广东省省级新农村连片示范建设工程责任书》，</w:t>
      </w:r>
      <w:r>
        <w:rPr>
          <w:rFonts w:hint="eastAsia" w:ascii="仿宋_GB2312" w:eastAsia="仿宋_GB2312"/>
          <w:sz w:val="32"/>
          <w:szCs w:val="32"/>
        </w:rPr>
        <w:t>有关市县按照规定认真编制项目实施方案，有效保障了项目的顺利实施。</w:t>
      </w:r>
    </w:p>
    <w:p>
      <w:pPr>
        <w:snapToGrid w:val="0"/>
        <w:spacing w:line="360" w:lineRule="auto"/>
        <w:ind w:firstLine="627" w:firstLineChars="196"/>
        <w:outlineLvl w:val="1"/>
        <w:rPr>
          <w:rFonts w:ascii="仿宋_GB2312" w:hAnsi="仿宋_GB2312" w:eastAsia="仿宋_GB2312" w:cs="仿宋_GB2312"/>
          <w:b/>
          <w:sz w:val="32"/>
          <w:szCs w:val="32"/>
        </w:rPr>
      </w:pPr>
      <w:bookmarkStart w:id="23" w:name="_Toc14535867"/>
      <w:r>
        <w:rPr>
          <w:rFonts w:hint="eastAsia" w:ascii="仿宋_GB2312" w:hAnsi="仿宋_GB2312" w:eastAsia="仿宋_GB2312" w:cs="仿宋_GB2312"/>
          <w:b/>
          <w:bCs/>
          <w:sz w:val="32"/>
          <w:szCs w:val="32"/>
        </w:rPr>
        <w:t>2.资金落实。</w:t>
      </w:r>
      <w:bookmarkEnd w:id="23"/>
      <w:r>
        <w:rPr>
          <w:rFonts w:hint="eastAsia" w:ascii="仿宋_GB2312" w:hAnsi="仿宋_GB2312" w:eastAsia="仿宋_GB2312" w:cs="仿宋_GB2312"/>
          <w:sz w:val="32"/>
          <w:szCs w:val="32"/>
        </w:rPr>
        <w:t>该指标主要从资金到位和资金分配两个方面考察项目资金落实情况。指标分值8分，评价得分</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分，得分率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snapToGrid w:val="0"/>
        <w:spacing w:line="360" w:lineRule="auto"/>
        <w:ind w:firstLine="640" w:firstLineChars="200"/>
        <w:rPr>
          <w:rFonts w:ascii="仿宋_GB2312" w:eastAsia="仿宋_GB2312"/>
          <w:sz w:val="32"/>
          <w:szCs w:val="32"/>
        </w:rPr>
      </w:pPr>
      <w:r>
        <w:rPr>
          <w:rFonts w:hint="eastAsia" w:ascii="仿宋_GB2312" w:hAnsi="仿宋_GB2312" w:eastAsia="仿宋_GB2312" w:cs="仿宋_GB2312"/>
          <w:sz w:val="32"/>
          <w:szCs w:val="32"/>
        </w:rPr>
        <w:t>资金到位方面，</w:t>
      </w:r>
      <w:r>
        <w:rPr>
          <w:rFonts w:ascii="仿宋_GB2312" w:eastAsia="仿宋_GB2312"/>
          <w:sz w:val="32"/>
          <w:szCs w:val="32"/>
        </w:rPr>
        <w:t>根据</w:t>
      </w:r>
      <w:r>
        <w:rPr>
          <w:rFonts w:hint="eastAsia" w:ascii="仿宋_GB2312" w:eastAsia="仿宋_GB2312"/>
          <w:sz w:val="32"/>
          <w:szCs w:val="32"/>
        </w:rPr>
        <w:t>《关于下达2</w:t>
      </w:r>
      <w:r>
        <w:rPr>
          <w:rFonts w:ascii="仿宋_GB2312" w:eastAsia="仿宋_GB2312"/>
          <w:sz w:val="32"/>
          <w:szCs w:val="32"/>
        </w:rPr>
        <w:t>018</w:t>
      </w:r>
      <w:r>
        <w:rPr>
          <w:rFonts w:hint="eastAsia" w:ascii="仿宋_GB2312" w:eastAsia="仿宋_GB2312"/>
          <w:sz w:val="32"/>
          <w:szCs w:val="32"/>
        </w:rPr>
        <w:t>年乡村振兴战略专项资金（推进美丽宜居乡村建设）的通知》（粤财农〔2018〕</w:t>
      </w:r>
      <w:r>
        <w:rPr>
          <w:rFonts w:ascii="仿宋_GB2312" w:eastAsia="仿宋_GB2312"/>
          <w:sz w:val="32"/>
          <w:szCs w:val="32"/>
        </w:rPr>
        <w:t>48</w:t>
      </w:r>
      <w:r>
        <w:rPr>
          <w:rFonts w:hint="eastAsia" w:ascii="仿宋_GB2312" w:eastAsia="仿宋_GB2312"/>
          <w:sz w:val="32"/>
          <w:szCs w:val="32"/>
        </w:rPr>
        <w:t>号），2</w:t>
      </w:r>
      <w:r>
        <w:rPr>
          <w:rFonts w:ascii="仿宋_GB2312" w:eastAsia="仿宋_GB2312"/>
          <w:sz w:val="32"/>
          <w:szCs w:val="32"/>
        </w:rPr>
        <w:t>018</w:t>
      </w:r>
      <w:r>
        <w:rPr>
          <w:rFonts w:hint="eastAsia" w:ascii="仿宋_GB2312" w:eastAsia="仿宋_GB2312"/>
          <w:sz w:val="32"/>
          <w:szCs w:val="32"/>
        </w:rPr>
        <w:t>年乡村振兴战略专项资金（推进美丽宜居乡村建设）</w:t>
      </w:r>
      <w:r>
        <w:rPr>
          <w:rFonts w:ascii="仿宋_GB2312" w:eastAsia="仿宋_GB2312"/>
          <w:sz w:val="32"/>
          <w:szCs w:val="32"/>
        </w:rPr>
        <w:t>12</w:t>
      </w:r>
      <w:r>
        <w:rPr>
          <w:rFonts w:hint="eastAsia" w:ascii="仿宋_GB2312" w:eastAsia="仿宋_GB2312"/>
          <w:sz w:val="32"/>
          <w:szCs w:val="32"/>
        </w:rPr>
        <w:t>亿元</w:t>
      </w:r>
      <w:r>
        <w:rPr>
          <w:rFonts w:ascii="仿宋_GB2312" w:eastAsia="仿宋_GB2312"/>
          <w:sz w:val="32"/>
          <w:szCs w:val="32"/>
        </w:rPr>
        <w:t>全</w:t>
      </w:r>
      <w:r>
        <w:rPr>
          <w:rFonts w:hint="eastAsia" w:ascii="仿宋_GB2312" w:eastAsia="仿宋_GB2312"/>
          <w:sz w:val="32"/>
          <w:szCs w:val="32"/>
        </w:rPr>
        <w:t>部下达有关市县，资金及</w:t>
      </w:r>
      <w:r>
        <w:rPr>
          <w:rFonts w:ascii="仿宋_GB2312" w:eastAsia="仿宋_GB2312"/>
          <w:sz w:val="32"/>
          <w:szCs w:val="32"/>
        </w:rPr>
        <w:t>时</w:t>
      </w:r>
      <w:r>
        <w:rPr>
          <w:rFonts w:hint="eastAsia" w:ascii="仿宋_GB2312" w:eastAsia="仿宋_GB2312"/>
          <w:sz w:val="32"/>
          <w:szCs w:val="32"/>
        </w:rPr>
        <w:t>足额</w:t>
      </w:r>
      <w:r>
        <w:rPr>
          <w:rFonts w:ascii="仿宋_GB2312" w:eastAsia="仿宋_GB2312"/>
          <w:sz w:val="32"/>
          <w:szCs w:val="32"/>
        </w:rPr>
        <w:t>到位，</w:t>
      </w:r>
      <w:r>
        <w:rPr>
          <w:rFonts w:hint="eastAsia" w:ascii="仿宋_GB2312" w:eastAsia="仿宋_GB2312"/>
          <w:sz w:val="32"/>
          <w:szCs w:val="32"/>
        </w:rPr>
        <w:t>资金</w:t>
      </w:r>
      <w:r>
        <w:rPr>
          <w:rFonts w:ascii="仿宋_GB2312" w:eastAsia="仿宋_GB2312"/>
          <w:sz w:val="32"/>
          <w:szCs w:val="32"/>
        </w:rPr>
        <w:t>到位率100%。</w:t>
      </w:r>
      <w:r>
        <w:rPr>
          <w:rFonts w:hint="eastAsia" w:ascii="仿宋_GB2312" w:eastAsia="仿宋_GB2312"/>
          <w:sz w:val="32"/>
          <w:szCs w:val="32"/>
        </w:rPr>
        <w:t>资金分配方面，充分考虑美丽乡村建设</w:t>
      </w:r>
      <w:r>
        <w:rPr>
          <w:rFonts w:hint="eastAsia" w:ascii="仿宋_GB2312" w:hAnsi="仿宋_GB2312" w:eastAsia="仿宋_GB2312" w:cs="仿宋_GB2312"/>
          <w:sz w:val="32"/>
          <w:szCs w:val="32"/>
        </w:rPr>
        <w:t>工作</w:t>
      </w:r>
      <w:r>
        <w:rPr>
          <w:rFonts w:hint="eastAsia" w:ascii="仿宋_GB2312" w:eastAsia="仿宋_GB2312"/>
          <w:sz w:val="32"/>
          <w:szCs w:val="32"/>
        </w:rPr>
        <w:t>项目的各种因素，每个示范片补助专项资金1亿元，分配公平合理。市县根据项目的目标任务和建设内容，细化实施方案，进一步对专项资金进行合理分配，以保障实现专项资金的绩效目标。</w:t>
      </w:r>
    </w:p>
    <w:p>
      <w:pPr>
        <w:snapToGrid w:val="0"/>
        <w:spacing w:line="360" w:lineRule="auto"/>
        <w:ind w:firstLine="640" w:firstLineChars="200"/>
        <w:outlineLvl w:val="1"/>
        <w:rPr>
          <w:rFonts w:ascii="仿宋_GB2312" w:hAnsi="仿宋_GB2312" w:eastAsia="仿宋_GB2312" w:cs="仿宋_GB2312"/>
          <w:sz w:val="32"/>
          <w:szCs w:val="32"/>
        </w:rPr>
      </w:pPr>
      <w:bookmarkStart w:id="24" w:name="_Toc14535868"/>
      <w:r>
        <w:rPr>
          <w:rFonts w:ascii="仿宋_GB2312" w:hAnsi="仿宋_GB2312" w:eastAsia="仿宋_GB2312" w:cs="仿宋_GB2312"/>
          <w:b/>
          <w:bCs/>
          <w:sz w:val="32"/>
          <w:szCs w:val="32"/>
        </w:rPr>
        <w:t>3</w:t>
      </w:r>
      <w:r>
        <w:rPr>
          <w:rFonts w:hint="eastAsia" w:ascii="仿宋_GB2312" w:eastAsia="仿宋_GB2312"/>
          <w:b/>
          <w:bCs/>
          <w:sz w:val="32"/>
          <w:szCs w:val="32"/>
        </w:rPr>
        <w:t>.资金管理。</w:t>
      </w:r>
      <w:bookmarkEnd w:id="24"/>
      <w:r>
        <w:rPr>
          <w:rFonts w:hint="eastAsia" w:ascii="仿宋_GB2312" w:hAnsi="仿宋_GB2312" w:eastAsia="仿宋_GB2312" w:cs="仿宋_GB2312"/>
          <w:sz w:val="32"/>
          <w:szCs w:val="32"/>
        </w:rPr>
        <w:t>该指标主要从资金支付和支出规范性两个方面考察项目资金管理情况。指标分值12分，评价得分</w:t>
      </w:r>
      <w:r>
        <w:rPr>
          <w:rFonts w:ascii="仿宋_GB2312" w:hAnsi="仿宋_GB2312" w:eastAsia="仿宋_GB2312" w:cs="仿宋_GB2312"/>
          <w:sz w:val="32"/>
          <w:szCs w:val="32"/>
        </w:rPr>
        <w:t>10.5</w:t>
      </w:r>
      <w:r>
        <w:rPr>
          <w:rFonts w:hint="eastAsia" w:ascii="仿宋_GB2312" w:hAnsi="仿宋_GB2312" w:eastAsia="仿宋_GB2312" w:cs="仿宋_GB2312"/>
          <w:sz w:val="32"/>
          <w:szCs w:val="32"/>
        </w:rPr>
        <w:t>分，得分率</w:t>
      </w:r>
      <w:r>
        <w:rPr>
          <w:rFonts w:ascii="仿宋_GB2312" w:hAnsi="仿宋_GB2312" w:eastAsia="仿宋_GB2312" w:cs="仿宋_GB2312"/>
          <w:sz w:val="32"/>
          <w:szCs w:val="32"/>
        </w:rPr>
        <w:t>87.5</w:t>
      </w:r>
      <w:r>
        <w:rPr>
          <w:rFonts w:hint="eastAsia" w:ascii="仿宋_GB2312" w:hAnsi="仿宋_GB2312" w:eastAsia="仿宋_GB2312" w:cs="仿宋_GB2312"/>
          <w:sz w:val="32"/>
          <w:szCs w:val="32"/>
        </w:rPr>
        <w:t>%。</w:t>
      </w:r>
    </w:p>
    <w:p>
      <w:pPr>
        <w:spacing w:line="360" w:lineRule="auto"/>
        <w:ind w:firstLine="640" w:firstLineChars="200"/>
        <w:rPr>
          <w:rFonts w:ascii="仿宋_GB2312" w:eastAsia="仿宋_GB2312"/>
          <w:snapToGrid w:val="0"/>
          <w:spacing w:val="11"/>
          <w:sz w:val="32"/>
          <w:szCs w:val="32"/>
        </w:rPr>
      </w:pPr>
      <w:r>
        <w:rPr>
          <w:rFonts w:hint="eastAsia" w:ascii="仿宋_GB2312" w:hAnsi="仿宋_GB2312" w:eastAsia="仿宋_GB2312" w:cs="仿宋_GB2312"/>
          <w:sz w:val="32"/>
          <w:szCs w:val="32"/>
        </w:rPr>
        <w:t>资金支付方面，截至目前省级专项</w:t>
      </w:r>
      <w:r>
        <w:rPr>
          <w:rFonts w:ascii="仿宋_GB2312" w:hAnsi="仿宋_GB2312" w:eastAsia="仿宋_GB2312" w:cs="仿宋_GB2312"/>
          <w:sz w:val="32"/>
          <w:szCs w:val="32"/>
        </w:rPr>
        <w:t>资金实际支出15598</w:t>
      </w:r>
      <w:r>
        <w:rPr>
          <w:rFonts w:hint="eastAsia" w:ascii="仿宋_GB2312" w:hAnsi="仿宋_GB2312" w:eastAsia="仿宋_GB2312" w:cs="仿宋_GB2312"/>
          <w:sz w:val="32"/>
          <w:szCs w:val="32"/>
        </w:rPr>
        <w:t>.6万</w:t>
      </w:r>
      <w:r>
        <w:rPr>
          <w:rFonts w:ascii="仿宋_GB2312" w:hAnsi="仿宋_GB2312" w:eastAsia="仿宋_GB2312" w:cs="仿宋_GB2312"/>
          <w:sz w:val="32"/>
          <w:szCs w:val="32"/>
        </w:rPr>
        <w:t>元。</w:t>
      </w:r>
      <w:r>
        <w:rPr>
          <w:rFonts w:hint="eastAsia" w:ascii="仿宋_GB2312" w:hAnsi="仿宋_GB2312" w:eastAsia="仿宋_GB2312" w:cs="仿宋_GB2312"/>
          <w:sz w:val="32"/>
          <w:szCs w:val="32"/>
        </w:rPr>
        <w:t>其中，</w:t>
      </w:r>
      <w:r>
        <w:rPr>
          <w:rFonts w:hint="eastAsia" w:ascii="仿宋_GB2312" w:eastAsia="仿宋_GB2312"/>
          <w:snapToGrid w:val="0"/>
          <w:spacing w:val="11"/>
          <w:sz w:val="32"/>
          <w:szCs w:val="32"/>
        </w:rPr>
        <w:t>第五批</w:t>
      </w:r>
      <w:r>
        <w:rPr>
          <w:rFonts w:ascii="仿宋_GB2312" w:eastAsia="仿宋_GB2312"/>
          <w:snapToGrid w:val="0"/>
          <w:spacing w:val="11"/>
          <w:sz w:val="32"/>
          <w:szCs w:val="32"/>
        </w:rPr>
        <w:t>示范片的</w:t>
      </w:r>
      <w:r>
        <w:rPr>
          <w:rFonts w:hint="eastAsia" w:ascii="仿宋_GB2312" w:eastAsia="仿宋_GB2312"/>
          <w:bCs/>
          <w:snapToGrid w:val="0"/>
          <w:spacing w:val="11"/>
          <w:sz w:val="32"/>
          <w:szCs w:val="32"/>
        </w:rPr>
        <w:t>阳春市、</w:t>
      </w:r>
      <w:r>
        <w:rPr>
          <w:rFonts w:hint="eastAsia" w:ascii="仿宋_GB2312" w:hAnsi="仿宋_GB2312" w:eastAsia="仿宋_GB2312" w:cs="仿宋_GB2312"/>
          <w:bCs/>
          <w:sz w:val="32"/>
          <w:szCs w:val="32"/>
        </w:rPr>
        <w:t>雷州市、</w:t>
      </w:r>
      <w:r>
        <w:rPr>
          <w:rFonts w:hint="eastAsia" w:ascii="仿宋_GB2312" w:eastAsia="仿宋_GB2312"/>
          <w:snapToGrid w:val="0"/>
          <w:spacing w:val="11"/>
          <w:sz w:val="32"/>
          <w:szCs w:val="32"/>
        </w:rPr>
        <w:t>连山县、惠来县等</w:t>
      </w:r>
      <w:r>
        <w:rPr>
          <w:rFonts w:ascii="仿宋_GB2312" w:eastAsia="仿宋_GB2312"/>
          <w:snapToGrid w:val="0"/>
          <w:spacing w:val="11"/>
          <w:sz w:val="32"/>
          <w:szCs w:val="32"/>
        </w:rPr>
        <w:t>4</w:t>
      </w:r>
      <w:r>
        <w:rPr>
          <w:rFonts w:hint="eastAsia" w:ascii="仿宋_GB2312" w:eastAsia="仿宋_GB2312"/>
          <w:snapToGrid w:val="0"/>
          <w:spacing w:val="11"/>
          <w:sz w:val="32"/>
          <w:szCs w:val="32"/>
        </w:rPr>
        <w:t>个</w:t>
      </w:r>
      <w:r>
        <w:rPr>
          <w:rFonts w:ascii="仿宋_GB2312" w:eastAsia="仿宋_GB2312"/>
          <w:snapToGrid w:val="0"/>
          <w:spacing w:val="11"/>
          <w:sz w:val="32"/>
          <w:szCs w:val="32"/>
        </w:rPr>
        <w:t>县</w:t>
      </w:r>
      <w:r>
        <w:rPr>
          <w:rFonts w:hint="eastAsia" w:ascii="仿宋_GB2312" w:eastAsia="仿宋_GB2312"/>
          <w:snapToGrid w:val="0"/>
          <w:spacing w:val="11"/>
          <w:sz w:val="32"/>
          <w:szCs w:val="32"/>
        </w:rPr>
        <w:t>的省级</w:t>
      </w:r>
      <w:r>
        <w:rPr>
          <w:rFonts w:ascii="仿宋_GB2312" w:eastAsia="仿宋_GB2312"/>
          <w:snapToGrid w:val="0"/>
          <w:spacing w:val="11"/>
          <w:sz w:val="32"/>
          <w:szCs w:val="32"/>
        </w:rPr>
        <w:t>专项资金</w:t>
      </w:r>
      <w:r>
        <w:rPr>
          <w:rFonts w:hint="eastAsia" w:ascii="仿宋_GB2312" w:eastAsia="仿宋_GB2312"/>
          <w:snapToGrid w:val="0"/>
          <w:spacing w:val="11"/>
          <w:sz w:val="32"/>
          <w:szCs w:val="32"/>
        </w:rPr>
        <w:t>未</w:t>
      </w:r>
      <w:r>
        <w:rPr>
          <w:rFonts w:ascii="仿宋_GB2312" w:eastAsia="仿宋_GB2312"/>
          <w:snapToGrid w:val="0"/>
          <w:spacing w:val="11"/>
          <w:sz w:val="32"/>
          <w:szCs w:val="32"/>
        </w:rPr>
        <w:t>支出</w:t>
      </w:r>
      <w:r>
        <w:rPr>
          <w:rFonts w:hint="eastAsia" w:ascii="仿宋_GB2312" w:eastAsia="仿宋_GB2312"/>
          <w:snapToGrid w:val="0"/>
          <w:spacing w:val="11"/>
          <w:sz w:val="32"/>
          <w:szCs w:val="32"/>
        </w:rPr>
        <w:t>。</w:t>
      </w:r>
      <w:r>
        <w:rPr>
          <w:rFonts w:hint="eastAsia" w:ascii="仿宋_GB2312" w:eastAsia="仿宋_GB2312"/>
          <w:sz w:val="32"/>
          <w:szCs w:val="32"/>
        </w:rPr>
        <w:t>支出率较低的</w:t>
      </w:r>
      <w:r>
        <w:rPr>
          <w:rFonts w:ascii="仿宋_GB2312" w:eastAsia="仿宋_GB2312"/>
          <w:sz w:val="32"/>
          <w:szCs w:val="32"/>
        </w:rPr>
        <w:t>主要原因</w:t>
      </w:r>
      <w:r>
        <w:rPr>
          <w:rFonts w:hint="eastAsia" w:ascii="仿宋_GB2312" w:eastAsia="仿宋_GB2312"/>
          <w:sz w:val="32"/>
          <w:szCs w:val="32"/>
        </w:rPr>
        <w:t>是项目周期较长。根据</w:t>
      </w:r>
      <w:r>
        <w:rPr>
          <w:rFonts w:ascii="仿宋_GB2312" w:hAnsi="仿宋_GB2312" w:eastAsia="仿宋_GB2312" w:cs="仿宋_GB2312"/>
          <w:snapToGrid w:val="0"/>
          <w:spacing w:val="11"/>
          <w:sz w:val="32"/>
          <w:szCs w:val="32"/>
        </w:rPr>
        <w:t>省委、省政府关于推进省级新农村连片示范建设工程的决策部署，</w:t>
      </w:r>
      <w:r>
        <w:rPr>
          <w:rFonts w:hint="eastAsia" w:ascii="仿宋_GB2312" w:eastAsia="仿宋_GB2312"/>
          <w:snapToGrid w:val="0"/>
          <w:spacing w:val="11"/>
          <w:sz w:val="32"/>
          <w:szCs w:val="32"/>
        </w:rPr>
        <w:t>围绕连片示范建设工程“一年初见成效、两年基本完成、三年巩固提升”的目标和要求，按照遴选结果，</w:t>
      </w:r>
      <w:r>
        <w:rPr>
          <w:rFonts w:hint="eastAsia" w:ascii="仿宋_GB2312" w:eastAsia="仿宋_GB2312"/>
          <w:bCs/>
          <w:snapToGrid w:val="0"/>
          <w:spacing w:val="11"/>
          <w:sz w:val="32"/>
          <w:szCs w:val="32"/>
        </w:rPr>
        <w:t>2018年5月，</w:t>
      </w:r>
      <w:r>
        <w:rPr>
          <w:rFonts w:hint="eastAsia" w:ascii="仿宋_GB2312" w:eastAsia="仿宋_GB2312"/>
          <w:sz w:val="32"/>
          <w:szCs w:val="32"/>
        </w:rPr>
        <w:t>《中共广东省委农村工作办公室关于启动第五批省级示范连片建设工程的通知》（粤委农工办〔2018〕29号）通知有关地市启动第五批省级示范连片建设工程，</w:t>
      </w:r>
      <w:r>
        <w:rPr>
          <w:rFonts w:hint="eastAsia" w:ascii="仿宋_GB2312" w:eastAsia="仿宋_GB2312"/>
          <w:bCs/>
          <w:snapToGrid w:val="0"/>
          <w:spacing w:val="11"/>
          <w:sz w:val="32"/>
          <w:szCs w:val="32"/>
        </w:rPr>
        <w:t>2</w:t>
      </w:r>
      <w:r>
        <w:rPr>
          <w:rFonts w:ascii="仿宋_GB2312" w:eastAsia="仿宋_GB2312"/>
          <w:bCs/>
          <w:snapToGrid w:val="0"/>
          <w:spacing w:val="11"/>
          <w:sz w:val="32"/>
          <w:szCs w:val="32"/>
        </w:rPr>
        <w:t>01</w:t>
      </w:r>
      <w:r>
        <w:rPr>
          <w:rFonts w:hint="eastAsia" w:ascii="仿宋_GB2312" w:eastAsia="仿宋_GB2312"/>
          <w:bCs/>
          <w:snapToGrid w:val="0"/>
          <w:spacing w:val="11"/>
          <w:sz w:val="32"/>
          <w:szCs w:val="32"/>
        </w:rPr>
        <w:t>9年1月，</w:t>
      </w:r>
      <w:r>
        <w:rPr>
          <w:rFonts w:ascii="仿宋_GB2312" w:eastAsia="仿宋_GB2312"/>
          <w:snapToGrid w:val="0"/>
          <w:spacing w:val="11"/>
          <w:sz w:val="32"/>
          <w:szCs w:val="32"/>
        </w:rPr>
        <w:t>《</w:t>
      </w:r>
      <w:r>
        <w:rPr>
          <w:rFonts w:hint="eastAsia" w:ascii="仿宋_GB2312" w:eastAsia="仿宋_GB2312"/>
          <w:snapToGrid w:val="0"/>
          <w:spacing w:val="11"/>
          <w:sz w:val="32"/>
          <w:szCs w:val="32"/>
        </w:rPr>
        <w:t>关于</w:t>
      </w:r>
      <w:r>
        <w:rPr>
          <w:rFonts w:ascii="仿宋_GB2312" w:eastAsia="仿宋_GB2312"/>
          <w:snapToGrid w:val="0"/>
          <w:spacing w:val="11"/>
          <w:sz w:val="32"/>
          <w:szCs w:val="32"/>
        </w:rPr>
        <w:t>做好2018年第五批省级新农村连片示范建设工程有关工作的通知》</w:t>
      </w:r>
      <w:r>
        <w:rPr>
          <w:rFonts w:hint="eastAsia" w:ascii="仿宋_GB2312" w:eastAsia="仿宋_GB2312"/>
          <w:snapToGrid w:val="0"/>
          <w:spacing w:val="11"/>
          <w:sz w:val="32"/>
          <w:szCs w:val="32"/>
        </w:rPr>
        <w:t>（粤委农办〔2019〕7号）通知有关地市</w:t>
      </w:r>
      <w:r>
        <w:rPr>
          <w:rFonts w:ascii="仿宋_GB2312" w:eastAsia="仿宋_GB2312"/>
          <w:bCs/>
          <w:snapToGrid w:val="0"/>
          <w:spacing w:val="11"/>
          <w:sz w:val="32"/>
          <w:szCs w:val="32"/>
        </w:rPr>
        <w:t>第五批</w:t>
      </w:r>
      <w:r>
        <w:rPr>
          <w:rFonts w:hint="eastAsia" w:ascii="仿宋_GB2312" w:eastAsia="仿宋_GB2312"/>
          <w:bCs/>
          <w:snapToGrid w:val="0"/>
          <w:spacing w:val="11"/>
          <w:sz w:val="32"/>
          <w:szCs w:val="32"/>
        </w:rPr>
        <w:t>12个</w:t>
      </w:r>
      <w:r>
        <w:rPr>
          <w:rFonts w:ascii="仿宋_GB2312" w:eastAsia="仿宋_GB2312"/>
          <w:bCs/>
          <w:snapToGrid w:val="0"/>
          <w:spacing w:val="11"/>
          <w:sz w:val="32"/>
          <w:szCs w:val="32"/>
        </w:rPr>
        <w:t>省级新农村示范</w:t>
      </w:r>
      <w:r>
        <w:rPr>
          <w:rFonts w:hint="eastAsia" w:ascii="仿宋_GB2312" w:eastAsia="仿宋_GB2312"/>
          <w:bCs/>
          <w:snapToGrid w:val="0"/>
          <w:spacing w:val="11"/>
          <w:sz w:val="32"/>
          <w:szCs w:val="32"/>
        </w:rPr>
        <w:t>片经省主管部门备案审核后正式确定示范片区域。</w:t>
      </w:r>
      <w:r>
        <w:rPr>
          <w:rFonts w:hint="eastAsia" w:ascii="仿宋_GB2312" w:eastAsia="仿宋_GB2312"/>
          <w:sz w:val="32"/>
          <w:szCs w:val="32"/>
        </w:rPr>
        <w:t>细化实施方案、</w:t>
      </w:r>
      <w:r>
        <w:rPr>
          <w:rFonts w:hint="eastAsia" w:ascii="仿宋_GB2312" w:eastAsia="仿宋_GB2312"/>
          <w:snapToGrid w:val="0"/>
          <w:spacing w:val="11"/>
          <w:sz w:val="32"/>
          <w:szCs w:val="32"/>
        </w:rPr>
        <w:t>乡村规划编制等</w:t>
      </w:r>
      <w:r>
        <w:rPr>
          <w:rFonts w:hint="eastAsia" w:ascii="仿宋_GB2312" w:eastAsia="仿宋_GB2312"/>
          <w:sz w:val="32"/>
          <w:szCs w:val="32"/>
        </w:rPr>
        <w:t>前期准备工作较</w:t>
      </w:r>
      <w:r>
        <w:rPr>
          <w:rFonts w:hint="eastAsia" w:ascii="仿宋_GB2312" w:eastAsia="仿宋_GB2312"/>
          <w:snapToGrid w:val="0"/>
          <w:spacing w:val="11"/>
          <w:sz w:val="32"/>
          <w:szCs w:val="32"/>
        </w:rPr>
        <w:t>多，部分现已动工建设的项目正在验收过程或尚未进入验收环节，大部分建设项目将在2019年下半年发生支出，因此资金支出率</w:t>
      </w:r>
      <w:r>
        <w:rPr>
          <w:rFonts w:hint="eastAsia" w:ascii="仿宋_GB2312" w:eastAsia="仿宋_GB2312"/>
          <w:sz w:val="32"/>
          <w:szCs w:val="32"/>
        </w:rPr>
        <w:t>较低基本上属于合理范畴。</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支出规范性方面，项目承担单位将</w:t>
      </w:r>
      <w:r>
        <w:rPr>
          <w:rFonts w:hint="eastAsia" w:ascii="仿宋_GB2312" w:eastAsia="仿宋_GB2312"/>
          <w:sz w:val="32"/>
          <w:szCs w:val="32"/>
        </w:rPr>
        <w:t>严格遵守专项资金管理办法和有关</w:t>
      </w:r>
      <w:r>
        <w:rPr>
          <w:rFonts w:ascii="仿宋_GB2312" w:eastAsia="仿宋_GB2312"/>
          <w:sz w:val="32"/>
          <w:szCs w:val="32"/>
        </w:rPr>
        <w:t>财务制度规定</w:t>
      </w:r>
      <w:r>
        <w:rPr>
          <w:rFonts w:hint="eastAsia" w:ascii="仿宋_GB2312" w:eastAsia="仿宋_GB2312"/>
          <w:sz w:val="32"/>
          <w:szCs w:val="32"/>
        </w:rPr>
        <w:t>，认真做好</w:t>
      </w:r>
      <w:r>
        <w:rPr>
          <w:rFonts w:ascii="仿宋_GB2312" w:eastAsia="仿宋_GB2312"/>
          <w:sz w:val="32"/>
          <w:szCs w:val="32"/>
        </w:rPr>
        <w:t>审核支出、资金支付</w:t>
      </w:r>
      <w:r>
        <w:rPr>
          <w:rFonts w:hint="eastAsia" w:ascii="仿宋_GB2312" w:eastAsia="仿宋_GB2312"/>
          <w:sz w:val="32"/>
          <w:szCs w:val="32"/>
        </w:rPr>
        <w:t>，</w:t>
      </w:r>
      <w:r>
        <w:rPr>
          <w:rFonts w:ascii="仿宋_GB2312" w:hAnsi="仿宋_GB2312" w:eastAsia="仿宋_GB2312" w:cs="仿宋_GB2312"/>
          <w:sz w:val="32"/>
          <w:szCs w:val="32"/>
        </w:rPr>
        <w:t>按照批准的采购方式和结算方式列支，</w:t>
      </w:r>
      <w:r>
        <w:rPr>
          <w:rFonts w:hint="eastAsia" w:ascii="仿宋_GB2312" w:hAnsi="仿宋_GB2312" w:eastAsia="仿宋_GB2312" w:cs="仿宋_GB2312"/>
          <w:sz w:val="32"/>
          <w:szCs w:val="32"/>
        </w:rPr>
        <w:t>严防</w:t>
      </w:r>
      <w:r>
        <w:rPr>
          <w:rFonts w:ascii="仿宋_GB2312" w:hAnsi="仿宋_GB2312" w:eastAsia="仿宋_GB2312" w:cs="仿宋_GB2312"/>
          <w:sz w:val="32"/>
          <w:szCs w:val="32"/>
        </w:rPr>
        <w:t>虚列支</w:t>
      </w:r>
      <w:r>
        <w:rPr>
          <w:rFonts w:hint="eastAsia" w:ascii="仿宋_GB2312" w:hAnsi="仿宋_GB2312" w:eastAsia="仿宋_GB2312" w:cs="仿宋_GB2312"/>
          <w:sz w:val="32"/>
          <w:szCs w:val="32"/>
        </w:rPr>
        <w:t>出、</w:t>
      </w:r>
      <w:r>
        <w:rPr>
          <w:rFonts w:ascii="仿宋_GB2312" w:hAnsi="仿宋_GB2312" w:eastAsia="仿宋_GB2312" w:cs="仿宋_GB2312"/>
          <w:sz w:val="32"/>
          <w:szCs w:val="32"/>
        </w:rPr>
        <w:t>超范围、超标准支出</w:t>
      </w:r>
      <w:r>
        <w:rPr>
          <w:rFonts w:hint="eastAsia" w:ascii="仿宋_GB2312" w:hAnsi="仿宋_GB2312" w:eastAsia="仿宋_GB2312" w:cs="仿宋_GB2312"/>
          <w:sz w:val="32"/>
          <w:szCs w:val="32"/>
        </w:rPr>
        <w:t>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杜绝</w:t>
      </w:r>
      <w:r>
        <w:rPr>
          <w:rFonts w:ascii="仿宋_GB2312" w:hAnsi="仿宋_GB2312" w:eastAsia="仿宋_GB2312" w:cs="仿宋_GB2312"/>
          <w:sz w:val="32"/>
          <w:szCs w:val="32"/>
        </w:rPr>
        <w:t>截留、挤占、挪用资金</w:t>
      </w:r>
      <w:r>
        <w:rPr>
          <w:rFonts w:hint="eastAsia" w:ascii="仿宋_GB2312" w:hAnsi="仿宋_GB2312" w:eastAsia="仿宋_GB2312" w:cs="仿宋_GB2312"/>
          <w:sz w:val="32"/>
          <w:szCs w:val="32"/>
        </w:rPr>
        <w:t>等问题</w:t>
      </w:r>
      <w:r>
        <w:rPr>
          <w:rFonts w:ascii="仿宋_GB2312" w:hAnsi="仿宋_GB2312" w:eastAsia="仿宋_GB2312" w:cs="仿宋_GB2312"/>
          <w:sz w:val="32"/>
          <w:szCs w:val="32"/>
        </w:rPr>
        <w:t>。</w:t>
      </w:r>
    </w:p>
    <w:p>
      <w:pPr>
        <w:snapToGrid w:val="0"/>
        <w:spacing w:line="360" w:lineRule="auto"/>
        <w:ind w:firstLine="640" w:firstLineChars="200"/>
        <w:outlineLvl w:val="1"/>
        <w:rPr>
          <w:rFonts w:ascii="仿宋_GB2312" w:hAnsi="仿宋_GB2312" w:eastAsia="仿宋_GB2312" w:cs="仿宋_GB2312"/>
          <w:sz w:val="32"/>
          <w:szCs w:val="32"/>
        </w:rPr>
      </w:pPr>
      <w:bookmarkStart w:id="25" w:name="_Toc14535869"/>
      <w:r>
        <w:rPr>
          <w:rFonts w:hint="eastAsia" w:ascii="仿宋_GB2312" w:hAnsi="仿宋_GB2312" w:eastAsia="仿宋_GB2312" w:cs="仿宋_GB2312"/>
          <w:b/>
          <w:bCs/>
          <w:sz w:val="32"/>
          <w:szCs w:val="32"/>
        </w:rPr>
        <w:t>4.事项管理。</w:t>
      </w:r>
      <w:bookmarkEnd w:id="25"/>
      <w:r>
        <w:rPr>
          <w:rFonts w:hint="eastAsia" w:ascii="仿宋_GB2312" w:hAnsi="仿宋_GB2312" w:eastAsia="仿宋_GB2312" w:cs="仿宋_GB2312"/>
          <w:sz w:val="32"/>
          <w:szCs w:val="32"/>
        </w:rPr>
        <w:t>该指标主要从实施程序和管理情况两个方面考察项目实施的规范性和监管的有效性。指标分值8分，评价得分7.</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分，得分率9</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实施程序方面，承担项目的市县在项目招投标、建设、验收、方案实施严格按照相关制度规定执行</w:t>
      </w:r>
      <w:r>
        <w:rPr>
          <w:rFonts w:ascii="仿宋_GB2312" w:hAnsi="仿宋_GB2312" w:eastAsia="仿宋_GB2312" w:cs="仿宋_GB2312"/>
          <w:sz w:val="32"/>
          <w:szCs w:val="32"/>
        </w:rPr>
        <w:t>。在日常管理中，</w:t>
      </w:r>
      <w:r>
        <w:rPr>
          <w:rFonts w:hint="eastAsia" w:ascii="仿宋_GB2312" w:hAnsi="仿宋_GB2312" w:eastAsia="仿宋_GB2312" w:cs="仿宋_GB2312"/>
          <w:sz w:val="32"/>
          <w:szCs w:val="32"/>
        </w:rPr>
        <w:t>项目单位能</w:t>
      </w:r>
      <w:r>
        <w:rPr>
          <w:rFonts w:ascii="仿宋_GB2312" w:hAnsi="仿宋_GB2312" w:eastAsia="仿宋_GB2312" w:cs="仿宋_GB2312"/>
          <w:sz w:val="32"/>
          <w:szCs w:val="32"/>
        </w:rPr>
        <w:t>遵守有关规章制度，严格</w:t>
      </w:r>
      <w:r>
        <w:rPr>
          <w:rFonts w:hint="eastAsia" w:ascii="仿宋_GB2312" w:hAnsi="仿宋_GB2312" w:eastAsia="仿宋_GB2312" w:cs="仿宋_GB2312"/>
          <w:sz w:val="32"/>
          <w:szCs w:val="32"/>
        </w:rPr>
        <w:t>执行实施</w:t>
      </w:r>
      <w:r>
        <w:rPr>
          <w:rFonts w:ascii="仿宋_GB2312" w:hAnsi="仿宋_GB2312" w:eastAsia="仿宋_GB2312" w:cs="仿宋_GB2312"/>
          <w:sz w:val="32"/>
          <w:szCs w:val="32"/>
        </w:rPr>
        <w:t>程序，审核申报资料，跟踪资金支付情况，实时做好台账记录</w:t>
      </w:r>
      <w:r>
        <w:rPr>
          <w:rFonts w:hint="eastAsia" w:ascii="仿宋_GB2312" w:hAnsi="仿宋_GB2312" w:eastAsia="仿宋_GB2312" w:cs="仿宋_GB2312"/>
          <w:sz w:val="32"/>
          <w:szCs w:val="32"/>
        </w:rPr>
        <w:t>等</w:t>
      </w:r>
      <w:r>
        <w:rPr>
          <w:rFonts w:ascii="仿宋_GB2312" w:hAnsi="仿宋_GB2312" w:eastAsia="仿宋_GB2312" w:cs="仿宋_GB2312"/>
          <w:sz w:val="32"/>
          <w:szCs w:val="32"/>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事项管理方面，我厅</w:t>
      </w:r>
      <w:r>
        <w:rPr>
          <w:rFonts w:ascii="仿宋_GB2312" w:hAnsi="仿宋_GB2312" w:eastAsia="仿宋_GB2312" w:cs="仿宋_GB2312"/>
          <w:sz w:val="32"/>
          <w:szCs w:val="32"/>
        </w:rPr>
        <w:t>建立</w:t>
      </w:r>
      <w:r>
        <w:rPr>
          <w:rFonts w:hint="eastAsia" w:ascii="仿宋_GB2312" w:hAnsi="仿宋_GB2312" w:eastAsia="仿宋_GB2312" w:cs="仿宋_GB2312"/>
          <w:sz w:val="32"/>
          <w:szCs w:val="32"/>
        </w:rPr>
        <w:t>了</w:t>
      </w:r>
      <w:r>
        <w:rPr>
          <w:rFonts w:ascii="仿宋_GB2312" w:hAnsi="仿宋_GB2312" w:eastAsia="仿宋_GB2312" w:cs="仿宋_GB2312"/>
          <w:sz w:val="32"/>
          <w:szCs w:val="32"/>
        </w:rPr>
        <w:t>有效</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管理机制，</w:t>
      </w:r>
      <w:r>
        <w:rPr>
          <w:rFonts w:hint="eastAsia" w:ascii="仿宋_GB2312" w:hAnsi="仿宋_GB2312" w:eastAsia="仿宋_GB2312" w:cs="仿宋_GB2312"/>
          <w:sz w:val="32"/>
          <w:szCs w:val="32"/>
        </w:rPr>
        <w:t>要求项目承担市县</w:t>
      </w:r>
      <w:r>
        <w:rPr>
          <w:rFonts w:ascii="仿宋_GB2312" w:hAnsi="仿宋_GB2312" w:eastAsia="仿宋_GB2312" w:cs="仿宋_GB2312"/>
          <w:sz w:val="32"/>
          <w:szCs w:val="32"/>
        </w:rPr>
        <w:t>定期报送预算执行进度，监控、督促</w:t>
      </w:r>
      <w:r>
        <w:rPr>
          <w:rFonts w:hint="eastAsia" w:ascii="仿宋_GB2312" w:hAnsi="仿宋_GB2312" w:eastAsia="仿宋_GB2312" w:cs="仿宋_GB2312"/>
          <w:sz w:val="32"/>
          <w:szCs w:val="32"/>
        </w:rPr>
        <w:t>有关单位</w:t>
      </w:r>
      <w:r>
        <w:rPr>
          <w:rFonts w:ascii="仿宋_GB2312" w:hAnsi="仿宋_GB2312" w:eastAsia="仿宋_GB2312" w:cs="仿宋_GB2312"/>
          <w:sz w:val="32"/>
          <w:szCs w:val="32"/>
        </w:rPr>
        <w:t>合理合规按时支出</w:t>
      </w:r>
      <w:r>
        <w:rPr>
          <w:rFonts w:hint="eastAsia" w:ascii="仿宋_GB2312" w:hAnsi="仿宋_GB2312" w:eastAsia="仿宋_GB2312" w:cs="仿宋_GB2312"/>
          <w:sz w:val="32"/>
          <w:szCs w:val="32"/>
        </w:rPr>
        <w:t>；项目承担单位均建立并落实好内部管理制度，市县主管部门能够按规定对项目建设或方案实施开展有效的检查、监控、督促，项目监管情况较好。</w:t>
      </w:r>
    </w:p>
    <w:p>
      <w:pPr>
        <w:snapToGrid w:val="0"/>
        <w:spacing w:line="360" w:lineRule="auto"/>
        <w:ind w:firstLine="640" w:firstLineChars="200"/>
        <w:outlineLvl w:val="1"/>
        <w:rPr>
          <w:rFonts w:ascii="仿宋_GB2312" w:hAnsi="仿宋_GB2312" w:eastAsia="仿宋_GB2312" w:cs="仿宋_GB2312"/>
          <w:sz w:val="32"/>
          <w:szCs w:val="32"/>
        </w:rPr>
      </w:pPr>
      <w:bookmarkStart w:id="26" w:name="_Toc14535870"/>
      <w:r>
        <w:rPr>
          <w:rFonts w:hint="eastAsia" w:ascii="仿宋_GB2312" w:hAnsi="仿宋_GB2312" w:eastAsia="仿宋_GB2312" w:cs="仿宋_GB2312"/>
          <w:b/>
          <w:bCs/>
          <w:sz w:val="32"/>
          <w:szCs w:val="32"/>
        </w:rPr>
        <w:t>5.经济性。</w:t>
      </w:r>
      <w:bookmarkEnd w:id="26"/>
      <w:r>
        <w:rPr>
          <w:rFonts w:hint="eastAsia" w:ascii="仿宋_GB2312" w:hAnsi="仿宋_GB2312" w:eastAsia="仿宋_GB2312" w:cs="仿宋_GB2312"/>
          <w:sz w:val="32"/>
          <w:szCs w:val="32"/>
        </w:rPr>
        <w:t>该指标主要从预算控制和成本节约两个方面考察项目资金在预算执行进度与事项完成进度基本匹配的情况下，预算和成本控制情况。指标分值5分，评价得分5分，得分率</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0%。</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预算控制方面，目前12个示范片项目预算执行进度与事项完成进度基本匹配，实际支出未超过预算，且能保障事项相应完成进度。</w:t>
      </w:r>
      <w:bookmarkStart w:id="27" w:name="_Toc14533559"/>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成本节约方面，各个项目均计划实施，建设成本控制在合理范围。</w:t>
      </w:r>
      <w:bookmarkEnd w:id="27"/>
    </w:p>
    <w:p>
      <w:pPr>
        <w:snapToGrid w:val="0"/>
        <w:spacing w:line="360" w:lineRule="auto"/>
        <w:ind w:firstLine="640" w:firstLineChars="200"/>
        <w:outlineLvl w:val="1"/>
        <w:rPr>
          <w:rFonts w:ascii="仿宋_GB2312" w:hAnsi="仿宋_GB2312" w:eastAsia="仿宋_GB2312" w:cs="仿宋_GB2312"/>
          <w:sz w:val="32"/>
          <w:szCs w:val="32"/>
        </w:rPr>
      </w:pPr>
      <w:bookmarkStart w:id="28" w:name="_Toc14535871"/>
      <w:r>
        <w:rPr>
          <w:rFonts w:hint="eastAsia" w:ascii="仿宋_GB2312" w:hAnsi="仿宋_GB2312" w:eastAsia="仿宋_GB2312" w:cs="仿宋_GB2312"/>
          <w:b/>
          <w:bCs/>
          <w:sz w:val="32"/>
          <w:szCs w:val="32"/>
        </w:rPr>
        <w:t>6.效率性。</w:t>
      </w:r>
      <w:bookmarkEnd w:id="28"/>
      <w:r>
        <w:rPr>
          <w:rFonts w:hint="eastAsia" w:ascii="仿宋_GB2312" w:hAnsi="仿宋_GB2312" w:eastAsia="仿宋_GB2312" w:cs="仿宋_GB2312"/>
          <w:sz w:val="32"/>
          <w:szCs w:val="32"/>
        </w:rPr>
        <w:t>该指标主要从完成进度和完成质量两个方面考察项目的实施产出情况。指标分值25分，评价得分</w:t>
      </w:r>
      <w:r>
        <w:rPr>
          <w:rFonts w:ascii="仿宋_GB2312" w:hAnsi="仿宋_GB2312" w:eastAsia="仿宋_GB2312" w:cs="仿宋_GB2312"/>
          <w:sz w:val="32"/>
          <w:szCs w:val="32"/>
        </w:rPr>
        <w:t>21.5</w:t>
      </w:r>
      <w:r>
        <w:rPr>
          <w:rFonts w:hint="eastAsia" w:ascii="仿宋_GB2312" w:hAnsi="仿宋_GB2312" w:eastAsia="仿宋_GB2312" w:cs="仿宋_GB2312"/>
          <w:sz w:val="32"/>
          <w:szCs w:val="32"/>
        </w:rPr>
        <w:t>分，得分率</w:t>
      </w:r>
      <w:r>
        <w:rPr>
          <w:rFonts w:ascii="仿宋_GB2312" w:hAnsi="仿宋_GB2312" w:eastAsia="仿宋_GB2312" w:cs="仿宋_GB2312"/>
          <w:sz w:val="32"/>
          <w:szCs w:val="32"/>
        </w:rPr>
        <w:t>86</w:t>
      </w:r>
      <w:r>
        <w:rPr>
          <w:rFonts w:hint="eastAsia" w:ascii="仿宋_GB2312" w:hAnsi="仿宋_GB2312" w:eastAsia="仿宋_GB2312" w:cs="仿宋_GB2312"/>
          <w:sz w:val="32"/>
          <w:szCs w:val="32"/>
        </w:rPr>
        <w:t>%。</w:t>
      </w:r>
    </w:p>
    <w:p>
      <w:pPr>
        <w:snapToGrid w:val="0"/>
        <w:spacing w:line="360" w:lineRule="auto"/>
        <w:ind w:firstLine="627" w:firstLineChars="196"/>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完成进度与质量方面，截至2019年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月底，第五批省级新农村示范片按照部署，积极开展“三清三拆三整治”等村庄环境整治。12个省级新农村示范片</w:t>
      </w:r>
      <w:r>
        <w:rPr>
          <w:rFonts w:ascii="仿宋_GB2312" w:hAnsi="仿宋_GB2312" w:eastAsia="仿宋_GB2312" w:cs="仿宋_GB2312"/>
          <w:sz w:val="32"/>
          <w:szCs w:val="32"/>
        </w:rPr>
        <w:t>85.45</w:t>
      </w:r>
      <w:r>
        <w:rPr>
          <w:rFonts w:hint="eastAsia" w:ascii="仿宋_GB2312" w:hAnsi="仿宋_GB2312" w:eastAsia="仿宋_GB2312" w:cs="仿宋_GB2312"/>
          <w:sz w:val="32"/>
          <w:szCs w:val="32"/>
        </w:rPr>
        <w:t>%的自然村完成了村庄人居环境整治并建立长效保洁机制。基础设施建设、环境卫生整治、农村旧房整治、岭南特色和乡村风貌建设、完善农村公共服务体系等工作也在按计划推进过程中。但雷州市、徐闻县、连山县、封开县示范片的环境整治进度未达预期，与“2019年6月底村庄环境卫生明显改善，村容村貌根本改观，村庄环境基本实现干净、整洁、有序”这一目标差距较大。平远县、雷州市、徐闻县、惠来县等4个示范片自然村实现雨污分流并建有污水处理设施覆盖率均为0。</w:t>
      </w:r>
    </w:p>
    <w:p>
      <w:pPr>
        <w:snapToGrid w:val="0"/>
        <w:spacing w:line="360" w:lineRule="auto"/>
        <w:ind w:firstLine="627" w:firstLineChars="196"/>
        <w:outlineLvl w:val="1"/>
        <w:rPr>
          <w:rFonts w:ascii="仿宋_GB2312" w:hAnsi="仿宋_GB2312" w:eastAsia="仿宋_GB2312" w:cs="仿宋_GB2312"/>
          <w:sz w:val="32"/>
          <w:szCs w:val="32"/>
        </w:rPr>
      </w:pPr>
      <w:bookmarkStart w:id="29" w:name="_Toc14535872"/>
      <w:r>
        <w:rPr>
          <w:rFonts w:hint="eastAsia" w:ascii="仿宋_GB2312" w:hAnsi="仿宋_GB2312" w:eastAsia="仿宋_GB2312" w:cs="仿宋_GB2312"/>
          <w:b/>
          <w:bCs/>
          <w:sz w:val="32"/>
          <w:szCs w:val="32"/>
        </w:rPr>
        <w:t>7.效果性。</w:t>
      </w:r>
      <w:bookmarkEnd w:id="29"/>
      <w:r>
        <w:rPr>
          <w:rFonts w:hint="eastAsia" w:ascii="仿宋_GB2312" w:hAnsi="仿宋_GB2312" w:eastAsia="仿宋_GB2312" w:cs="仿宋_GB2312"/>
          <w:sz w:val="32"/>
          <w:szCs w:val="32"/>
        </w:rPr>
        <w:t>该指标主要考察项目资金使用过程中所产生的经济效益、社会效益、生态效益及项目实施是否可持续。指标分值25分，评价得分2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分，得分率</w:t>
      </w:r>
      <w:r>
        <w:rPr>
          <w:rFonts w:ascii="仿宋_GB2312" w:hAnsi="仿宋_GB2312" w:eastAsia="仿宋_GB2312" w:cs="仿宋_GB2312"/>
          <w:sz w:val="32"/>
          <w:szCs w:val="32"/>
        </w:rPr>
        <w:t>88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w:t>
      </w:r>
      <w:bookmarkStart w:id="30" w:name="_Toc14533303"/>
      <w:bookmarkStart w:id="31" w:name="_Toc14533564"/>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经济社会环境效益方面，2018年乡村振兴战略专项资金（推进美丽宜居乡村建设）的投入，为推进新农村示范片</w:t>
      </w:r>
      <w:r>
        <w:rPr>
          <w:rFonts w:ascii="仿宋_GB2312" w:hAnsi="仿宋_GB2312" w:eastAsia="仿宋_GB2312" w:cs="仿宋_GB2312"/>
          <w:sz w:val="32"/>
          <w:szCs w:val="32"/>
        </w:rPr>
        <w:t>建设等方面提供了强有力的资金保障</w:t>
      </w:r>
      <w:r>
        <w:rPr>
          <w:rFonts w:hint="eastAsia" w:ascii="仿宋_GB2312" w:hAnsi="仿宋_GB2312" w:eastAsia="仿宋_GB2312" w:cs="仿宋_GB2312"/>
          <w:sz w:val="32"/>
          <w:szCs w:val="32"/>
        </w:rPr>
        <w:t>，在</w:t>
      </w:r>
      <w:r>
        <w:rPr>
          <w:rFonts w:ascii="仿宋_GB2312" w:hAnsi="仿宋_GB2312" w:eastAsia="仿宋_GB2312" w:cs="仿宋_GB2312"/>
          <w:sz w:val="32"/>
          <w:szCs w:val="32"/>
        </w:rPr>
        <w:t>农村人居环境整治</w:t>
      </w:r>
      <w:r>
        <w:rPr>
          <w:rFonts w:hint="eastAsia" w:ascii="仿宋_GB2312" w:hAnsi="仿宋_GB2312" w:eastAsia="仿宋_GB2312" w:cs="仿宋_GB2312"/>
          <w:sz w:val="32"/>
          <w:szCs w:val="32"/>
        </w:rPr>
        <w:t>、</w:t>
      </w:r>
      <w:r>
        <w:rPr>
          <w:rFonts w:hint="eastAsia" w:ascii="仿宋_GB2312" w:hAnsi="仿宋_GB2312" w:eastAsia="仿宋_GB2312" w:cs="仿宋_GB2312"/>
          <w:snapToGrid w:val="0"/>
          <w:spacing w:val="11"/>
          <w:sz w:val="32"/>
          <w:szCs w:val="32"/>
        </w:rPr>
        <w:t>公共</w:t>
      </w:r>
      <w:r>
        <w:rPr>
          <w:rFonts w:ascii="仿宋_GB2312" w:hAnsi="仿宋_GB2312" w:eastAsia="仿宋_GB2312" w:cs="仿宋_GB2312"/>
          <w:snapToGrid w:val="0"/>
          <w:spacing w:val="11"/>
          <w:sz w:val="32"/>
          <w:szCs w:val="32"/>
        </w:rPr>
        <w:t>基础设施建设</w:t>
      </w:r>
      <w:r>
        <w:rPr>
          <w:rFonts w:hint="eastAsia" w:ascii="仿宋_GB2312" w:hAnsi="仿宋_GB2312" w:eastAsia="仿宋_GB2312" w:cs="仿宋_GB2312"/>
          <w:snapToGrid w:val="0"/>
          <w:spacing w:val="11"/>
          <w:sz w:val="32"/>
          <w:szCs w:val="32"/>
        </w:rPr>
        <w:t>、</w:t>
      </w:r>
      <w:r>
        <w:rPr>
          <w:rFonts w:ascii="仿宋_GB2312" w:hAnsi="仿宋_GB2312" w:eastAsia="仿宋_GB2312" w:cs="仿宋_GB2312"/>
          <w:sz w:val="32"/>
          <w:szCs w:val="32"/>
        </w:rPr>
        <w:t>为全域推进农村人居环境整治建设生态宜居美丽乡村</w:t>
      </w:r>
      <w:r>
        <w:rPr>
          <w:rFonts w:hint="eastAsia" w:ascii="仿宋_GB2312" w:hAnsi="仿宋_GB2312" w:eastAsia="仿宋_GB2312" w:cs="仿宋_GB2312"/>
          <w:sz w:val="32"/>
          <w:szCs w:val="32"/>
        </w:rPr>
        <w:t>发挥</w:t>
      </w:r>
      <w:r>
        <w:rPr>
          <w:rFonts w:ascii="仿宋_GB2312" w:hAnsi="仿宋_GB2312" w:eastAsia="仿宋_GB2312" w:cs="仿宋_GB2312"/>
          <w:sz w:val="32"/>
          <w:szCs w:val="32"/>
        </w:rPr>
        <w:t>引领示范</w:t>
      </w:r>
      <w:r>
        <w:rPr>
          <w:rFonts w:hint="eastAsia" w:ascii="仿宋_GB2312" w:hAnsi="仿宋_GB2312" w:eastAsia="仿宋_GB2312" w:cs="仿宋_GB2312"/>
          <w:sz w:val="32"/>
          <w:szCs w:val="32"/>
        </w:rPr>
        <w:t>作用打下了良好基础。</w:t>
      </w:r>
      <w:r>
        <w:rPr>
          <w:rFonts w:hint="eastAsia" w:ascii="仿宋_GB2312" w:hAnsi="仿宋_GB2312" w:eastAsia="仿宋_GB2312" w:cs="仿宋_GB2312"/>
          <w:snapToGrid w:val="0"/>
          <w:spacing w:val="11"/>
          <w:sz w:val="32"/>
          <w:szCs w:val="32"/>
        </w:rPr>
        <w:t>随着项目建设的继续推进，将逐步实现</w:t>
      </w:r>
      <w:r>
        <w:rPr>
          <w:rFonts w:hint="eastAsia" w:ascii="仿宋_GB2312" w:hAnsi="仿宋_GB2312" w:eastAsia="仿宋_GB2312" w:cs="仿宋_GB2312"/>
          <w:sz w:val="32"/>
          <w:szCs w:val="32"/>
        </w:rPr>
        <w:t>全面推进省级新农村示范片人居环境综合整治，改善生产生活生态条件，挖掘自然资源和人文特色优势，大力推动农业休闲观光、规模化种植养殖、家庭手工业、乡村旅游业等“一村一品”特色产业发展，带动农民特别是贫困户稳定增收，率先实现省级新农村示范片贫困村和贫困人口脱贫，发挥省级新农村示范片的先行先试和示范带动作用的目标。</w:t>
      </w:r>
      <w:bookmarkEnd w:id="30"/>
      <w:bookmarkEnd w:id="31"/>
    </w:p>
    <w:p>
      <w:pPr>
        <w:spacing w:line="360" w:lineRule="auto"/>
        <w:ind w:firstLine="640" w:firstLineChars="200"/>
        <w:rPr>
          <w:rFonts w:ascii="仿宋_GB2312" w:hAnsi="仿宋_GB2312" w:eastAsia="仿宋_GB2312" w:cs="仿宋_GB2312"/>
          <w:snapToGrid w:val="0"/>
          <w:spacing w:val="11"/>
          <w:sz w:val="32"/>
          <w:szCs w:val="32"/>
        </w:rPr>
      </w:pPr>
      <w:r>
        <w:rPr>
          <w:rFonts w:hint="eastAsia" w:ascii="仿宋_GB2312" w:eastAsia="仿宋_GB2312"/>
          <w:sz w:val="32"/>
          <w:szCs w:val="32"/>
        </w:rPr>
        <w:t>可持续发展方面，</w:t>
      </w:r>
      <w:r>
        <w:rPr>
          <w:rFonts w:hint="eastAsia" w:ascii="仿宋_GB2312" w:hAnsi="仿宋_GB2312" w:eastAsia="仿宋_GB2312" w:cs="仿宋_GB2312"/>
          <w:sz w:val="32"/>
          <w:szCs w:val="32"/>
        </w:rPr>
        <w:t>推进美丽宜居乡村建设项目的</w:t>
      </w:r>
      <w:r>
        <w:rPr>
          <w:rFonts w:ascii="仿宋_GB2312" w:eastAsia="仿宋_GB2312"/>
          <w:sz w:val="32"/>
          <w:szCs w:val="32"/>
        </w:rPr>
        <w:t>各项管理规定、经办流程、操作</w:t>
      </w:r>
      <w:r>
        <w:rPr>
          <w:rFonts w:hint="eastAsia" w:ascii="仿宋_GB2312" w:eastAsia="仿宋_GB2312"/>
          <w:sz w:val="32"/>
          <w:szCs w:val="32"/>
        </w:rPr>
        <w:t>比较规范</w:t>
      </w:r>
      <w:r>
        <w:rPr>
          <w:rFonts w:ascii="仿宋_GB2312" w:eastAsia="仿宋_GB2312"/>
          <w:sz w:val="32"/>
          <w:szCs w:val="32"/>
        </w:rPr>
        <w:t>，形成</w:t>
      </w:r>
      <w:r>
        <w:rPr>
          <w:rFonts w:hint="eastAsia" w:ascii="仿宋_GB2312" w:eastAsia="仿宋_GB2312"/>
          <w:sz w:val="32"/>
          <w:szCs w:val="32"/>
        </w:rPr>
        <w:t>了</w:t>
      </w:r>
      <w:r>
        <w:rPr>
          <w:rFonts w:ascii="仿宋_GB2312" w:eastAsia="仿宋_GB2312"/>
          <w:sz w:val="32"/>
          <w:szCs w:val="32"/>
        </w:rPr>
        <w:t>比较完整的组织体系，实现</w:t>
      </w:r>
      <w:r>
        <w:rPr>
          <w:rFonts w:hint="eastAsia" w:ascii="仿宋_GB2312" w:eastAsia="仿宋_GB2312"/>
          <w:sz w:val="32"/>
          <w:szCs w:val="32"/>
        </w:rPr>
        <w:t>了</w:t>
      </w:r>
      <w:r>
        <w:rPr>
          <w:rFonts w:ascii="仿宋_GB2312" w:eastAsia="仿宋_GB2312"/>
          <w:sz w:val="32"/>
          <w:szCs w:val="32"/>
        </w:rPr>
        <w:t>人员机构、政策制度和管理机制的可持续</w:t>
      </w:r>
      <w:r>
        <w:rPr>
          <w:rFonts w:hint="eastAsia" w:ascii="仿宋_GB2312" w:eastAsia="仿宋_GB2312"/>
          <w:sz w:val="32"/>
          <w:szCs w:val="32"/>
        </w:rPr>
        <w:t>。同时，项目实现后增强了新农村示范片的内生动力，</w:t>
      </w:r>
      <w:r>
        <w:rPr>
          <w:rFonts w:ascii="仿宋_GB2312" w:eastAsia="仿宋_GB2312"/>
          <w:sz w:val="32"/>
          <w:szCs w:val="32"/>
        </w:rPr>
        <w:t>对</w:t>
      </w:r>
      <w:r>
        <w:rPr>
          <w:rFonts w:hint="eastAsia" w:ascii="仿宋_GB2312" w:eastAsia="仿宋_GB2312"/>
          <w:sz w:val="32"/>
          <w:szCs w:val="32"/>
        </w:rPr>
        <w:t>改善</w:t>
      </w:r>
      <w:r>
        <w:rPr>
          <w:rFonts w:ascii="仿宋_GB2312" w:eastAsia="仿宋_GB2312"/>
          <w:sz w:val="32"/>
          <w:szCs w:val="32"/>
        </w:rPr>
        <w:t>环境、资源等带来</w:t>
      </w:r>
      <w:r>
        <w:rPr>
          <w:rFonts w:hint="eastAsia" w:ascii="仿宋_GB2312" w:eastAsia="仿宋_GB2312"/>
          <w:sz w:val="32"/>
          <w:szCs w:val="32"/>
        </w:rPr>
        <w:t>积极</w:t>
      </w:r>
      <w:r>
        <w:rPr>
          <w:rFonts w:ascii="仿宋_GB2312" w:eastAsia="仿宋_GB2312"/>
          <w:sz w:val="32"/>
          <w:szCs w:val="32"/>
        </w:rPr>
        <w:t>影响</w:t>
      </w:r>
      <w:r>
        <w:rPr>
          <w:rFonts w:hint="eastAsia" w:ascii="仿宋_GB2312" w:eastAsia="仿宋_GB2312"/>
          <w:sz w:val="32"/>
          <w:szCs w:val="32"/>
        </w:rPr>
        <w:t>，项目具有较高的可持续性</w:t>
      </w:r>
      <w:r>
        <w:rPr>
          <w:rFonts w:ascii="仿宋_GB2312" w:eastAsia="仿宋_GB2312"/>
          <w:sz w:val="32"/>
          <w:szCs w:val="32"/>
        </w:rPr>
        <w:t>。</w:t>
      </w:r>
    </w:p>
    <w:p>
      <w:pPr>
        <w:snapToGrid w:val="0"/>
        <w:spacing w:line="360" w:lineRule="auto"/>
        <w:ind w:firstLine="627" w:firstLineChars="196"/>
        <w:outlineLvl w:val="1"/>
        <w:rPr>
          <w:rFonts w:ascii="仿宋_GB2312" w:hAnsi="仿宋_GB2312" w:eastAsia="仿宋_GB2312" w:cs="仿宋_GB2312"/>
          <w:sz w:val="32"/>
          <w:szCs w:val="32"/>
        </w:rPr>
      </w:pPr>
      <w:bookmarkStart w:id="32" w:name="_Toc14535873"/>
      <w:r>
        <w:rPr>
          <w:rFonts w:ascii="仿宋_GB2312" w:hAnsi="仿宋_GB2312" w:eastAsia="仿宋_GB2312" w:cs="仿宋_GB2312"/>
          <w:b/>
          <w:bCs/>
          <w:sz w:val="32"/>
          <w:szCs w:val="32"/>
        </w:rPr>
        <w:t>8</w:t>
      </w:r>
      <w:r>
        <w:rPr>
          <w:rFonts w:hint="eastAsia" w:ascii="仿宋_GB2312" w:hAnsi="仿宋_GB2312" w:eastAsia="仿宋_GB2312" w:cs="仿宋_GB2312"/>
          <w:b/>
          <w:bCs/>
          <w:sz w:val="32"/>
          <w:szCs w:val="32"/>
        </w:rPr>
        <w:t>.公平性。</w:t>
      </w:r>
      <w:bookmarkEnd w:id="32"/>
      <w:r>
        <w:rPr>
          <w:rFonts w:hint="eastAsia" w:ascii="仿宋_GB2312" w:hAnsi="仿宋_GB2312" w:eastAsia="仿宋_GB2312" w:cs="仿宋_GB2312"/>
          <w:sz w:val="32"/>
          <w:szCs w:val="32"/>
        </w:rPr>
        <w:t>该指标主要是反映服务对象对项目实施效果的满意程度。指标分值5分，评价得分4.</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分，得分率</w:t>
      </w:r>
      <w:r>
        <w:rPr>
          <w:rFonts w:ascii="仿宋_GB2312" w:hAnsi="仿宋_GB2312" w:eastAsia="仿宋_GB2312" w:cs="仿宋_GB2312"/>
          <w:sz w:val="32"/>
          <w:szCs w:val="32"/>
        </w:rPr>
        <w:t>92</w:t>
      </w:r>
      <w:r>
        <w:rPr>
          <w:rFonts w:hint="eastAsia" w:ascii="仿宋_GB2312" w:hAnsi="仿宋_GB2312" w:eastAsia="仿宋_GB2312" w:cs="仿宋_GB2312"/>
          <w:sz w:val="32"/>
          <w:szCs w:val="32"/>
        </w:rPr>
        <w:t>%。</w:t>
      </w:r>
    </w:p>
    <w:p>
      <w:pPr>
        <w:snapToGrid w:val="0"/>
        <w:spacing w:line="360" w:lineRule="auto"/>
        <w:ind w:firstLine="627" w:firstLineChars="196"/>
        <w:outlineLvl w:val="1"/>
        <w:rPr>
          <w:rFonts w:ascii="仿宋_GB2312" w:hAnsi="仿宋_GB2312" w:eastAsia="仿宋_GB2312" w:cs="仿宋_GB2312"/>
          <w:sz w:val="32"/>
          <w:szCs w:val="32"/>
        </w:rPr>
      </w:pPr>
      <w:r>
        <w:rPr>
          <w:rFonts w:ascii="仿宋_GB2312" w:hAnsi="仿宋_GB2312" w:eastAsia="仿宋_GB2312" w:cs="仿宋_GB2312"/>
          <w:sz w:val="32"/>
          <w:szCs w:val="32"/>
        </w:rPr>
        <w:t>项目实施以来，</w:t>
      </w:r>
      <w:r>
        <w:rPr>
          <w:rFonts w:hint="eastAsia" w:ascii="仿宋_GB2312" w:hAnsi="仿宋_GB2312" w:eastAsia="仿宋_GB2312" w:cs="仿宋_GB2312"/>
          <w:sz w:val="32"/>
          <w:szCs w:val="32"/>
        </w:rPr>
        <w:t>推动了村容村貌整治，提高了村镇生活垃圾和污水处理水平，促进了乡村历史文化保护，强化了农村人居环境改善技术政策保障，</w:t>
      </w:r>
      <w:r>
        <w:rPr>
          <w:rFonts w:ascii="仿宋_GB2312" w:hAnsi="仿宋_GB2312" w:eastAsia="仿宋_GB2312" w:cs="仿宋_GB2312"/>
          <w:sz w:val="32"/>
          <w:szCs w:val="32"/>
        </w:rPr>
        <w:t>广泛宣传普及</w:t>
      </w:r>
      <w:r>
        <w:rPr>
          <w:rFonts w:hint="eastAsia" w:ascii="仿宋_GB2312" w:hAnsi="仿宋_GB2312" w:eastAsia="仿宋_GB2312" w:cs="仿宋_GB2312"/>
          <w:sz w:val="32"/>
          <w:szCs w:val="32"/>
        </w:rPr>
        <w:t>农村建设技术知识，培养一批农村建设人员。</w:t>
      </w:r>
      <w:r>
        <w:rPr>
          <w:rFonts w:ascii="仿宋_GB2312" w:hAnsi="仿宋_GB2312" w:eastAsia="仿宋_GB2312" w:cs="仿宋_GB2312"/>
          <w:sz w:val="32"/>
          <w:szCs w:val="32"/>
        </w:rPr>
        <w:t>社会反映</w:t>
      </w:r>
      <w:r>
        <w:rPr>
          <w:rFonts w:hint="eastAsia" w:ascii="仿宋_GB2312" w:hAnsi="仿宋_GB2312" w:eastAsia="仿宋_GB2312" w:cs="仿宋_GB2312"/>
          <w:sz w:val="32"/>
          <w:szCs w:val="32"/>
        </w:rPr>
        <w:t>较</w:t>
      </w:r>
      <w:r>
        <w:rPr>
          <w:rFonts w:ascii="仿宋_GB2312" w:hAnsi="仿宋_GB2312" w:eastAsia="仿宋_GB2312" w:cs="仿宋_GB2312"/>
          <w:sz w:val="32"/>
          <w:szCs w:val="32"/>
        </w:rPr>
        <w:t>好</w:t>
      </w:r>
      <w:r>
        <w:rPr>
          <w:rFonts w:hint="eastAsia" w:ascii="仿宋_GB2312" w:hAnsi="仿宋_GB2312" w:eastAsia="仿宋_GB2312" w:cs="仿宋_GB2312"/>
          <w:sz w:val="32"/>
          <w:szCs w:val="32"/>
        </w:rPr>
        <w:t>，群众满意度较高</w:t>
      </w:r>
      <w:r>
        <w:rPr>
          <w:rFonts w:ascii="仿宋_GB2312" w:hAnsi="仿宋_GB2312" w:eastAsia="仿宋_GB2312" w:cs="仿宋_GB2312"/>
          <w:sz w:val="32"/>
          <w:szCs w:val="32"/>
        </w:rPr>
        <w:t>。</w:t>
      </w:r>
    </w:p>
    <w:bookmarkEnd w:id="11"/>
    <w:bookmarkEnd w:id="12"/>
    <w:p>
      <w:pPr>
        <w:spacing w:line="360" w:lineRule="auto"/>
        <w:ind w:firstLine="640" w:firstLineChars="200"/>
        <w:outlineLvl w:val="0"/>
        <w:rPr>
          <w:rFonts w:ascii="黑体" w:hAnsi="仿宋_GB2312" w:eastAsia="黑体" w:cs="仿宋_GB2312"/>
          <w:bCs/>
          <w:sz w:val="32"/>
          <w:szCs w:val="32"/>
        </w:rPr>
      </w:pPr>
      <w:bookmarkStart w:id="33" w:name="_Toc10758"/>
      <w:bookmarkStart w:id="34" w:name="_Toc1394"/>
      <w:bookmarkStart w:id="35" w:name="_Toc14535874"/>
      <w:r>
        <w:rPr>
          <w:rFonts w:hint="eastAsia" w:ascii="黑体" w:hAnsi="仿宋_GB2312" w:eastAsia="黑体" w:cs="仿宋_GB2312"/>
          <w:bCs/>
          <w:sz w:val="32"/>
          <w:szCs w:val="32"/>
        </w:rPr>
        <w:t>二、</w:t>
      </w:r>
      <w:bookmarkEnd w:id="33"/>
      <w:bookmarkEnd w:id="34"/>
      <w:r>
        <w:rPr>
          <w:rFonts w:hint="eastAsia" w:ascii="黑体" w:hAnsi="仿宋_GB2312" w:eastAsia="黑体" w:cs="仿宋_GB2312"/>
          <w:bCs/>
          <w:sz w:val="32"/>
          <w:szCs w:val="32"/>
        </w:rPr>
        <w:t>绩效表现</w:t>
      </w:r>
      <w:bookmarkEnd w:id="35"/>
    </w:p>
    <w:p>
      <w:pPr>
        <w:snapToGrid w:val="0"/>
        <w:spacing w:line="360" w:lineRule="auto"/>
        <w:ind w:left="630"/>
        <w:outlineLvl w:val="1"/>
        <w:rPr>
          <w:rFonts w:ascii="楷体_GB2312" w:hAnsi="仿宋_GB2312" w:eastAsia="楷体_GB2312" w:cs="仿宋_GB2312"/>
          <w:b/>
          <w:bCs/>
          <w:snapToGrid w:val="0"/>
          <w:spacing w:val="11"/>
          <w:sz w:val="32"/>
          <w:szCs w:val="32"/>
        </w:rPr>
      </w:pPr>
      <w:bookmarkStart w:id="36" w:name="_Toc14535875"/>
      <w:r>
        <w:rPr>
          <w:rFonts w:hint="eastAsia" w:ascii="楷体_GB2312" w:hAnsi="仿宋_GB2312" w:eastAsia="楷体_GB2312" w:cs="仿宋_GB2312"/>
          <w:b/>
          <w:bCs/>
          <w:snapToGrid w:val="0"/>
          <w:spacing w:val="11"/>
          <w:sz w:val="32"/>
          <w:szCs w:val="32"/>
        </w:rPr>
        <w:t>（一）资金使用绩效</w:t>
      </w:r>
      <w:bookmarkEnd w:id="36"/>
    </w:p>
    <w:p>
      <w:pPr>
        <w:snapToGrid w:val="0"/>
        <w:spacing w:line="360" w:lineRule="auto"/>
        <w:ind w:firstLine="640" w:firstLineChars="200"/>
        <w:outlineLvl w:val="1"/>
        <w:rPr>
          <w:rFonts w:ascii="仿宋_GB2312" w:hAnsi="仿宋_GB2312" w:eastAsia="仿宋_GB2312" w:cs="仿宋_GB2312"/>
          <w:b/>
          <w:bCs/>
          <w:snapToGrid w:val="0"/>
          <w:spacing w:val="11"/>
          <w:sz w:val="32"/>
          <w:szCs w:val="32"/>
        </w:rPr>
      </w:pPr>
      <w:bookmarkStart w:id="37" w:name="_Toc14535876"/>
      <w:bookmarkStart w:id="51" w:name="_GoBack"/>
      <w:bookmarkEnd w:id="51"/>
      <w:r>
        <w:rPr>
          <w:rFonts w:hint="eastAsia" w:ascii="仿宋_GB2312" w:hAnsi="仿宋_GB2312" w:eastAsia="仿宋_GB2312" w:cs="仿宋_GB2312"/>
          <w:b/>
          <w:bCs/>
          <w:sz w:val="32"/>
          <w:szCs w:val="32"/>
        </w:rPr>
        <w:t>1.</w:t>
      </w:r>
      <w:r>
        <w:rPr>
          <w:rFonts w:hint="eastAsia" w:ascii="仿宋_GB2312" w:hAnsi="仿宋_GB2312" w:eastAsia="仿宋_GB2312" w:cs="仿宋_GB2312"/>
          <w:b/>
          <w:bCs/>
          <w:snapToGrid w:val="0"/>
          <w:spacing w:val="11"/>
          <w:sz w:val="32"/>
          <w:szCs w:val="32"/>
        </w:rPr>
        <w:t>农村人居环境综合整治取得明显成效。</w:t>
      </w:r>
      <w:bookmarkEnd w:id="37"/>
      <w:r>
        <w:rPr>
          <w:rFonts w:ascii="仿宋_GB2312" w:hAnsi="仿宋_GB2312" w:eastAsia="仿宋_GB2312" w:cs="仿宋_GB2312"/>
          <w:b/>
          <w:bCs/>
          <w:snapToGrid w:val="0"/>
          <w:spacing w:val="11"/>
          <w:sz w:val="32"/>
          <w:szCs w:val="32"/>
        </w:rPr>
        <w:t xml:space="preserve"> </w:t>
      </w:r>
    </w:p>
    <w:p>
      <w:pPr>
        <w:spacing w:line="360" w:lineRule="auto"/>
        <w:ind w:firstLine="684" w:firstLineChars="200"/>
        <w:rPr>
          <w:rFonts w:ascii="仿宋_GB2312" w:eastAsia="仿宋_GB2312"/>
          <w:bCs/>
          <w:snapToGrid w:val="0"/>
          <w:spacing w:val="11"/>
          <w:sz w:val="32"/>
          <w:szCs w:val="32"/>
        </w:rPr>
      </w:pPr>
      <w:r>
        <w:rPr>
          <w:rFonts w:ascii="仿宋_GB2312" w:hAnsi="仿宋_GB2312" w:eastAsia="仿宋_GB2312" w:cs="仿宋_GB2312"/>
          <w:snapToGrid w:val="0"/>
          <w:spacing w:val="11"/>
          <w:sz w:val="32"/>
          <w:szCs w:val="32"/>
        </w:rPr>
        <w:t>各地</w:t>
      </w:r>
      <w:r>
        <w:rPr>
          <w:rFonts w:hint="eastAsia" w:ascii="仿宋_GB2312" w:hAnsi="仿宋_GB2312" w:eastAsia="仿宋_GB2312" w:cs="仿宋_GB2312"/>
          <w:snapToGrid w:val="0"/>
          <w:spacing w:val="11"/>
          <w:sz w:val="32"/>
          <w:szCs w:val="32"/>
        </w:rPr>
        <w:t>将村庄人居环境综合整治作为省级新农村连片示范建设工程的基础性工作，组织发动群众进行 “三清三拆</w:t>
      </w:r>
      <w:r>
        <w:rPr>
          <w:rFonts w:ascii="仿宋_GB2312" w:hAnsi="仿宋_GB2312" w:eastAsia="仿宋_GB2312" w:cs="仿宋_GB2312"/>
          <w:snapToGrid w:val="0"/>
          <w:spacing w:val="11"/>
          <w:sz w:val="32"/>
          <w:szCs w:val="32"/>
        </w:rPr>
        <w:t>三整治</w:t>
      </w:r>
      <w:r>
        <w:rPr>
          <w:rFonts w:hint="eastAsia" w:ascii="仿宋_GB2312" w:hAnsi="仿宋_GB2312" w:eastAsia="仿宋_GB2312" w:cs="仿宋_GB2312"/>
          <w:snapToGrid w:val="0"/>
          <w:spacing w:val="11"/>
          <w:sz w:val="32"/>
          <w:szCs w:val="32"/>
        </w:rPr>
        <w:t>”。按照一户一宅的政策，在征求群众意愿的基础上引导村民对农村无价值的危房、泥砖房、牛栏、猪栏、茅房和杂物房等进行拆除，做到人畜分离，统一规划建设集中圈养或杂物房，或抽疏绿化。对有价值的古村落、古建筑等特色建筑，建档立卡，落实管理责任，制定保护政策。</w:t>
      </w:r>
      <w:r>
        <w:rPr>
          <w:rFonts w:ascii="仿宋_GB2312" w:hAnsi="仿宋_GB2312" w:eastAsia="仿宋_GB2312" w:cs="仿宋_GB2312"/>
          <w:snapToGrid w:val="0"/>
          <w:spacing w:val="11"/>
          <w:sz w:val="32"/>
          <w:szCs w:val="32"/>
        </w:rPr>
        <w:t>截至</w:t>
      </w:r>
      <w:r>
        <w:rPr>
          <w:rFonts w:hint="eastAsia" w:ascii="仿宋_GB2312" w:hAnsi="仿宋_GB2312" w:eastAsia="仿宋_GB2312" w:cs="仿宋_GB2312"/>
          <w:snapToGrid w:val="0"/>
          <w:spacing w:val="11"/>
          <w:sz w:val="32"/>
          <w:szCs w:val="32"/>
        </w:rPr>
        <w:t>2019年6月底</w:t>
      </w:r>
      <w:r>
        <w:rPr>
          <w:rFonts w:ascii="仿宋_GB2312" w:hAnsi="仿宋_GB2312" w:eastAsia="仿宋_GB2312" w:cs="仿宋_GB2312"/>
          <w:snapToGrid w:val="0"/>
          <w:spacing w:val="11"/>
          <w:sz w:val="32"/>
          <w:szCs w:val="32"/>
        </w:rPr>
        <w:t>，</w:t>
      </w:r>
      <w:r>
        <w:rPr>
          <w:rFonts w:ascii="仿宋_GB2312" w:eastAsia="仿宋_GB2312"/>
          <w:bCs/>
          <w:snapToGrid w:val="0"/>
          <w:spacing w:val="11"/>
          <w:sz w:val="32"/>
          <w:szCs w:val="32"/>
        </w:rPr>
        <w:t>第五批</w:t>
      </w:r>
      <w:r>
        <w:rPr>
          <w:rFonts w:hint="eastAsia" w:ascii="仿宋_GB2312" w:eastAsia="仿宋_GB2312"/>
          <w:bCs/>
          <w:snapToGrid w:val="0"/>
          <w:spacing w:val="11"/>
          <w:sz w:val="32"/>
          <w:szCs w:val="32"/>
        </w:rPr>
        <w:t>12个</w:t>
      </w:r>
      <w:r>
        <w:rPr>
          <w:rFonts w:ascii="仿宋_GB2312" w:eastAsia="仿宋_GB2312"/>
          <w:bCs/>
          <w:snapToGrid w:val="0"/>
          <w:spacing w:val="11"/>
          <w:sz w:val="32"/>
          <w:szCs w:val="32"/>
        </w:rPr>
        <w:t>省级新农村示范</w:t>
      </w:r>
      <w:r>
        <w:rPr>
          <w:rFonts w:hint="eastAsia" w:ascii="仿宋_GB2312" w:eastAsia="仿宋_GB2312"/>
          <w:bCs/>
          <w:snapToGrid w:val="0"/>
          <w:spacing w:val="11"/>
          <w:sz w:val="32"/>
          <w:szCs w:val="32"/>
        </w:rPr>
        <w:t>片85.45</w:t>
      </w:r>
      <w:r>
        <w:rPr>
          <w:rFonts w:ascii="仿宋_GB2312" w:eastAsia="仿宋_GB2312"/>
          <w:bCs/>
          <w:snapToGrid w:val="0"/>
          <w:spacing w:val="11"/>
          <w:sz w:val="32"/>
          <w:szCs w:val="32"/>
        </w:rPr>
        <w:t>%</w:t>
      </w:r>
      <w:r>
        <w:rPr>
          <w:rFonts w:hint="eastAsia" w:ascii="仿宋_GB2312" w:eastAsia="仿宋_GB2312"/>
          <w:bCs/>
          <w:snapToGrid w:val="0"/>
          <w:spacing w:val="11"/>
          <w:sz w:val="32"/>
          <w:szCs w:val="32"/>
        </w:rPr>
        <w:t>自然村完成村庄人居环境整治并建立</w:t>
      </w:r>
      <w:r>
        <w:rPr>
          <w:rFonts w:ascii="仿宋_GB2312" w:eastAsia="仿宋_GB2312"/>
          <w:bCs/>
          <w:snapToGrid w:val="0"/>
          <w:spacing w:val="11"/>
          <w:sz w:val="32"/>
          <w:szCs w:val="32"/>
        </w:rPr>
        <w:t>长效保洁机制</w:t>
      </w:r>
      <w:r>
        <w:rPr>
          <w:rFonts w:hint="eastAsia" w:ascii="仿宋_GB2312" w:eastAsia="仿宋_GB2312"/>
          <w:bCs/>
          <w:snapToGrid w:val="0"/>
          <w:spacing w:val="11"/>
          <w:sz w:val="32"/>
          <w:szCs w:val="32"/>
        </w:rPr>
        <w:t>。累计清理积存垃圾</w:t>
      </w:r>
      <w:r>
        <w:rPr>
          <w:rFonts w:hint="eastAsia" w:ascii="宋体" w:hAnsi="宋体" w:cs="宋体"/>
          <w:bCs/>
          <w:snapToGrid w:val="0"/>
          <w:spacing w:val="11"/>
          <w:sz w:val="32"/>
          <w:szCs w:val="32"/>
        </w:rPr>
        <w:t>33.31</w:t>
      </w:r>
      <w:r>
        <w:rPr>
          <w:rFonts w:hint="eastAsia" w:ascii="仿宋_GB2312" w:eastAsia="仿宋_GB2312"/>
          <w:bCs/>
          <w:snapToGrid w:val="0"/>
          <w:spacing w:val="11"/>
          <w:sz w:val="32"/>
          <w:szCs w:val="32"/>
        </w:rPr>
        <w:t>万吨，拆除危旧房</w:t>
      </w:r>
      <w:r>
        <w:rPr>
          <w:rFonts w:hint="eastAsia" w:ascii="宋体" w:hAnsi="宋体" w:cs="宋体"/>
          <w:bCs/>
          <w:snapToGrid w:val="0"/>
          <w:spacing w:val="11"/>
          <w:sz w:val="32"/>
          <w:szCs w:val="32"/>
        </w:rPr>
        <w:t>5.35</w:t>
      </w:r>
      <w:r>
        <w:rPr>
          <w:rFonts w:hint="eastAsia" w:ascii="仿宋_GB2312" w:eastAsia="仿宋_GB2312"/>
          <w:bCs/>
          <w:snapToGrid w:val="0"/>
          <w:spacing w:val="11"/>
          <w:sz w:val="32"/>
          <w:szCs w:val="32"/>
        </w:rPr>
        <w:t>万间、覆盖</w:t>
      </w:r>
      <w:r>
        <w:rPr>
          <w:rFonts w:hint="eastAsia" w:ascii="宋体" w:hAnsi="宋体" w:cs="宋体"/>
          <w:bCs/>
          <w:snapToGrid w:val="0"/>
          <w:spacing w:val="11"/>
          <w:sz w:val="32"/>
          <w:szCs w:val="32"/>
        </w:rPr>
        <w:t>111.7</w:t>
      </w:r>
      <w:r>
        <w:rPr>
          <w:rFonts w:hint="eastAsia" w:ascii="仿宋_GB2312" w:eastAsia="仿宋_GB2312"/>
          <w:bCs/>
          <w:snapToGrid w:val="0"/>
          <w:spacing w:val="11"/>
          <w:sz w:val="32"/>
          <w:szCs w:val="32"/>
        </w:rPr>
        <w:t>万平方米，铺设雨污分流管网</w:t>
      </w:r>
      <w:r>
        <w:rPr>
          <w:rFonts w:hint="eastAsia" w:ascii="宋体" w:hAnsi="宋体" w:cs="宋体"/>
          <w:bCs/>
          <w:snapToGrid w:val="0"/>
          <w:spacing w:val="11"/>
          <w:sz w:val="32"/>
          <w:szCs w:val="32"/>
        </w:rPr>
        <w:t>3145</w:t>
      </w:r>
      <w:r>
        <w:rPr>
          <w:rFonts w:hint="eastAsia" w:ascii="仿宋_GB2312" w:eastAsia="仿宋_GB2312"/>
          <w:bCs/>
          <w:snapToGrid w:val="0"/>
          <w:spacing w:val="11"/>
          <w:sz w:val="32"/>
          <w:szCs w:val="32"/>
        </w:rPr>
        <w:t>公里，建设终端污水处理设施</w:t>
      </w:r>
      <w:r>
        <w:rPr>
          <w:rFonts w:hint="eastAsia" w:ascii="宋体" w:hAnsi="宋体" w:cs="宋体"/>
          <w:bCs/>
          <w:snapToGrid w:val="0"/>
          <w:spacing w:val="11"/>
          <w:sz w:val="32"/>
          <w:szCs w:val="32"/>
        </w:rPr>
        <w:t>653</w:t>
      </w:r>
      <w:r>
        <w:rPr>
          <w:rFonts w:hint="eastAsia" w:ascii="仿宋_GB2312" w:eastAsia="仿宋_GB2312"/>
          <w:bCs/>
          <w:snapToGrid w:val="0"/>
          <w:spacing w:val="11"/>
          <w:sz w:val="32"/>
          <w:szCs w:val="32"/>
        </w:rPr>
        <w:t>座，完成卫生改厕</w:t>
      </w:r>
      <w:r>
        <w:rPr>
          <w:rFonts w:hint="eastAsia" w:ascii="宋体" w:hAnsi="宋体" w:cs="宋体"/>
          <w:bCs/>
          <w:snapToGrid w:val="0"/>
          <w:spacing w:val="11"/>
          <w:sz w:val="32"/>
          <w:szCs w:val="32"/>
        </w:rPr>
        <w:t>7.9</w:t>
      </w:r>
      <w:r>
        <w:rPr>
          <w:rFonts w:hint="eastAsia" w:ascii="仿宋_GB2312" w:eastAsia="仿宋_GB2312"/>
          <w:bCs/>
          <w:snapToGrid w:val="0"/>
          <w:spacing w:val="11"/>
          <w:sz w:val="32"/>
          <w:szCs w:val="32"/>
        </w:rPr>
        <w:t>万间，开展复绿美化</w:t>
      </w:r>
      <w:r>
        <w:rPr>
          <w:rFonts w:hint="eastAsia" w:ascii="宋体" w:hAnsi="宋体" w:cs="宋体"/>
          <w:bCs/>
          <w:snapToGrid w:val="0"/>
          <w:spacing w:val="11"/>
          <w:sz w:val="32"/>
          <w:szCs w:val="32"/>
        </w:rPr>
        <w:t>94.17</w:t>
      </w:r>
      <w:r>
        <w:rPr>
          <w:rFonts w:hint="eastAsia" w:ascii="仿宋_GB2312" w:eastAsia="仿宋_GB2312"/>
          <w:bCs/>
          <w:snapToGrid w:val="0"/>
          <w:spacing w:val="11"/>
          <w:sz w:val="32"/>
          <w:szCs w:val="32"/>
        </w:rPr>
        <w:t>万平方米，改善村庄生活生态环境，扭转脏乱差局面，实现干净整洁有序的村容村貌。</w:t>
      </w:r>
    </w:p>
    <w:p>
      <w:pPr>
        <w:snapToGrid w:val="0"/>
        <w:spacing w:line="360" w:lineRule="auto"/>
        <w:ind w:firstLine="627" w:firstLineChars="196"/>
        <w:outlineLvl w:val="1"/>
        <w:rPr>
          <w:rFonts w:ascii="仿宋_GB2312" w:eastAsia="仿宋_GB2312"/>
          <w:b/>
          <w:bCs/>
          <w:snapToGrid w:val="0"/>
          <w:spacing w:val="11"/>
          <w:sz w:val="32"/>
          <w:szCs w:val="32"/>
        </w:rPr>
      </w:pPr>
      <w:bookmarkStart w:id="38" w:name="_Toc14535877"/>
      <w:r>
        <w:rPr>
          <w:rFonts w:hint="eastAsia" w:ascii="仿宋_GB2312" w:hAnsi="仿宋_GB2312" w:eastAsia="仿宋_GB2312" w:cs="仿宋_GB2312"/>
          <w:b/>
          <w:bCs/>
          <w:sz w:val="32"/>
          <w:szCs w:val="32"/>
        </w:rPr>
        <w:t>2.基本完成</w:t>
      </w:r>
      <w:r>
        <w:rPr>
          <w:rFonts w:hint="eastAsia" w:ascii="仿宋_GB2312" w:eastAsia="仿宋_GB2312"/>
          <w:b/>
          <w:bCs/>
          <w:snapToGrid w:val="0"/>
          <w:spacing w:val="11"/>
          <w:sz w:val="32"/>
          <w:szCs w:val="32"/>
        </w:rPr>
        <w:t>全面覆盖村庄整治规划。</w:t>
      </w:r>
      <w:bookmarkEnd w:id="38"/>
    </w:p>
    <w:p>
      <w:pPr>
        <w:spacing w:line="360" w:lineRule="auto"/>
        <w:ind w:firstLine="684" w:firstLineChars="200"/>
        <w:rPr>
          <w:rFonts w:ascii="仿宋_GB2312" w:eastAsia="仿宋_GB2312"/>
          <w:snapToGrid w:val="0"/>
          <w:spacing w:val="11"/>
          <w:sz w:val="32"/>
          <w:szCs w:val="32"/>
        </w:rPr>
      </w:pPr>
      <w:r>
        <w:rPr>
          <w:rFonts w:hint="eastAsia" w:ascii="仿宋_GB2312" w:eastAsia="仿宋_GB2312"/>
          <w:snapToGrid w:val="0"/>
          <w:spacing w:val="11"/>
          <w:sz w:val="32"/>
          <w:szCs w:val="32"/>
        </w:rPr>
        <w:t>各地按照高起点、高标准、适度超前原则，编制连片示范工程总体规划和实施方案，示范片整体规划围绕五个主体建设村落，科学规划连线连片，配套绿道、标识、景观点、驿站和公路绿化美化，突出连片效果。针对当地村庄规划滞后、规划设计水平不高、村庄布局无序等问题，着力编制村庄建设和整体规划，突出村庄生活、生产、生态功能，明确整治重点。加强对新建农房或拆旧建新的规划指引，免费提供住宅设计标准图，引导农民住宅体现乡村风貌和特色，广泛征求群众意见，确保有效执行和落到实处。</w:t>
      </w:r>
      <w:bookmarkStart w:id="39" w:name="_Toc14535878"/>
    </w:p>
    <w:p>
      <w:pPr>
        <w:spacing w:line="360" w:lineRule="auto"/>
        <w:ind w:firstLine="684" w:firstLineChars="200"/>
        <w:rPr>
          <w:rFonts w:ascii="仿宋_GB2312" w:eastAsia="仿宋_GB2312"/>
          <w:b/>
          <w:bCs/>
          <w:snapToGrid w:val="0"/>
          <w:spacing w:val="11"/>
          <w:sz w:val="32"/>
          <w:szCs w:val="32"/>
        </w:rPr>
      </w:pPr>
      <w:r>
        <w:rPr>
          <w:rFonts w:hint="eastAsia" w:ascii="仿宋_GB2312" w:eastAsia="仿宋_GB2312"/>
          <w:b/>
          <w:bCs/>
          <w:snapToGrid w:val="0"/>
          <w:spacing w:val="11"/>
          <w:sz w:val="32"/>
          <w:szCs w:val="32"/>
        </w:rPr>
        <w:t>3.优先解决民生突出问题。</w:t>
      </w:r>
      <w:bookmarkEnd w:id="39"/>
    </w:p>
    <w:p>
      <w:pPr>
        <w:spacing w:line="360" w:lineRule="auto"/>
        <w:ind w:firstLine="684" w:firstLineChars="200"/>
        <w:rPr>
          <w:rFonts w:ascii="仿宋_GB2312" w:eastAsia="仿宋_GB2312"/>
          <w:snapToGrid w:val="0"/>
          <w:spacing w:val="11"/>
          <w:sz w:val="32"/>
          <w:szCs w:val="32"/>
        </w:rPr>
      </w:pPr>
      <w:r>
        <w:rPr>
          <w:rFonts w:hint="eastAsia" w:ascii="仿宋_GB2312" w:eastAsia="仿宋_GB2312"/>
          <w:snapToGrid w:val="0"/>
          <w:spacing w:val="11"/>
          <w:sz w:val="32"/>
          <w:szCs w:val="32"/>
        </w:rPr>
        <w:t>各地将改善农村生产生活生态条件作为连片示范工程建设的重要内容，突出优先解决群众最迫切需要的村（巷）道硬底化、村村通自来水、村庄垃圾污水治理、改厕和民居外立面改造及贫困户的基本生产生活等民生问题。组织工作组进村入户摸底掌握民生问题，认真梳理和造册登记，按照轻重缓急原则和资金使用要求进行优先解决。</w:t>
      </w:r>
      <w:bookmarkStart w:id="40" w:name="_Toc10724"/>
      <w:bookmarkStart w:id="41" w:name="_Toc14535879"/>
    </w:p>
    <w:p>
      <w:pPr>
        <w:spacing w:line="360" w:lineRule="auto"/>
        <w:ind w:firstLine="684" w:firstLineChars="200"/>
        <w:rPr>
          <w:rFonts w:ascii="楷体_GB2312" w:hAnsi="仿宋_GB2312" w:eastAsia="楷体_GB2312" w:cs="仿宋_GB2312"/>
          <w:b/>
          <w:bCs/>
          <w:snapToGrid w:val="0"/>
          <w:spacing w:val="11"/>
          <w:sz w:val="32"/>
          <w:szCs w:val="32"/>
        </w:rPr>
      </w:pPr>
      <w:r>
        <w:rPr>
          <w:rFonts w:hint="eastAsia" w:ascii="楷体_GB2312" w:hAnsi="仿宋_GB2312" w:eastAsia="楷体_GB2312" w:cs="仿宋_GB2312"/>
          <w:b/>
          <w:bCs/>
          <w:snapToGrid w:val="0"/>
          <w:spacing w:val="11"/>
          <w:sz w:val="32"/>
          <w:szCs w:val="32"/>
        </w:rPr>
        <w:t>（二）存在问题</w:t>
      </w:r>
      <w:bookmarkEnd w:id="40"/>
      <w:bookmarkEnd w:id="41"/>
    </w:p>
    <w:p>
      <w:pPr>
        <w:spacing w:line="360" w:lineRule="auto"/>
        <w:ind w:firstLine="684" w:firstLineChars="200"/>
        <w:rPr>
          <w:rFonts w:ascii="仿宋_GB2312" w:eastAsia="仿宋_GB2312"/>
          <w:snapToGrid w:val="0"/>
          <w:spacing w:val="11"/>
          <w:sz w:val="32"/>
          <w:szCs w:val="32"/>
        </w:rPr>
      </w:pPr>
      <w:bookmarkStart w:id="42" w:name="_Toc6199"/>
      <w:bookmarkStart w:id="43" w:name="_Toc29818"/>
      <w:r>
        <w:rPr>
          <w:rFonts w:hint="eastAsia" w:ascii="仿宋_GB2312" w:eastAsia="仿宋_GB2312"/>
          <w:bCs/>
          <w:snapToGrid w:val="0"/>
          <w:spacing w:val="11"/>
          <w:sz w:val="32"/>
          <w:szCs w:val="32"/>
        </w:rPr>
        <w:t>省级</w:t>
      </w:r>
      <w:r>
        <w:rPr>
          <w:rFonts w:hint="eastAsia" w:ascii="仿宋_GB2312" w:eastAsia="仿宋_GB2312"/>
          <w:snapToGrid w:val="0"/>
          <w:spacing w:val="11"/>
          <w:sz w:val="32"/>
          <w:szCs w:val="32"/>
        </w:rPr>
        <w:t>新农村示范片建设工作虽然取得较大成效，但仍存在一些不可忽视的问题。</w:t>
      </w:r>
      <w:r>
        <w:rPr>
          <w:rFonts w:hint="eastAsia" w:ascii="仿宋_GB2312" w:eastAsia="仿宋_GB2312"/>
          <w:b/>
          <w:bCs/>
          <w:snapToGrid w:val="0"/>
          <w:spacing w:val="11"/>
          <w:sz w:val="32"/>
          <w:szCs w:val="32"/>
        </w:rPr>
        <w:t>一是</w:t>
      </w:r>
      <w:r>
        <w:rPr>
          <w:rFonts w:hint="eastAsia" w:ascii="仿宋_GB2312" w:eastAsia="仿宋_GB2312"/>
          <w:snapToGrid w:val="0"/>
          <w:spacing w:val="11"/>
          <w:sz w:val="32"/>
          <w:szCs w:val="32"/>
        </w:rPr>
        <w:t>个别</w:t>
      </w:r>
      <w:r>
        <w:rPr>
          <w:rFonts w:ascii="仿宋_GB2312" w:eastAsia="仿宋_GB2312"/>
          <w:snapToGrid w:val="0"/>
          <w:spacing w:val="11"/>
          <w:sz w:val="32"/>
          <w:szCs w:val="32"/>
        </w:rPr>
        <w:t>示范片</w:t>
      </w:r>
      <w:r>
        <w:rPr>
          <w:rFonts w:hint="eastAsia" w:ascii="仿宋_GB2312" w:eastAsia="仿宋_GB2312"/>
          <w:snapToGrid w:val="0"/>
          <w:spacing w:val="11"/>
          <w:sz w:val="32"/>
          <w:szCs w:val="32"/>
        </w:rPr>
        <w:t>环境</w:t>
      </w:r>
      <w:r>
        <w:rPr>
          <w:rFonts w:ascii="仿宋_GB2312" w:eastAsia="仿宋_GB2312"/>
          <w:snapToGrid w:val="0"/>
          <w:spacing w:val="11"/>
          <w:sz w:val="32"/>
          <w:szCs w:val="32"/>
        </w:rPr>
        <w:t>整治</w:t>
      </w:r>
      <w:r>
        <w:rPr>
          <w:rFonts w:hint="eastAsia" w:ascii="仿宋_GB2312" w:eastAsia="仿宋_GB2312"/>
          <w:snapToGrid w:val="0"/>
          <w:spacing w:val="11"/>
          <w:sz w:val="32"/>
          <w:szCs w:val="32"/>
        </w:rPr>
        <w:t>工作较为缓慢。</w:t>
      </w:r>
      <w:r>
        <w:rPr>
          <w:rFonts w:hint="eastAsia" w:ascii="仿宋_GB2312" w:hAnsi="仿宋_GB2312" w:eastAsia="仿宋_GB2312" w:cs="仿宋_GB2312"/>
          <w:sz w:val="32"/>
          <w:szCs w:val="32"/>
        </w:rPr>
        <w:t>截至2019年6月底</w:t>
      </w:r>
      <w:r>
        <w:rPr>
          <w:rFonts w:ascii="仿宋_GB2312" w:hAnsi="仿宋_GB2312" w:eastAsia="仿宋_GB2312" w:cs="仿宋_GB2312"/>
          <w:sz w:val="32"/>
          <w:szCs w:val="32"/>
        </w:rPr>
        <w:t>，第五批</w:t>
      </w:r>
      <w:r>
        <w:rPr>
          <w:rFonts w:hint="eastAsia" w:ascii="仿宋_GB2312" w:hAnsi="仿宋_GB2312" w:eastAsia="仿宋_GB2312" w:cs="仿宋_GB2312"/>
          <w:sz w:val="32"/>
          <w:szCs w:val="32"/>
        </w:rPr>
        <w:t>示范片的雷州</w:t>
      </w:r>
      <w:r>
        <w:rPr>
          <w:rFonts w:hint="eastAsia" w:ascii="仿宋_GB2312" w:hAnsi="仿宋_GB2312" w:eastAsia="仿宋_GB2312" w:cs="仿宋_GB2312"/>
          <w:bCs/>
          <w:sz w:val="32"/>
          <w:szCs w:val="32"/>
        </w:rPr>
        <w:t>市环境</w:t>
      </w:r>
      <w:r>
        <w:rPr>
          <w:rFonts w:ascii="仿宋_GB2312" w:hAnsi="仿宋_GB2312" w:eastAsia="仿宋_GB2312" w:cs="仿宋_GB2312"/>
          <w:bCs/>
          <w:sz w:val="32"/>
          <w:szCs w:val="32"/>
        </w:rPr>
        <w:t>整治</w:t>
      </w:r>
      <w:r>
        <w:rPr>
          <w:rFonts w:hint="eastAsia" w:ascii="仿宋_GB2312" w:hAnsi="仿宋_GB2312" w:eastAsia="仿宋_GB2312" w:cs="仿宋_GB2312"/>
          <w:bCs/>
          <w:sz w:val="32"/>
          <w:szCs w:val="32"/>
        </w:rPr>
        <w:t>数据</w:t>
      </w:r>
      <w:r>
        <w:rPr>
          <w:rFonts w:ascii="仿宋_GB2312" w:hAnsi="仿宋_GB2312" w:eastAsia="仿宋_GB2312" w:cs="仿宋_GB2312"/>
          <w:bCs/>
          <w:sz w:val="32"/>
          <w:szCs w:val="32"/>
        </w:rPr>
        <w:t>为</w:t>
      </w:r>
      <w:r>
        <w:rPr>
          <w:rFonts w:hint="eastAsia" w:ascii="仿宋_GB2312" w:hAnsi="仿宋_GB2312" w:eastAsia="仿宋_GB2312" w:cs="仿宋_GB2312"/>
          <w:bCs/>
          <w:sz w:val="32"/>
          <w:szCs w:val="32"/>
        </w:rPr>
        <w:t>0，与“201</w:t>
      </w:r>
      <w:r>
        <w:rPr>
          <w:rFonts w:ascii="仿宋_GB2312" w:hAnsi="仿宋_GB2312" w:eastAsia="仿宋_GB2312" w:cs="仿宋_GB2312"/>
          <w:bCs/>
          <w:sz w:val="32"/>
          <w:szCs w:val="32"/>
        </w:rPr>
        <w:t>9</w:t>
      </w:r>
      <w:r>
        <w:rPr>
          <w:rFonts w:hint="eastAsia" w:ascii="仿宋_GB2312" w:hAnsi="仿宋_GB2312" w:eastAsia="仿宋_GB2312" w:cs="仿宋_GB2312"/>
          <w:bCs/>
          <w:sz w:val="32"/>
          <w:szCs w:val="32"/>
        </w:rPr>
        <w:t>年6月底村庄</w:t>
      </w:r>
      <w:r>
        <w:rPr>
          <w:rFonts w:ascii="仿宋_GB2312" w:hAnsi="仿宋_GB2312" w:eastAsia="仿宋_GB2312" w:cs="仿宋_GB2312"/>
          <w:bCs/>
          <w:sz w:val="32"/>
          <w:szCs w:val="32"/>
        </w:rPr>
        <w:t>环境卫生明显改善</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村容村貌根本改观</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村庄环境基本实现干净、整洁、有序</w:t>
      </w:r>
      <w:r>
        <w:rPr>
          <w:rFonts w:hint="eastAsia" w:ascii="仿宋_GB2312" w:hAnsi="仿宋_GB2312" w:eastAsia="仿宋_GB2312" w:cs="仿宋_GB2312"/>
          <w:bCs/>
          <w:sz w:val="32"/>
          <w:szCs w:val="32"/>
        </w:rPr>
        <w:t>”的</w:t>
      </w:r>
      <w:r>
        <w:rPr>
          <w:rFonts w:ascii="仿宋_GB2312" w:hAnsi="仿宋_GB2312" w:eastAsia="仿宋_GB2312" w:cs="仿宋_GB2312"/>
          <w:bCs/>
          <w:sz w:val="32"/>
          <w:szCs w:val="32"/>
        </w:rPr>
        <w:t>目标</w:t>
      </w:r>
      <w:r>
        <w:rPr>
          <w:rFonts w:hint="eastAsia" w:ascii="仿宋_GB2312" w:hAnsi="仿宋_GB2312" w:eastAsia="仿宋_GB2312" w:cs="仿宋_GB2312"/>
          <w:bCs/>
          <w:sz w:val="32"/>
          <w:szCs w:val="32"/>
        </w:rPr>
        <w:t>有一定差距</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主要原因是</w:t>
      </w:r>
      <w:r>
        <w:rPr>
          <w:rFonts w:hint="eastAsia" w:ascii="仿宋_GB2312" w:eastAsia="仿宋_GB2312"/>
          <w:sz w:val="32"/>
          <w:szCs w:val="32"/>
        </w:rPr>
        <w:t>前期规划工作较为复杂，</w:t>
      </w:r>
      <w:r>
        <w:rPr>
          <w:rFonts w:ascii="仿宋_GB2312" w:hAnsi="仿宋_GB2312" w:eastAsia="仿宋_GB2312" w:cs="仿宋_GB2312"/>
          <w:snapToGrid w:val="0"/>
          <w:spacing w:val="11"/>
          <w:sz w:val="32"/>
          <w:szCs w:val="32"/>
        </w:rPr>
        <w:t>关于推进省级新农村连片示范建设工程</w:t>
      </w:r>
      <w:r>
        <w:rPr>
          <w:rFonts w:hint="eastAsia" w:ascii="仿宋_GB2312" w:eastAsia="仿宋_GB2312"/>
          <w:snapToGrid w:val="0"/>
          <w:spacing w:val="11"/>
          <w:sz w:val="32"/>
          <w:szCs w:val="32"/>
        </w:rPr>
        <w:t>各地高度重视发挥规划引领作用，</w:t>
      </w:r>
      <w:r>
        <w:rPr>
          <w:rFonts w:hint="eastAsia" w:ascii="仿宋_GB2312" w:hAnsi="仿宋_GB2312" w:eastAsia="仿宋_GB2312" w:cs="仿宋_GB2312"/>
          <w:sz w:val="32"/>
          <w:szCs w:val="32"/>
        </w:rPr>
        <w:t>坚持先规划后建设、不规划不建设、不设计不施工的原则。又要兼顾尊重农民意愿，调动农民参与建设。</w:t>
      </w:r>
      <w:r>
        <w:rPr>
          <w:rFonts w:hint="eastAsia" w:ascii="仿宋_GB2312" w:eastAsia="仿宋_GB2312"/>
          <w:snapToGrid w:val="0"/>
          <w:spacing w:val="11"/>
          <w:sz w:val="32"/>
          <w:szCs w:val="32"/>
        </w:rPr>
        <w:t>因此，乡村规划编制耗费较多前期工作时间</w:t>
      </w:r>
      <w:r>
        <w:rPr>
          <w:rFonts w:hint="eastAsia" w:ascii="仿宋_GB2312" w:eastAsia="仿宋_GB2312"/>
          <w:sz w:val="32"/>
          <w:szCs w:val="32"/>
        </w:rPr>
        <w:t>。</w:t>
      </w:r>
      <w:r>
        <w:rPr>
          <w:rFonts w:hint="eastAsia" w:ascii="仿宋_GB2312" w:hAnsi="仿宋_GB2312" w:eastAsia="仿宋_GB2312" w:cs="仿宋_GB2312"/>
          <w:b/>
          <w:bCs/>
          <w:sz w:val="32"/>
          <w:szCs w:val="32"/>
        </w:rPr>
        <w:t>二是</w:t>
      </w:r>
      <w:r>
        <w:rPr>
          <w:rFonts w:ascii="仿宋_GB2312" w:hAnsi="仿宋_GB2312" w:eastAsia="仿宋_GB2312" w:cs="仿宋_GB2312"/>
          <w:sz w:val="32"/>
          <w:szCs w:val="32"/>
        </w:rPr>
        <w:t>雨污分流和污水处理设施建设进展</w:t>
      </w:r>
      <w:r>
        <w:rPr>
          <w:rFonts w:hint="eastAsia" w:ascii="仿宋_GB2312" w:hAnsi="仿宋_GB2312" w:eastAsia="仿宋_GB2312" w:cs="仿宋_GB2312"/>
          <w:sz w:val="32"/>
          <w:szCs w:val="32"/>
        </w:rPr>
        <w:t>滞后。截至2019年6月</w:t>
      </w:r>
      <w:r>
        <w:rPr>
          <w:rFonts w:ascii="仿宋_GB2312" w:hAnsi="仿宋_GB2312" w:eastAsia="仿宋_GB2312" w:cs="仿宋_GB2312"/>
          <w:sz w:val="32"/>
          <w:szCs w:val="32"/>
        </w:rPr>
        <w:t>底，</w:t>
      </w:r>
      <w:r>
        <w:rPr>
          <w:rFonts w:hint="eastAsia" w:ascii="仿宋_GB2312" w:hAnsi="仿宋_GB2312" w:eastAsia="仿宋_GB2312" w:cs="仿宋_GB2312"/>
          <w:sz w:val="32"/>
          <w:szCs w:val="32"/>
        </w:rPr>
        <w:t>第</w:t>
      </w:r>
      <w:r>
        <w:rPr>
          <w:rFonts w:ascii="仿宋_GB2312" w:hAnsi="仿宋_GB2312" w:eastAsia="仿宋_GB2312" w:cs="仿宋_GB2312"/>
          <w:sz w:val="32"/>
          <w:szCs w:val="32"/>
        </w:rPr>
        <w:t>五批</w:t>
      </w:r>
      <w:r>
        <w:rPr>
          <w:rFonts w:hint="eastAsia" w:ascii="仿宋_GB2312" w:hAnsi="仿宋_GB2312" w:eastAsia="仿宋_GB2312" w:cs="仿宋_GB2312"/>
          <w:sz w:val="32"/>
          <w:szCs w:val="32"/>
        </w:rPr>
        <w:t>省级</w:t>
      </w:r>
      <w:r>
        <w:rPr>
          <w:rFonts w:ascii="仿宋_GB2312" w:hAnsi="仿宋_GB2312" w:eastAsia="仿宋_GB2312" w:cs="仿宋_GB2312"/>
          <w:sz w:val="32"/>
          <w:szCs w:val="32"/>
        </w:rPr>
        <w:t>示范片</w:t>
      </w:r>
      <w:r>
        <w:rPr>
          <w:rFonts w:hint="eastAsia" w:ascii="仿宋_GB2312" w:hAnsi="仿宋_GB2312" w:eastAsia="仿宋_GB2312" w:cs="仿宋_GB2312"/>
          <w:sz w:val="32"/>
          <w:szCs w:val="32"/>
        </w:rPr>
        <w:t>自然村</w:t>
      </w:r>
      <w:r>
        <w:rPr>
          <w:rFonts w:ascii="仿宋_GB2312" w:hAnsi="仿宋_GB2312" w:eastAsia="仿宋_GB2312" w:cs="仿宋_GB2312"/>
          <w:sz w:val="32"/>
          <w:szCs w:val="32"/>
        </w:rPr>
        <w:t>实现雨污分流并建有污</w:t>
      </w:r>
      <w:r>
        <w:rPr>
          <w:rFonts w:ascii="仿宋_GB2312" w:hAnsi="仿宋_GB2312" w:eastAsia="仿宋_GB2312" w:cs="仿宋_GB2312"/>
          <w:bCs/>
          <w:sz w:val="32"/>
          <w:szCs w:val="32"/>
        </w:rPr>
        <w:t>水处理设施覆盖率</w:t>
      </w:r>
      <w:r>
        <w:rPr>
          <w:rFonts w:hint="eastAsia" w:ascii="仿宋_GB2312" w:hAnsi="仿宋_GB2312" w:eastAsia="仿宋_GB2312" w:cs="仿宋_GB2312"/>
          <w:bCs/>
          <w:sz w:val="32"/>
          <w:szCs w:val="32"/>
        </w:rPr>
        <w:t>为21.45</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其中，</w:t>
      </w:r>
      <w:r>
        <w:rPr>
          <w:rFonts w:ascii="仿宋_GB2312" w:hAnsi="仿宋_GB2312" w:eastAsia="仿宋_GB2312" w:cs="仿宋_GB2312"/>
          <w:bCs/>
          <w:sz w:val="32"/>
          <w:szCs w:val="32"/>
        </w:rPr>
        <w:t>平远县</w:t>
      </w:r>
      <w:r>
        <w:rPr>
          <w:rFonts w:hint="eastAsia" w:ascii="仿宋_GB2312" w:hAnsi="仿宋_GB2312" w:eastAsia="仿宋_GB2312" w:cs="仿宋_GB2312"/>
          <w:bCs/>
          <w:sz w:val="32"/>
          <w:szCs w:val="32"/>
        </w:rPr>
        <w:t>、雷州市、徐闻县、</w:t>
      </w:r>
      <w:r>
        <w:rPr>
          <w:rFonts w:hint="eastAsia" w:ascii="仿宋_GB2312" w:eastAsia="仿宋_GB2312"/>
          <w:snapToGrid w:val="0"/>
          <w:spacing w:val="11"/>
          <w:sz w:val="32"/>
          <w:szCs w:val="32"/>
        </w:rPr>
        <w:t>惠来县等4个</w:t>
      </w:r>
      <w:r>
        <w:rPr>
          <w:rFonts w:ascii="仿宋_GB2312" w:eastAsia="仿宋_GB2312"/>
          <w:snapToGrid w:val="0"/>
          <w:spacing w:val="11"/>
          <w:sz w:val="32"/>
          <w:szCs w:val="32"/>
        </w:rPr>
        <w:t>县</w:t>
      </w:r>
      <w:r>
        <w:rPr>
          <w:rFonts w:hint="eastAsia" w:ascii="仿宋_GB2312" w:eastAsia="仿宋_GB2312"/>
          <w:snapToGrid w:val="0"/>
          <w:spacing w:val="11"/>
          <w:sz w:val="32"/>
          <w:szCs w:val="32"/>
        </w:rPr>
        <w:t>示范片的</w:t>
      </w:r>
      <w:r>
        <w:rPr>
          <w:rFonts w:hint="eastAsia" w:ascii="仿宋_GB2312" w:hAnsi="仿宋_GB2312" w:eastAsia="仿宋_GB2312" w:cs="仿宋_GB2312"/>
          <w:bCs/>
          <w:sz w:val="32"/>
          <w:szCs w:val="32"/>
        </w:rPr>
        <w:t>自然村</w:t>
      </w:r>
      <w:r>
        <w:rPr>
          <w:rFonts w:ascii="仿宋_GB2312" w:hAnsi="仿宋_GB2312" w:eastAsia="仿宋_GB2312" w:cs="仿宋_GB2312"/>
          <w:bCs/>
          <w:sz w:val="32"/>
          <w:szCs w:val="32"/>
        </w:rPr>
        <w:t>实现雨污分流并建有污水处理设施覆盖率</w:t>
      </w:r>
      <w:r>
        <w:rPr>
          <w:rFonts w:hint="eastAsia" w:ascii="仿宋_GB2312" w:hAnsi="仿宋_GB2312" w:eastAsia="仿宋_GB2312" w:cs="仿宋_GB2312"/>
          <w:bCs/>
          <w:sz w:val="32"/>
          <w:szCs w:val="32"/>
        </w:rPr>
        <w:t>均为0。主要原因是</w:t>
      </w:r>
      <w:r>
        <w:rPr>
          <w:rFonts w:hint="eastAsia" w:ascii="仿宋_GB2312" w:eastAsia="仿宋_GB2312"/>
          <w:sz w:val="32"/>
          <w:szCs w:val="32"/>
        </w:rPr>
        <w:t>项目周期长，根据</w:t>
      </w:r>
      <w:r>
        <w:rPr>
          <w:rFonts w:ascii="仿宋_GB2312" w:hAnsi="仿宋_GB2312" w:eastAsia="仿宋_GB2312" w:cs="仿宋_GB2312"/>
          <w:snapToGrid w:val="0"/>
          <w:spacing w:val="11"/>
          <w:sz w:val="32"/>
          <w:szCs w:val="32"/>
        </w:rPr>
        <w:t>省委、省政府关于推进省级新农村连片示范建设工程的决策部署，</w:t>
      </w:r>
      <w:r>
        <w:rPr>
          <w:rFonts w:hint="eastAsia" w:ascii="仿宋_GB2312" w:eastAsia="仿宋_GB2312"/>
          <w:snapToGrid w:val="0"/>
          <w:spacing w:val="11"/>
          <w:sz w:val="32"/>
          <w:szCs w:val="32"/>
        </w:rPr>
        <w:t>围绕连片示范建设工程“一年初见成效、两年基本完成、三年巩固提升”的目标和实施方案要求，</w:t>
      </w:r>
      <w:r>
        <w:rPr>
          <w:rFonts w:ascii="仿宋_GB2312" w:eastAsia="仿宋_GB2312"/>
          <w:bCs/>
          <w:snapToGrid w:val="0"/>
          <w:spacing w:val="11"/>
          <w:sz w:val="32"/>
          <w:szCs w:val="32"/>
        </w:rPr>
        <w:t>第五批</w:t>
      </w:r>
      <w:r>
        <w:rPr>
          <w:rFonts w:hint="eastAsia" w:ascii="仿宋_GB2312" w:eastAsia="仿宋_GB2312"/>
          <w:bCs/>
          <w:snapToGrid w:val="0"/>
          <w:spacing w:val="11"/>
          <w:sz w:val="32"/>
          <w:szCs w:val="32"/>
        </w:rPr>
        <w:t>12个</w:t>
      </w:r>
      <w:r>
        <w:rPr>
          <w:rFonts w:ascii="仿宋_GB2312" w:eastAsia="仿宋_GB2312"/>
          <w:bCs/>
          <w:snapToGrid w:val="0"/>
          <w:spacing w:val="11"/>
          <w:sz w:val="32"/>
          <w:szCs w:val="32"/>
        </w:rPr>
        <w:t>省级新农村示范</w:t>
      </w:r>
      <w:r>
        <w:rPr>
          <w:rFonts w:hint="eastAsia" w:ascii="仿宋_GB2312" w:eastAsia="仿宋_GB2312"/>
          <w:bCs/>
          <w:snapToGrid w:val="0"/>
          <w:spacing w:val="11"/>
          <w:sz w:val="32"/>
          <w:szCs w:val="32"/>
        </w:rPr>
        <w:t>片于2</w:t>
      </w:r>
      <w:r>
        <w:rPr>
          <w:rFonts w:ascii="仿宋_GB2312" w:eastAsia="仿宋_GB2312"/>
          <w:bCs/>
          <w:snapToGrid w:val="0"/>
          <w:spacing w:val="11"/>
          <w:sz w:val="32"/>
          <w:szCs w:val="32"/>
        </w:rPr>
        <w:t>019</w:t>
      </w:r>
      <w:r>
        <w:rPr>
          <w:rFonts w:hint="eastAsia" w:ascii="仿宋_GB2312" w:eastAsia="仿宋_GB2312"/>
          <w:bCs/>
          <w:snapToGrid w:val="0"/>
          <w:spacing w:val="11"/>
          <w:sz w:val="32"/>
          <w:szCs w:val="32"/>
        </w:rPr>
        <w:t>年开始启动。</w:t>
      </w:r>
      <w:r>
        <w:rPr>
          <w:rFonts w:hint="eastAsia" w:ascii="仿宋_GB2312" w:hAnsi="仿宋" w:eastAsia="仿宋_GB2312"/>
          <w:b/>
          <w:spacing w:val="11"/>
          <w:sz w:val="32"/>
          <w:szCs w:val="32"/>
        </w:rPr>
        <w:t>三是</w:t>
      </w:r>
      <w:r>
        <w:rPr>
          <w:rFonts w:hint="eastAsia" w:ascii="仿宋_GB2312" w:eastAsia="仿宋_GB2312"/>
          <w:bCs/>
          <w:snapToGrid w:val="0"/>
          <w:spacing w:val="11"/>
          <w:sz w:val="32"/>
          <w:szCs w:val="32"/>
        </w:rPr>
        <w:t>专项</w:t>
      </w:r>
      <w:r>
        <w:rPr>
          <w:rFonts w:ascii="仿宋_GB2312" w:eastAsia="仿宋_GB2312"/>
          <w:bCs/>
          <w:snapToGrid w:val="0"/>
          <w:spacing w:val="11"/>
          <w:sz w:val="32"/>
          <w:szCs w:val="32"/>
        </w:rPr>
        <w:t>资金</w:t>
      </w:r>
      <w:r>
        <w:rPr>
          <w:rFonts w:hint="eastAsia" w:ascii="仿宋_GB2312" w:eastAsia="仿宋_GB2312"/>
          <w:bCs/>
          <w:snapToGrid w:val="0"/>
          <w:spacing w:val="11"/>
          <w:sz w:val="32"/>
          <w:szCs w:val="32"/>
        </w:rPr>
        <w:t>使用支出进度不理想。据统计</w:t>
      </w:r>
      <w:r>
        <w:rPr>
          <w:rFonts w:ascii="仿宋_GB2312" w:eastAsia="仿宋_GB2312"/>
          <w:bCs/>
          <w:snapToGrid w:val="0"/>
          <w:spacing w:val="11"/>
          <w:sz w:val="32"/>
          <w:szCs w:val="32"/>
        </w:rPr>
        <w:t>，第五批</w:t>
      </w:r>
      <w:r>
        <w:rPr>
          <w:rFonts w:hint="eastAsia" w:ascii="仿宋_GB2312" w:eastAsia="仿宋_GB2312"/>
          <w:bCs/>
          <w:snapToGrid w:val="0"/>
          <w:spacing w:val="11"/>
          <w:sz w:val="32"/>
          <w:szCs w:val="32"/>
        </w:rPr>
        <w:t>省级示范片省级专项资金支出进度为</w:t>
      </w:r>
      <w:r>
        <w:rPr>
          <w:rFonts w:ascii="仿宋_GB2312" w:eastAsia="仿宋_GB2312"/>
          <w:bCs/>
          <w:snapToGrid w:val="0"/>
          <w:spacing w:val="11"/>
          <w:sz w:val="32"/>
          <w:szCs w:val="32"/>
        </w:rPr>
        <w:t>13.00%。</w:t>
      </w:r>
      <w:r>
        <w:rPr>
          <w:rFonts w:hint="eastAsia" w:ascii="仿宋_GB2312" w:eastAsia="仿宋_GB2312"/>
          <w:bCs/>
          <w:snapToGrid w:val="0"/>
          <w:spacing w:val="11"/>
          <w:sz w:val="32"/>
          <w:szCs w:val="32"/>
        </w:rPr>
        <w:t>其中，阳春市、</w:t>
      </w:r>
      <w:r>
        <w:rPr>
          <w:rFonts w:hint="eastAsia" w:ascii="仿宋_GB2312" w:hAnsi="仿宋_GB2312" w:eastAsia="仿宋_GB2312" w:cs="仿宋_GB2312"/>
          <w:bCs/>
          <w:sz w:val="32"/>
          <w:szCs w:val="32"/>
        </w:rPr>
        <w:t>雷州市、</w:t>
      </w:r>
      <w:r>
        <w:rPr>
          <w:rFonts w:hint="eastAsia" w:ascii="仿宋_GB2312" w:eastAsia="仿宋_GB2312"/>
          <w:snapToGrid w:val="0"/>
          <w:spacing w:val="11"/>
          <w:sz w:val="32"/>
          <w:szCs w:val="32"/>
        </w:rPr>
        <w:t>连山县、惠来县等</w:t>
      </w:r>
      <w:r>
        <w:rPr>
          <w:rFonts w:ascii="仿宋_GB2312" w:eastAsia="仿宋_GB2312"/>
          <w:snapToGrid w:val="0"/>
          <w:spacing w:val="11"/>
          <w:sz w:val="32"/>
          <w:szCs w:val="32"/>
        </w:rPr>
        <w:t>4</w:t>
      </w:r>
      <w:r>
        <w:rPr>
          <w:rFonts w:hint="eastAsia" w:ascii="仿宋_GB2312" w:eastAsia="仿宋_GB2312"/>
          <w:snapToGrid w:val="0"/>
          <w:spacing w:val="11"/>
          <w:sz w:val="32"/>
          <w:szCs w:val="32"/>
        </w:rPr>
        <w:t>个</w:t>
      </w:r>
      <w:r>
        <w:rPr>
          <w:rFonts w:ascii="仿宋_GB2312" w:eastAsia="仿宋_GB2312"/>
          <w:snapToGrid w:val="0"/>
          <w:spacing w:val="11"/>
          <w:sz w:val="32"/>
          <w:szCs w:val="32"/>
        </w:rPr>
        <w:t>县</w:t>
      </w:r>
      <w:r>
        <w:rPr>
          <w:rFonts w:ascii="仿宋_GB2312" w:eastAsia="仿宋_GB2312"/>
          <w:bCs/>
          <w:snapToGrid w:val="0"/>
          <w:spacing w:val="11"/>
          <w:sz w:val="32"/>
          <w:szCs w:val="32"/>
        </w:rPr>
        <w:t>示范片的</w:t>
      </w:r>
      <w:r>
        <w:rPr>
          <w:rFonts w:hint="eastAsia" w:ascii="仿宋_GB2312" w:eastAsia="仿宋_GB2312"/>
          <w:snapToGrid w:val="0"/>
          <w:spacing w:val="11"/>
          <w:sz w:val="32"/>
          <w:szCs w:val="32"/>
        </w:rPr>
        <w:t>省级</w:t>
      </w:r>
      <w:r>
        <w:rPr>
          <w:rFonts w:ascii="仿宋_GB2312" w:eastAsia="仿宋_GB2312"/>
          <w:snapToGrid w:val="0"/>
          <w:spacing w:val="11"/>
          <w:sz w:val="32"/>
          <w:szCs w:val="32"/>
        </w:rPr>
        <w:t>专项资金支出</w:t>
      </w:r>
      <w:r>
        <w:rPr>
          <w:rFonts w:hint="eastAsia" w:ascii="仿宋_GB2312" w:eastAsia="仿宋_GB2312"/>
          <w:snapToGrid w:val="0"/>
          <w:spacing w:val="11"/>
          <w:sz w:val="32"/>
          <w:szCs w:val="32"/>
        </w:rPr>
        <w:t>均</w:t>
      </w:r>
      <w:r>
        <w:rPr>
          <w:rFonts w:ascii="仿宋_GB2312" w:eastAsia="仿宋_GB2312"/>
          <w:snapToGrid w:val="0"/>
          <w:spacing w:val="11"/>
          <w:sz w:val="32"/>
          <w:szCs w:val="32"/>
        </w:rPr>
        <w:t>为</w:t>
      </w:r>
      <w:r>
        <w:rPr>
          <w:rFonts w:hint="eastAsia" w:ascii="仿宋_GB2312" w:eastAsia="仿宋_GB2312"/>
          <w:snapToGrid w:val="0"/>
          <w:spacing w:val="11"/>
          <w:sz w:val="32"/>
          <w:szCs w:val="32"/>
        </w:rPr>
        <w:t>0。主要原因是项目实际启动时间较晚，根据</w:t>
      </w:r>
      <w:r>
        <w:rPr>
          <w:rFonts w:ascii="仿宋_GB2312" w:eastAsia="仿宋_GB2312"/>
          <w:snapToGrid w:val="0"/>
          <w:spacing w:val="11"/>
          <w:sz w:val="32"/>
          <w:szCs w:val="32"/>
        </w:rPr>
        <w:t>《</w:t>
      </w:r>
      <w:r>
        <w:rPr>
          <w:rFonts w:hint="eastAsia" w:ascii="仿宋_GB2312" w:eastAsia="仿宋_GB2312"/>
          <w:snapToGrid w:val="0"/>
          <w:spacing w:val="11"/>
          <w:sz w:val="32"/>
          <w:szCs w:val="32"/>
        </w:rPr>
        <w:t>关于</w:t>
      </w:r>
      <w:r>
        <w:rPr>
          <w:rFonts w:ascii="仿宋_GB2312" w:eastAsia="仿宋_GB2312"/>
          <w:snapToGrid w:val="0"/>
          <w:spacing w:val="11"/>
          <w:sz w:val="32"/>
          <w:szCs w:val="32"/>
        </w:rPr>
        <w:t>做好2018年第五批省级新农村连片示范建设工程有关工作的通知》</w:t>
      </w:r>
      <w:r>
        <w:rPr>
          <w:rFonts w:hint="eastAsia" w:ascii="仿宋_GB2312" w:eastAsia="仿宋_GB2312"/>
          <w:snapToGrid w:val="0"/>
          <w:spacing w:val="11"/>
          <w:sz w:val="32"/>
          <w:szCs w:val="32"/>
        </w:rPr>
        <w:t>（粤委农办〔2019〕7号），第五批省级新农村示范片项目正式启动时间为2</w:t>
      </w:r>
      <w:r>
        <w:rPr>
          <w:rFonts w:ascii="仿宋_GB2312" w:eastAsia="仿宋_GB2312"/>
          <w:snapToGrid w:val="0"/>
          <w:spacing w:val="11"/>
          <w:sz w:val="32"/>
          <w:szCs w:val="32"/>
        </w:rPr>
        <w:t>019</w:t>
      </w:r>
      <w:r>
        <w:rPr>
          <w:rFonts w:hint="eastAsia" w:ascii="仿宋_GB2312" w:eastAsia="仿宋_GB2312"/>
          <w:snapToGrid w:val="0"/>
          <w:spacing w:val="11"/>
          <w:sz w:val="32"/>
          <w:szCs w:val="32"/>
        </w:rPr>
        <w:t>年1月，时间紧、任务重，资金支出率较低。</w:t>
      </w:r>
    </w:p>
    <w:p>
      <w:pPr>
        <w:spacing w:line="360" w:lineRule="auto"/>
        <w:ind w:firstLine="640" w:firstLineChars="200"/>
        <w:outlineLvl w:val="0"/>
        <w:rPr>
          <w:rFonts w:ascii="黑体" w:hAnsi="仿宋_GB2312" w:eastAsia="黑体" w:cs="仿宋_GB2312"/>
          <w:bCs/>
          <w:sz w:val="32"/>
          <w:szCs w:val="32"/>
        </w:rPr>
      </w:pPr>
      <w:bookmarkStart w:id="44" w:name="_Toc14535880"/>
      <w:r>
        <w:rPr>
          <w:rFonts w:hint="eastAsia" w:ascii="黑体" w:hAnsi="仿宋_GB2312" w:eastAsia="黑体" w:cs="仿宋_GB2312"/>
          <w:bCs/>
          <w:sz w:val="32"/>
          <w:szCs w:val="32"/>
        </w:rPr>
        <w:t>三、</w:t>
      </w:r>
      <w:bookmarkEnd w:id="42"/>
      <w:bookmarkEnd w:id="43"/>
      <w:bookmarkStart w:id="45" w:name="_Toc10893"/>
      <w:bookmarkStart w:id="46" w:name="_Toc18611"/>
      <w:r>
        <w:rPr>
          <w:rFonts w:hint="eastAsia" w:ascii="黑体" w:hAnsi="仿宋_GB2312" w:eastAsia="黑体" w:cs="仿宋_GB2312"/>
          <w:bCs/>
          <w:sz w:val="32"/>
          <w:szCs w:val="32"/>
        </w:rPr>
        <w:t>改进意见</w:t>
      </w:r>
      <w:bookmarkEnd w:id="44"/>
    </w:p>
    <w:p>
      <w:pPr>
        <w:spacing w:line="360" w:lineRule="auto"/>
        <w:ind w:firstLine="684" w:firstLineChars="200"/>
        <w:rPr>
          <w:rFonts w:ascii="仿宋_GB2312" w:eastAsia="仿宋_GB2312"/>
          <w:snapToGrid w:val="0"/>
          <w:spacing w:val="11"/>
          <w:sz w:val="32"/>
          <w:szCs w:val="32"/>
        </w:rPr>
      </w:pPr>
      <w:r>
        <w:rPr>
          <w:rFonts w:hint="eastAsia" w:ascii="仿宋_GB2312" w:eastAsia="仿宋_GB2312"/>
          <w:snapToGrid w:val="0"/>
          <w:spacing w:val="11"/>
          <w:sz w:val="32"/>
          <w:szCs w:val="32"/>
        </w:rPr>
        <w:t>针对第五批</w:t>
      </w:r>
      <w:r>
        <w:rPr>
          <w:rFonts w:ascii="仿宋_GB2312" w:eastAsia="仿宋_GB2312"/>
          <w:snapToGrid w:val="0"/>
          <w:spacing w:val="11"/>
          <w:sz w:val="32"/>
          <w:szCs w:val="32"/>
        </w:rPr>
        <w:t>省级</w:t>
      </w:r>
      <w:r>
        <w:rPr>
          <w:rFonts w:hint="eastAsia" w:ascii="仿宋_GB2312" w:eastAsia="仿宋_GB2312"/>
          <w:snapToGrid w:val="0"/>
          <w:spacing w:val="11"/>
          <w:sz w:val="32"/>
          <w:szCs w:val="32"/>
        </w:rPr>
        <w:t>新农村</w:t>
      </w:r>
      <w:r>
        <w:rPr>
          <w:rFonts w:ascii="仿宋_GB2312" w:eastAsia="仿宋_GB2312"/>
          <w:snapToGrid w:val="0"/>
          <w:spacing w:val="11"/>
          <w:sz w:val="32"/>
          <w:szCs w:val="32"/>
        </w:rPr>
        <w:t>示范片建设存在的问题和不足，下一步</w:t>
      </w:r>
      <w:r>
        <w:rPr>
          <w:rFonts w:hint="eastAsia" w:ascii="仿宋_GB2312" w:eastAsia="仿宋_GB2312"/>
          <w:snapToGrid w:val="0"/>
          <w:spacing w:val="11"/>
          <w:sz w:val="32"/>
          <w:szCs w:val="32"/>
        </w:rPr>
        <w:t>计划</w:t>
      </w:r>
      <w:r>
        <w:rPr>
          <w:rFonts w:ascii="仿宋_GB2312" w:eastAsia="仿宋_GB2312"/>
          <w:snapToGrid w:val="0"/>
          <w:spacing w:val="11"/>
          <w:sz w:val="32"/>
          <w:szCs w:val="32"/>
        </w:rPr>
        <w:t>重点抓好以下</w:t>
      </w:r>
      <w:r>
        <w:rPr>
          <w:rFonts w:hint="eastAsia" w:ascii="仿宋_GB2312" w:eastAsia="仿宋_GB2312"/>
          <w:snapToGrid w:val="0"/>
          <w:spacing w:val="11"/>
          <w:sz w:val="32"/>
          <w:szCs w:val="32"/>
        </w:rPr>
        <w:t>几方面</w:t>
      </w:r>
      <w:r>
        <w:rPr>
          <w:rFonts w:ascii="仿宋_GB2312" w:eastAsia="仿宋_GB2312"/>
          <w:snapToGrid w:val="0"/>
          <w:spacing w:val="11"/>
          <w:sz w:val="32"/>
          <w:szCs w:val="32"/>
        </w:rPr>
        <w:t>工作。</w:t>
      </w:r>
      <w:bookmarkStart w:id="47" w:name="_Toc14535881"/>
    </w:p>
    <w:p>
      <w:pPr>
        <w:spacing w:line="360" w:lineRule="auto"/>
        <w:ind w:firstLine="684" w:firstLineChars="200"/>
        <w:rPr>
          <w:rFonts w:ascii="楷体_GB2312" w:hAnsi="仿宋_GB2312" w:eastAsia="楷体_GB2312" w:cs="仿宋_GB2312"/>
          <w:b/>
          <w:bCs/>
          <w:snapToGrid w:val="0"/>
          <w:spacing w:val="11"/>
          <w:sz w:val="32"/>
          <w:szCs w:val="32"/>
        </w:rPr>
      </w:pPr>
      <w:r>
        <w:rPr>
          <w:rFonts w:hint="eastAsia" w:ascii="楷体_GB2312" w:hAnsi="仿宋_GB2312" w:eastAsia="楷体_GB2312" w:cs="仿宋_GB2312"/>
          <w:b/>
          <w:bCs/>
          <w:snapToGrid w:val="0"/>
          <w:spacing w:val="11"/>
          <w:sz w:val="32"/>
          <w:szCs w:val="32"/>
        </w:rPr>
        <w:t>（一）加强对示范片建设进展情况监控</w:t>
      </w:r>
      <w:bookmarkEnd w:id="47"/>
    </w:p>
    <w:p>
      <w:pPr>
        <w:spacing w:line="360" w:lineRule="auto"/>
        <w:ind w:firstLine="684" w:firstLineChars="200"/>
        <w:rPr>
          <w:rFonts w:ascii="仿宋_GB2312" w:eastAsia="仿宋_GB2312"/>
          <w:snapToGrid w:val="0"/>
          <w:spacing w:val="11"/>
          <w:sz w:val="32"/>
          <w:szCs w:val="32"/>
        </w:rPr>
      </w:pPr>
      <w:bookmarkStart w:id="48" w:name="_Toc14533570"/>
      <w:r>
        <w:rPr>
          <w:rFonts w:hint="eastAsia" w:ascii="仿宋_GB2312" w:eastAsia="仿宋_GB2312"/>
          <w:snapToGrid w:val="0"/>
          <w:spacing w:val="11"/>
          <w:sz w:val="32"/>
          <w:szCs w:val="32"/>
        </w:rPr>
        <w:t>我厅将密切跟踪监控第五批省级新农村示范片建设进展，要求有关市县督促示范片牵头部门强化牵头抓总、统筹协调作用，并且认真组织填报《广东省新农村连片示范建设工程台账薄》，同步录入省新农村连片示范建设工程管理信息平台。明确专人负责管理，及时将项目情况、建档立卡、图文资料收集汇总和进展情况材料上报。我厅还将定期总结推广前几批示范片建设经验，指导市县优化创新人才保障、项目审批、组织实施等工作机制，加快新一轮示范片建设进度，力争省级新农村示范片建设早出成效。</w:t>
      </w:r>
      <w:bookmarkEnd w:id="48"/>
      <w:bookmarkStart w:id="49" w:name="_Toc14535882"/>
    </w:p>
    <w:p>
      <w:pPr>
        <w:spacing w:line="360" w:lineRule="auto"/>
        <w:ind w:firstLine="684" w:firstLineChars="200"/>
        <w:rPr>
          <w:rFonts w:ascii="楷体_GB2312" w:hAnsi="仿宋_GB2312" w:eastAsia="楷体_GB2312" w:cs="仿宋_GB2312"/>
          <w:b/>
          <w:bCs/>
          <w:snapToGrid w:val="0"/>
          <w:spacing w:val="11"/>
          <w:sz w:val="32"/>
          <w:szCs w:val="32"/>
        </w:rPr>
      </w:pPr>
      <w:r>
        <w:rPr>
          <w:rFonts w:hint="eastAsia" w:ascii="楷体_GB2312" w:hAnsi="仿宋_GB2312" w:eastAsia="楷体_GB2312" w:cs="仿宋_GB2312"/>
          <w:b/>
          <w:bCs/>
          <w:snapToGrid w:val="0"/>
          <w:spacing w:val="11"/>
          <w:sz w:val="32"/>
          <w:szCs w:val="32"/>
        </w:rPr>
        <w:t>（二）加强示范片项目主体责任管理</w:t>
      </w:r>
      <w:bookmarkEnd w:id="49"/>
    </w:p>
    <w:p>
      <w:pPr>
        <w:widowControl/>
        <w:shd w:val="clear" w:color="auto" w:fill="FFFFFF"/>
        <w:spacing w:line="360" w:lineRule="auto"/>
        <w:ind w:firstLine="684" w:firstLineChars="200"/>
        <w:rPr>
          <w:rFonts w:ascii="仿宋_GB2312" w:eastAsia="仿宋_GB2312"/>
          <w:snapToGrid w:val="0"/>
          <w:spacing w:val="11"/>
          <w:sz w:val="32"/>
          <w:szCs w:val="32"/>
        </w:rPr>
      </w:pPr>
      <w:r>
        <w:rPr>
          <w:rFonts w:ascii="仿宋_GB2312" w:eastAsia="仿宋_GB2312"/>
          <w:snapToGrid w:val="0"/>
          <w:spacing w:val="11"/>
          <w:sz w:val="32"/>
          <w:szCs w:val="32"/>
        </w:rPr>
        <w:t>省级</w:t>
      </w:r>
      <w:r>
        <w:rPr>
          <w:rFonts w:hint="eastAsia" w:ascii="仿宋_GB2312" w:eastAsia="仿宋_GB2312"/>
          <w:snapToGrid w:val="0"/>
          <w:spacing w:val="11"/>
          <w:sz w:val="32"/>
          <w:szCs w:val="32"/>
        </w:rPr>
        <w:t>新农村</w:t>
      </w:r>
      <w:r>
        <w:rPr>
          <w:rFonts w:ascii="仿宋_GB2312" w:eastAsia="仿宋_GB2312"/>
          <w:snapToGrid w:val="0"/>
          <w:spacing w:val="11"/>
          <w:sz w:val="32"/>
          <w:szCs w:val="32"/>
        </w:rPr>
        <w:t>示范片</w:t>
      </w:r>
      <w:r>
        <w:rPr>
          <w:rFonts w:hint="eastAsia" w:ascii="仿宋_GB2312" w:eastAsia="仿宋_GB2312"/>
          <w:snapToGrid w:val="0"/>
          <w:spacing w:val="11"/>
          <w:sz w:val="32"/>
          <w:szCs w:val="32"/>
        </w:rPr>
        <w:t>建设投入大、涉及面广、项目多，我厅将密切掌握项目实施情况，督促有关市县按实际建立专门工作小组或办公室，狠抓落实和组织实施。落实领导挂点责任、部门指导责任、镇村实施责任，每个村要落实一个工作组、确定一批建设项目，安排一个专业指导组、建立一个有效的村民理事会，确保各项工作有效推进。对第五批示范片</w:t>
      </w:r>
      <w:r>
        <w:rPr>
          <w:rFonts w:ascii="仿宋_GB2312" w:eastAsia="仿宋_GB2312"/>
          <w:snapToGrid w:val="0"/>
          <w:spacing w:val="11"/>
          <w:sz w:val="32"/>
          <w:szCs w:val="32"/>
        </w:rPr>
        <w:t>进行全面</w:t>
      </w:r>
      <w:r>
        <w:rPr>
          <w:rFonts w:hint="eastAsia" w:ascii="仿宋_GB2312" w:eastAsia="仿宋_GB2312"/>
          <w:snapToGrid w:val="0"/>
          <w:spacing w:val="11"/>
          <w:sz w:val="32"/>
          <w:szCs w:val="32"/>
        </w:rPr>
        <w:t>查漏补缺</w:t>
      </w:r>
      <w:r>
        <w:rPr>
          <w:rFonts w:ascii="仿宋_GB2312" w:eastAsia="仿宋_GB2312"/>
          <w:snapToGrid w:val="0"/>
          <w:spacing w:val="11"/>
          <w:sz w:val="32"/>
          <w:szCs w:val="32"/>
        </w:rPr>
        <w:t>，对照示范片实施</w:t>
      </w:r>
      <w:r>
        <w:rPr>
          <w:rFonts w:hint="eastAsia" w:ascii="仿宋_GB2312" w:eastAsia="仿宋_GB2312"/>
          <w:snapToGrid w:val="0"/>
          <w:spacing w:val="11"/>
          <w:sz w:val="32"/>
          <w:szCs w:val="32"/>
        </w:rPr>
        <w:t>方案</w:t>
      </w:r>
      <w:r>
        <w:rPr>
          <w:rFonts w:ascii="仿宋_GB2312" w:eastAsia="仿宋_GB2312"/>
          <w:snapToGrid w:val="0"/>
          <w:spacing w:val="11"/>
          <w:sz w:val="32"/>
          <w:szCs w:val="32"/>
        </w:rPr>
        <w:t>，</w:t>
      </w:r>
      <w:r>
        <w:rPr>
          <w:rFonts w:hint="eastAsia" w:ascii="仿宋_GB2312" w:eastAsia="仿宋_GB2312"/>
          <w:snapToGrid w:val="0"/>
          <w:spacing w:val="11"/>
          <w:sz w:val="32"/>
          <w:szCs w:val="32"/>
        </w:rPr>
        <w:t>确保</w:t>
      </w:r>
      <w:r>
        <w:rPr>
          <w:rFonts w:ascii="仿宋_GB2312" w:eastAsia="仿宋_GB2312"/>
          <w:snapToGrid w:val="0"/>
          <w:spacing w:val="11"/>
          <w:sz w:val="32"/>
          <w:szCs w:val="32"/>
        </w:rPr>
        <w:t>示范片创建</w:t>
      </w:r>
      <w:r>
        <w:rPr>
          <w:rFonts w:hint="eastAsia" w:ascii="仿宋_GB2312" w:eastAsia="仿宋_GB2312"/>
          <w:snapToGrid w:val="0"/>
          <w:spacing w:val="11"/>
          <w:sz w:val="32"/>
          <w:szCs w:val="32"/>
        </w:rPr>
        <w:t>内容</w:t>
      </w:r>
      <w:r>
        <w:rPr>
          <w:rFonts w:ascii="仿宋_GB2312" w:eastAsia="仿宋_GB2312"/>
          <w:snapToGrid w:val="0"/>
          <w:spacing w:val="11"/>
          <w:sz w:val="32"/>
          <w:szCs w:val="32"/>
        </w:rPr>
        <w:t>全面落细落实</w:t>
      </w:r>
      <w:r>
        <w:rPr>
          <w:rFonts w:hint="eastAsia" w:ascii="仿宋_GB2312" w:eastAsia="仿宋_GB2312"/>
          <w:snapToGrid w:val="0"/>
          <w:spacing w:val="11"/>
          <w:sz w:val="32"/>
          <w:szCs w:val="32"/>
        </w:rPr>
        <w:t>。</w:t>
      </w:r>
      <w:bookmarkStart w:id="50" w:name="_Toc14535883"/>
    </w:p>
    <w:p>
      <w:pPr>
        <w:widowControl/>
        <w:shd w:val="clear" w:color="auto" w:fill="FFFFFF"/>
        <w:spacing w:line="360" w:lineRule="auto"/>
        <w:ind w:firstLine="684" w:firstLineChars="200"/>
        <w:rPr>
          <w:rFonts w:ascii="楷体_GB2312" w:hAnsi="仿宋_GB2312" w:eastAsia="楷体_GB2312" w:cs="仿宋_GB2312"/>
          <w:b/>
          <w:bCs/>
          <w:snapToGrid w:val="0"/>
          <w:spacing w:val="11"/>
          <w:sz w:val="32"/>
          <w:szCs w:val="32"/>
        </w:rPr>
      </w:pPr>
      <w:r>
        <w:rPr>
          <w:rFonts w:hint="eastAsia" w:ascii="楷体_GB2312" w:hAnsi="仿宋_GB2312" w:eastAsia="楷体_GB2312" w:cs="仿宋_GB2312"/>
          <w:b/>
          <w:bCs/>
          <w:snapToGrid w:val="0"/>
          <w:spacing w:val="11"/>
          <w:sz w:val="32"/>
          <w:szCs w:val="32"/>
        </w:rPr>
        <w:t>（三）进一步细化示范片资金使用管理</w:t>
      </w:r>
      <w:bookmarkEnd w:id="50"/>
    </w:p>
    <w:p>
      <w:pPr>
        <w:widowControl/>
        <w:shd w:val="clear" w:color="auto" w:fill="FFFFFF"/>
        <w:spacing w:line="360" w:lineRule="auto"/>
        <w:ind w:firstLine="684" w:firstLineChars="200"/>
        <w:rPr>
          <w:rFonts w:ascii="仿宋_GB2312" w:eastAsia="仿宋_GB2312"/>
          <w:snapToGrid w:val="0"/>
          <w:spacing w:val="11"/>
          <w:sz w:val="32"/>
          <w:szCs w:val="32"/>
        </w:rPr>
      </w:pPr>
      <w:r>
        <w:rPr>
          <w:rFonts w:hint="eastAsia" w:ascii="仿宋_GB2312" w:eastAsia="仿宋_GB2312"/>
          <w:snapToGrid w:val="0"/>
          <w:spacing w:val="11"/>
          <w:sz w:val="32"/>
          <w:szCs w:val="32"/>
        </w:rPr>
        <w:t>在合法合规的前提下，不被动等待工程招投标，简化招投标程序，提高招投标效率，确保项目建设尽快施工，对技术要求不高、投入资金不大的建设项目，可交由本村村民理事会、农民工匠组织实施，降低项目建设成本，增加村民收入。建立奖补机制，调动群众、社会积极参与。通过引入社会工商资本参与、发挥农民专业合作社、结合现代产业园区建设和推进乡村旅游、打造田园综合体及美丽乡村精品线路等措施，</w:t>
      </w:r>
      <w:r>
        <w:rPr>
          <w:rFonts w:ascii="仿宋_GB2312" w:eastAsia="仿宋_GB2312"/>
          <w:snapToGrid w:val="0"/>
          <w:spacing w:val="11"/>
          <w:sz w:val="32"/>
          <w:szCs w:val="32"/>
        </w:rPr>
        <w:t>充分发挥省级</w:t>
      </w:r>
      <w:r>
        <w:rPr>
          <w:rFonts w:hint="eastAsia" w:ascii="仿宋_GB2312" w:eastAsia="仿宋_GB2312"/>
          <w:snapToGrid w:val="0"/>
          <w:spacing w:val="11"/>
          <w:sz w:val="32"/>
          <w:szCs w:val="32"/>
        </w:rPr>
        <w:t>新农村</w:t>
      </w:r>
      <w:r>
        <w:rPr>
          <w:rFonts w:ascii="仿宋_GB2312" w:eastAsia="仿宋_GB2312"/>
          <w:snapToGrid w:val="0"/>
          <w:spacing w:val="11"/>
          <w:sz w:val="32"/>
          <w:szCs w:val="32"/>
        </w:rPr>
        <w:t>示范片整体建设效应</w:t>
      </w:r>
      <w:r>
        <w:rPr>
          <w:rFonts w:hint="eastAsia" w:ascii="仿宋_GB2312" w:eastAsia="仿宋_GB2312"/>
          <w:snapToGrid w:val="0"/>
          <w:spacing w:val="11"/>
          <w:sz w:val="32"/>
          <w:szCs w:val="32"/>
        </w:rPr>
        <w:t>，</w:t>
      </w:r>
      <w:r>
        <w:rPr>
          <w:rFonts w:ascii="仿宋_GB2312" w:eastAsia="仿宋_GB2312"/>
          <w:snapToGrid w:val="0"/>
          <w:spacing w:val="11"/>
          <w:sz w:val="32"/>
          <w:szCs w:val="32"/>
        </w:rPr>
        <w:t>为实现乡村振兴提供</w:t>
      </w:r>
      <w:r>
        <w:rPr>
          <w:rFonts w:hint="eastAsia" w:ascii="仿宋_GB2312" w:eastAsia="仿宋_GB2312"/>
          <w:snapToGrid w:val="0"/>
          <w:spacing w:val="11"/>
          <w:sz w:val="32"/>
          <w:szCs w:val="32"/>
        </w:rPr>
        <w:t>可复制</w:t>
      </w:r>
      <w:r>
        <w:rPr>
          <w:rFonts w:ascii="仿宋_GB2312" w:eastAsia="仿宋_GB2312"/>
          <w:snapToGrid w:val="0"/>
          <w:spacing w:val="11"/>
          <w:sz w:val="32"/>
          <w:szCs w:val="32"/>
        </w:rPr>
        <w:t>、可推广的经验。</w:t>
      </w:r>
      <w:bookmarkEnd w:id="45"/>
      <w:bookmarkEnd w:id="46"/>
    </w:p>
    <w:sectPr>
      <w:pgSz w:w="11906" w:h="16838"/>
      <w:pgMar w:top="2041" w:right="1418" w:bottom="1418" w:left="153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0000000000000000000"/>
    <w:charset w:val="86"/>
    <w:family w:val="auto"/>
    <w:pitch w:val="default"/>
    <w:sig w:usb0="00000000" w:usb1="0000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Calibri Light">
    <w:altName w:val="Calibri"/>
    <w:panose1 w:val="020F0302020204030204"/>
    <w:charset w:val="00"/>
    <w:family w:val="swiss"/>
    <w:pitch w:val="default"/>
    <w:sig w:usb0="00000000" w:usb1="00000000" w:usb2="00000009" w:usb3="00000000" w:csb0="000001FF"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仿宋" w:hAnsi="仿宋" w:eastAsia="仿宋" w:cs="仿宋"/>
        <w:sz w:val="28"/>
        <w:szCs w:val="28"/>
      </w:rPr>
    </w:pPr>
    <w:r>
      <w:rPr>
        <w:sz w:val="28"/>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445135" cy="230505"/>
              <wp:effectExtent l="0" t="0" r="0" b="0"/>
              <wp:wrapNone/>
              <wp:docPr id="3" name="Text Box 1029"/>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8"/>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- 6 -</w:t>
                          </w:r>
                          <w:r>
                            <w:rPr>
                              <w:rFonts w:hint="eastAsia" w:ascii="仿宋" w:hAnsi="仿宋" w:eastAsia="仿宋" w:cs="仿宋"/>
                              <w:sz w:val="28"/>
                              <w:szCs w:val="28"/>
                            </w:rPr>
                            <w:fldChar w:fldCharType="end"/>
                          </w:r>
                        </w:p>
                      </w:txbxContent>
                    </wps:txbx>
                    <wps:bodyPr rot="0" vert="horz" wrap="none" lIns="0" tIns="0" rIns="0" bIns="0" anchor="t" anchorCtr="0" upright="1">
                      <a:spAutoFit/>
                    </wps:bodyPr>
                  </wps:wsp>
                </a:graphicData>
              </a:graphic>
            </wp:anchor>
          </w:drawing>
        </mc:Choice>
        <mc:Fallback>
          <w:pict>
            <v:shape id="Text Box 1029" o:spid="_x0000_s1026" o:spt="202" type="#_x0000_t202" style="position:absolute;left:0pt;margin-top:0pt;height:18.15pt;width:35.05pt;mso-position-horizontal:outside;mso-position-horizontal-relative:margin;mso-wrap-style:none;z-index:251673600;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vOISfRAAAAAwEAAA8AAAAA&#10;AAAAAQAgAAAAIgAAAGRycy9kb3ducmV2LnhtbFBLAQIUABQAAAAIAIdO4kC5UQjF4gEAALYDAAAO&#10;AAAAAAAAAAEAIAAAACABAABkcnMvZTJvRG9jLnhtbFBLBQYAAAAABgAGAFkBAAB0BQAAAAA=&#10;">
              <v:fill on="f" focussize="0,0"/>
              <v:stroke on="f"/>
              <v:imagedata o:title=""/>
              <o:lock v:ext="edit" aspectratio="f"/>
              <v:textbox inset="0mm,0mm,0mm,0mm" style="mso-fit-shape-to-text:t;">
                <w:txbxContent>
                  <w:p>
                    <w:pPr>
                      <w:pStyle w:val="8"/>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- 6 -</w:t>
                    </w:r>
                    <w:r>
                      <w:rPr>
                        <w:rFonts w:hint="eastAsia" w:ascii="仿宋" w:hAnsi="仿宋" w:eastAsia="仿宋" w:cs="仿宋"/>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78E7F"/>
    <w:multiLevelType w:val="singleLevel"/>
    <w:tmpl w:val="74278E7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F735B3"/>
    <w:rsid w:val="00017528"/>
    <w:rsid w:val="00044BA1"/>
    <w:rsid w:val="000458CD"/>
    <w:rsid w:val="0005175B"/>
    <w:rsid w:val="00062AE6"/>
    <w:rsid w:val="000B39F8"/>
    <w:rsid w:val="000B70C2"/>
    <w:rsid w:val="000B73FF"/>
    <w:rsid w:val="000B7441"/>
    <w:rsid w:val="000D110F"/>
    <w:rsid w:val="000D4BCF"/>
    <w:rsid w:val="000E7AC3"/>
    <w:rsid w:val="001609E3"/>
    <w:rsid w:val="00171152"/>
    <w:rsid w:val="001A213D"/>
    <w:rsid w:val="001C00D0"/>
    <w:rsid w:val="001D3997"/>
    <w:rsid w:val="001F50FF"/>
    <w:rsid w:val="0022209B"/>
    <w:rsid w:val="002339E2"/>
    <w:rsid w:val="00233C93"/>
    <w:rsid w:val="002410F9"/>
    <w:rsid w:val="00252BCC"/>
    <w:rsid w:val="00257D21"/>
    <w:rsid w:val="0026682C"/>
    <w:rsid w:val="002A6CAF"/>
    <w:rsid w:val="002B165F"/>
    <w:rsid w:val="002C4167"/>
    <w:rsid w:val="002E1E01"/>
    <w:rsid w:val="002E2BE2"/>
    <w:rsid w:val="002E6C94"/>
    <w:rsid w:val="002F28A2"/>
    <w:rsid w:val="003246D6"/>
    <w:rsid w:val="00333F82"/>
    <w:rsid w:val="0034690A"/>
    <w:rsid w:val="00352D75"/>
    <w:rsid w:val="0035456B"/>
    <w:rsid w:val="00356A11"/>
    <w:rsid w:val="003733D4"/>
    <w:rsid w:val="003924B7"/>
    <w:rsid w:val="00397D15"/>
    <w:rsid w:val="003B6C98"/>
    <w:rsid w:val="003C054E"/>
    <w:rsid w:val="003C0F33"/>
    <w:rsid w:val="003D6DC3"/>
    <w:rsid w:val="003E26CE"/>
    <w:rsid w:val="003F41EC"/>
    <w:rsid w:val="004013B7"/>
    <w:rsid w:val="00422E46"/>
    <w:rsid w:val="00454E1C"/>
    <w:rsid w:val="004A2144"/>
    <w:rsid w:val="004B7094"/>
    <w:rsid w:val="004C3446"/>
    <w:rsid w:val="0050526C"/>
    <w:rsid w:val="00506495"/>
    <w:rsid w:val="00532127"/>
    <w:rsid w:val="0055503C"/>
    <w:rsid w:val="005551FE"/>
    <w:rsid w:val="005616E9"/>
    <w:rsid w:val="005718C2"/>
    <w:rsid w:val="00597A82"/>
    <w:rsid w:val="005A07B9"/>
    <w:rsid w:val="005A2AE4"/>
    <w:rsid w:val="006210D9"/>
    <w:rsid w:val="00631665"/>
    <w:rsid w:val="0065057E"/>
    <w:rsid w:val="006711C6"/>
    <w:rsid w:val="006744E4"/>
    <w:rsid w:val="006A7BE8"/>
    <w:rsid w:val="006B58EB"/>
    <w:rsid w:val="006D2A0A"/>
    <w:rsid w:val="006E7CB6"/>
    <w:rsid w:val="006F2EE4"/>
    <w:rsid w:val="00706B89"/>
    <w:rsid w:val="00737326"/>
    <w:rsid w:val="00772BFF"/>
    <w:rsid w:val="00777029"/>
    <w:rsid w:val="0078018C"/>
    <w:rsid w:val="007863E2"/>
    <w:rsid w:val="007A0FD2"/>
    <w:rsid w:val="007C7EB9"/>
    <w:rsid w:val="00802942"/>
    <w:rsid w:val="008573EE"/>
    <w:rsid w:val="008673E3"/>
    <w:rsid w:val="00883AB8"/>
    <w:rsid w:val="008B002F"/>
    <w:rsid w:val="008B1446"/>
    <w:rsid w:val="008B16C4"/>
    <w:rsid w:val="008C0413"/>
    <w:rsid w:val="008E0A4E"/>
    <w:rsid w:val="008E1CE6"/>
    <w:rsid w:val="00904041"/>
    <w:rsid w:val="009411A9"/>
    <w:rsid w:val="00A00CA3"/>
    <w:rsid w:val="00A11849"/>
    <w:rsid w:val="00A136E5"/>
    <w:rsid w:val="00A22E36"/>
    <w:rsid w:val="00A26E8F"/>
    <w:rsid w:val="00A276D9"/>
    <w:rsid w:val="00A426E6"/>
    <w:rsid w:val="00A746AC"/>
    <w:rsid w:val="00A933F7"/>
    <w:rsid w:val="00A937D7"/>
    <w:rsid w:val="00A9541D"/>
    <w:rsid w:val="00AB2341"/>
    <w:rsid w:val="00AB4B04"/>
    <w:rsid w:val="00AC55FC"/>
    <w:rsid w:val="00AD6E2E"/>
    <w:rsid w:val="00AE6AEA"/>
    <w:rsid w:val="00B505CD"/>
    <w:rsid w:val="00B63821"/>
    <w:rsid w:val="00B869C8"/>
    <w:rsid w:val="00BA71C8"/>
    <w:rsid w:val="00C41FF5"/>
    <w:rsid w:val="00C43FC1"/>
    <w:rsid w:val="00C512E7"/>
    <w:rsid w:val="00C6194D"/>
    <w:rsid w:val="00C710FB"/>
    <w:rsid w:val="00C9799E"/>
    <w:rsid w:val="00CE5135"/>
    <w:rsid w:val="00D17988"/>
    <w:rsid w:val="00D64284"/>
    <w:rsid w:val="00D71734"/>
    <w:rsid w:val="00D76A99"/>
    <w:rsid w:val="00DA1F27"/>
    <w:rsid w:val="00DA3F76"/>
    <w:rsid w:val="00DC7239"/>
    <w:rsid w:val="00E4140F"/>
    <w:rsid w:val="00E44231"/>
    <w:rsid w:val="00E773E3"/>
    <w:rsid w:val="00E93B9E"/>
    <w:rsid w:val="00E9766C"/>
    <w:rsid w:val="00EA78FC"/>
    <w:rsid w:val="00EC15E2"/>
    <w:rsid w:val="00EE4C06"/>
    <w:rsid w:val="00F116D6"/>
    <w:rsid w:val="00F352C5"/>
    <w:rsid w:val="00F74838"/>
    <w:rsid w:val="00F86138"/>
    <w:rsid w:val="00FA3B6F"/>
    <w:rsid w:val="00FA70ED"/>
    <w:rsid w:val="00FC70DF"/>
    <w:rsid w:val="012B3C15"/>
    <w:rsid w:val="014077EC"/>
    <w:rsid w:val="01451B60"/>
    <w:rsid w:val="01632AC6"/>
    <w:rsid w:val="019A3F9B"/>
    <w:rsid w:val="01ED6D31"/>
    <w:rsid w:val="022D007A"/>
    <w:rsid w:val="023117B9"/>
    <w:rsid w:val="024C3959"/>
    <w:rsid w:val="02A21BF7"/>
    <w:rsid w:val="02E32C41"/>
    <w:rsid w:val="030D6D2E"/>
    <w:rsid w:val="031C13E8"/>
    <w:rsid w:val="0362277D"/>
    <w:rsid w:val="037E7ED8"/>
    <w:rsid w:val="03A05F0C"/>
    <w:rsid w:val="03C1358A"/>
    <w:rsid w:val="04AA7120"/>
    <w:rsid w:val="04BF69C8"/>
    <w:rsid w:val="04C86763"/>
    <w:rsid w:val="05702E1D"/>
    <w:rsid w:val="058E1396"/>
    <w:rsid w:val="05E7768F"/>
    <w:rsid w:val="05EC5E45"/>
    <w:rsid w:val="05EE4EDA"/>
    <w:rsid w:val="06314905"/>
    <w:rsid w:val="06524630"/>
    <w:rsid w:val="06866518"/>
    <w:rsid w:val="06F074D2"/>
    <w:rsid w:val="07164270"/>
    <w:rsid w:val="07686150"/>
    <w:rsid w:val="07E75A8D"/>
    <w:rsid w:val="087F26C7"/>
    <w:rsid w:val="087F37BE"/>
    <w:rsid w:val="08E71095"/>
    <w:rsid w:val="08E80D44"/>
    <w:rsid w:val="08EB569A"/>
    <w:rsid w:val="08ED689F"/>
    <w:rsid w:val="09215851"/>
    <w:rsid w:val="09264B7A"/>
    <w:rsid w:val="092B79AD"/>
    <w:rsid w:val="09AE4473"/>
    <w:rsid w:val="09F22B18"/>
    <w:rsid w:val="0A5D2C32"/>
    <w:rsid w:val="0A6B2B6D"/>
    <w:rsid w:val="0A7D739C"/>
    <w:rsid w:val="0A907ADB"/>
    <w:rsid w:val="0AB026F6"/>
    <w:rsid w:val="0ACC42F3"/>
    <w:rsid w:val="0B1340B6"/>
    <w:rsid w:val="0B243449"/>
    <w:rsid w:val="0B2C61A4"/>
    <w:rsid w:val="0B3B19CA"/>
    <w:rsid w:val="0B3C07DA"/>
    <w:rsid w:val="0B522947"/>
    <w:rsid w:val="0B93493E"/>
    <w:rsid w:val="0B962B83"/>
    <w:rsid w:val="0B9D56C9"/>
    <w:rsid w:val="0BDD5F02"/>
    <w:rsid w:val="0C9C0195"/>
    <w:rsid w:val="0CC1193E"/>
    <w:rsid w:val="0CC11BAD"/>
    <w:rsid w:val="0CF13D00"/>
    <w:rsid w:val="0D124803"/>
    <w:rsid w:val="0D23657D"/>
    <w:rsid w:val="0D310AF6"/>
    <w:rsid w:val="0D941F9A"/>
    <w:rsid w:val="0E267ADA"/>
    <w:rsid w:val="0E2B4CA4"/>
    <w:rsid w:val="0E2C1903"/>
    <w:rsid w:val="0E462C79"/>
    <w:rsid w:val="0E826729"/>
    <w:rsid w:val="0E9C76D0"/>
    <w:rsid w:val="0ECC49F0"/>
    <w:rsid w:val="0EF14279"/>
    <w:rsid w:val="0EF515B4"/>
    <w:rsid w:val="0EFD65B5"/>
    <w:rsid w:val="0F01684B"/>
    <w:rsid w:val="0F87192B"/>
    <w:rsid w:val="0F876850"/>
    <w:rsid w:val="0F905351"/>
    <w:rsid w:val="0FA1338B"/>
    <w:rsid w:val="0FB64172"/>
    <w:rsid w:val="100E75C0"/>
    <w:rsid w:val="10165307"/>
    <w:rsid w:val="102679B6"/>
    <w:rsid w:val="108217D8"/>
    <w:rsid w:val="11147637"/>
    <w:rsid w:val="11C23D23"/>
    <w:rsid w:val="11DD09E7"/>
    <w:rsid w:val="120D5BCF"/>
    <w:rsid w:val="123A64FC"/>
    <w:rsid w:val="123D59BB"/>
    <w:rsid w:val="126261DC"/>
    <w:rsid w:val="128D54CC"/>
    <w:rsid w:val="12BC0826"/>
    <w:rsid w:val="1351075A"/>
    <w:rsid w:val="139C3DEB"/>
    <w:rsid w:val="13B325D5"/>
    <w:rsid w:val="13D75169"/>
    <w:rsid w:val="13ED6E02"/>
    <w:rsid w:val="13FE604F"/>
    <w:rsid w:val="14D4594D"/>
    <w:rsid w:val="14E60DD2"/>
    <w:rsid w:val="15021FCE"/>
    <w:rsid w:val="15101E67"/>
    <w:rsid w:val="15226732"/>
    <w:rsid w:val="1534388F"/>
    <w:rsid w:val="15941703"/>
    <w:rsid w:val="16044EF6"/>
    <w:rsid w:val="16B75A46"/>
    <w:rsid w:val="171A00DD"/>
    <w:rsid w:val="171F1F27"/>
    <w:rsid w:val="174E77BE"/>
    <w:rsid w:val="17E44BBF"/>
    <w:rsid w:val="17F50E65"/>
    <w:rsid w:val="18697083"/>
    <w:rsid w:val="18FE6BEF"/>
    <w:rsid w:val="196F0B52"/>
    <w:rsid w:val="19A54F1B"/>
    <w:rsid w:val="1A2F037A"/>
    <w:rsid w:val="1A503287"/>
    <w:rsid w:val="1AD91AF1"/>
    <w:rsid w:val="1AE857B9"/>
    <w:rsid w:val="1B5B4E8A"/>
    <w:rsid w:val="1B633C0C"/>
    <w:rsid w:val="1B8F1FFF"/>
    <w:rsid w:val="1B98228B"/>
    <w:rsid w:val="1C271037"/>
    <w:rsid w:val="1C480D7B"/>
    <w:rsid w:val="1C58126E"/>
    <w:rsid w:val="1C78128F"/>
    <w:rsid w:val="1C8451E7"/>
    <w:rsid w:val="1C8B6965"/>
    <w:rsid w:val="1CB906B3"/>
    <w:rsid w:val="1CE37525"/>
    <w:rsid w:val="1D0A3A5E"/>
    <w:rsid w:val="1D42569F"/>
    <w:rsid w:val="1D4A4130"/>
    <w:rsid w:val="1DDC0797"/>
    <w:rsid w:val="1E37654D"/>
    <w:rsid w:val="1E4E7888"/>
    <w:rsid w:val="1E93144F"/>
    <w:rsid w:val="1E9F4A1B"/>
    <w:rsid w:val="1EA828B2"/>
    <w:rsid w:val="1EB10FD9"/>
    <w:rsid w:val="1EB2158C"/>
    <w:rsid w:val="1EC70E0C"/>
    <w:rsid w:val="1EFA6670"/>
    <w:rsid w:val="1F0F2CF5"/>
    <w:rsid w:val="1F537F57"/>
    <w:rsid w:val="1FA9677D"/>
    <w:rsid w:val="1FB70C87"/>
    <w:rsid w:val="1FEB74B2"/>
    <w:rsid w:val="200C511C"/>
    <w:rsid w:val="207F0B7A"/>
    <w:rsid w:val="20B445E1"/>
    <w:rsid w:val="20E20A62"/>
    <w:rsid w:val="20F7700B"/>
    <w:rsid w:val="2112336D"/>
    <w:rsid w:val="212E1F90"/>
    <w:rsid w:val="2159327F"/>
    <w:rsid w:val="215F5240"/>
    <w:rsid w:val="2160292F"/>
    <w:rsid w:val="21877768"/>
    <w:rsid w:val="21AB7D3F"/>
    <w:rsid w:val="21B077F0"/>
    <w:rsid w:val="21BF2CD3"/>
    <w:rsid w:val="21F45B8F"/>
    <w:rsid w:val="221D47E2"/>
    <w:rsid w:val="22655010"/>
    <w:rsid w:val="22C2408D"/>
    <w:rsid w:val="22E40B08"/>
    <w:rsid w:val="22E8700D"/>
    <w:rsid w:val="232E4133"/>
    <w:rsid w:val="23394284"/>
    <w:rsid w:val="234E04ED"/>
    <w:rsid w:val="237006F6"/>
    <w:rsid w:val="23CB02CB"/>
    <w:rsid w:val="23D343B1"/>
    <w:rsid w:val="23D84179"/>
    <w:rsid w:val="2413181D"/>
    <w:rsid w:val="246760F9"/>
    <w:rsid w:val="248171C0"/>
    <w:rsid w:val="24EB2E66"/>
    <w:rsid w:val="25083323"/>
    <w:rsid w:val="2519610A"/>
    <w:rsid w:val="254C6738"/>
    <w:rsid w:val="256B7E36"/>
    <w:rsid w:val="2585771E"/>
    <w:rsid w:val="25882A56"/>
    <w:rsid w:val="26067B23"/>
    <w:rsid w:val="26090EED"/>
    <w:rsid w:val="262F661A"/>
    <w:rsid w:val="263D6177"/>
    <w:rsid w:val="26DE6FC9"/>
    <w:rsid w:val="26F144AA"/>
    <w:rsid w:val="271B735D"/>
    <w:rsid w:val="272D52A7"/>
    <w:rsid w:val="2770448C"/>
    <w:rsid w:val="27992A1A"/>
    <w:rsid w:val="27BD06D9"/>
    <w:rsid w:val="27F0728B"/>
    <w:rsid w:val="285314C4"/>
    <w:rsid w:val="28B73FC7"/>
    <w:rsid w:val="28B861A5"/>
    <w:rsid w:val="28DD7F3E"/>
    <w:rsid w:val="29083EFB"/>
    <w:rsid w:val="2933363F"/>
    <w:rsid w:val="296152F7"/>
    <w:rsid w:val="29783173"/>
    <w:rsid w:val="297A7DAD"/>
    <w:rsid w:val="29A33345"/>
    <w:rsid w:val="29B42E44"/>
    <w:rsid w:val="2A0F61D8"/>
    <w:rsid w:val="2A3118EB"/>
    <w:rsid w:val="2A520B48"/>
    <w:rsid w:val="2A5870B0"/>
    <w:rsid w:val="2A890376"/>
    <w:rsid w:val="2A8B4B81"/>
    <w:rsid w:val="2AB305A2"/>
    <w:rsid w:val="2B7C33AD"/>
    <w:rsid w:val="2C01510E"/>
    <w:rsid w:val="2C1234AE"/>
    <w:rsid w:val="2C284229"/>
    <w:rsid w:val="2C6E6A15"/>
    <w:rsid w:val="2C9F3464"/>
    <w:rsid w:val="2CB2029A"/>
    <w:rsid w:val="2D0979C4"/>
    <w:rsid w:val="2D124443"/>
    <w:rsid w:val="2D741605"/>
    <w:rsid w:val="2DFB7F55"/>
    <w:rsid w:val="2E115422"/>
    <w:rsid w:val="2E8575E4"/>
    <w:rsid w:val="2E890629"/>
    <w:rsid w:val="2E946CE2"/>
    <w:rsid w:val="2E9947E6"/>
    <w:rsid w:val="2F1100DF"/>
    <w:rsid w:val="2F1C1738"/>
    <w:rsid w:val="2F4604F6"/>
    <w:rsid w:val="2F467684"/>
    <w:rsid w:val="2FF34515"/>
    <w:rsid w:val="306866BD"/>
    <w:rsid w:val="30DA7F37"/>
    <w:rsid w:val="30F22623"/>
    <w:rsid w:val="30FC63ED"/>
    <w:rsid w:val="310F7741"/>
    <w:rsid w:val="31144F13"/>
    <w:rsid w:val="31474E6D"/>
    <w:rsid w:val="314E1B59"/>
    <w:rsid w:val="31541084"/>
    <w:rsid w:val="31662D26"/>
    <w:rsid w:val="31674E8C"/>
    <w:rsid w:val="319A23FA"/>
    <w:rsid w:val="3211043D"/>
    <w:rsid w:val="325A5043"/>
    <w:rsid w:val="32806DE8"/>
    <w:rsid w:val="3298369C"/>
    <w:rsid w:val="32C02499"/>
    <w:rsid w:val="330D19ED"/>
    <w:rsid w:val="33395F74"/>
    <w:rsid w:val="334154D7"/>
    <w:rsid w:val="336666F1"/>
    <w:rsid w:val="3375261A"/>
    <w:rsid w:val="339D7492"/>
    <w:rsid w:val="339E0466"/>
    <w:rsid w:val="33AF2330"/>
    <w:rsid w:val="33CE2F06"/>
    <w:rsid w:val="34054D38"/>
    <w:rsid w:val="3415029A"/>
    <w:rsid w:val="34181301"/>
    <w:rsid w:val="34242F10"/>
    <w:rsid w:val="34653446"/>
    <w:rsid w:val="346716C7"/>
    <w:rsid w:val="348C1B26"/>
    <w:rsid w:val="34CF04D5"/>
    <w:rsid w:val="34EA4131"/>
    <w:rsid w:val="351E518C"/>
    <w:rsid w:val="35745573"/>
    <w:rsid w:val="357C5BCE"/>
    <w:rsid w:val="35944CB3"/>
    <w:rsid w:val="35A32F6E"/>
    <w:rsid w:val="35E071BC"/>
    <w:rsid w:val="35E21A80"/>
    <w:rsid w:val="3614614A"/>
    <w:rsid w:val="36197ED0"/>
    <w:rsid w:val="361C3A00"/>
    <w:rsid w:val="36500A4B"/>
    <w:rsid w:val="36C93455"/>
    <w:rsid w:val="3702557E"/>
    <w:rsid w:val="370F3829"/>
    <w:rsid w:val="37297900"/>
    <w:rsid w:val="37C67221"/>
    <w:rsid w:val="37D36097"/>
    <w:rsid w:val="389F639F"/>
    <w:rsid w:val="38EB3436"/>
    <w:rsid w:val="38F735B3"/>
    <w:rsid w:val="39195481"/>
    <w:rsid w:val="3935251A"/>
    <w:rsid w:val="3943621B"/>
    <w:rsid w:val="395E4249"/>
    <w:rsid w:val="397E3477"/>
    <w:rsid w:val="39DA2F48"/>
    <w:rsid w:val="3A343F58"/>
    <w:rsid w:val="3A895EE7"/>
    <w:rsid w:val="3AF1079A"/>
    <w:rsid w:val="3AF77677"/>
    <w:rsid w:val="3B2555E4"/>
    <w:rsid w:val="3B3E28D2"/>
    <w:rsid w:val="3B441028"/>
    <w:rsid w:val="3BFA1755"/>
    <w:rsid w:val="3C7223F9"/>
    <w:rsid w:val="3C884D2D"/>
    <w:rsid w:val="3CDA2513"/>
    <w:rsid w:val="3CF67B6A"/>
    <w:rsid w:val="3D2640E2"/>
    <w:rsid w:val="3E260E70"/>
    <w:rsid w:val="3E4973BE"/>
    <w:rsid w:val="3E723D40"/>
    <w:rsid w:val="3EB84267"/>
    <w:rsid w:val="3EC21C15"/>
    <w:rsid w:val="3F0709D0"/>
    <w:rsid w:val="3FD300E5"/>
    <w:rsid w:val="402D1BA9"/>
    <w:rsid w:val="40366B80"/>
    <w:rsid w:val="404F53F5"/>
    <w:rsid w:val="405E4D54"/>
    <w:rsid w:val="408169D8"/>
    <w:rsid w:val="418348FC"/>
    <w:rsid w:val="41F233E7"/>
    <w:rsid w:val="42190141"/>
    <w:rsid w:val="42426B03"/>
    <w:rsid w:val="42BC4B5B"/>
    <w:rsid w:val="42E60DDB"/>
    <w:rsid w:val="42ED4C35"/>
    <w:rsid w:val="43303CDF"/>
    <w:rsid w:val="437F4BD7"/>
    <w:rsid w:val="43A43D9D"/>
    <w:rsid w:val="44177649"/>
    <w:rsid w:val="445D2C3B"/>
    <w:rsid w:val="447777FF"/>
    <w:rsid w:val="448B46D3"/>
    <w:rsid w:val="44D5485A"/>
    <w:rsid w:val="44D83AAD"/>
    <w:rsid w:val="45186D14"/>
    <w:rsid w:val="453D38C2"/>
    <w:rsid w:val="458F63F4"/>
    <w:rsid w:val="459B3A7C"/>
    <w:rsid w:val="45A2184F"/>
    <w:rsid w:val="45F900E5"/>
    <w:rsid w:val="461C71F9"/>
    <w:rsid w:val="462650CF"/>
    <w:rsid w:val="46480615"/>
    <w:rsid w:val="46567F7F"/>
    <w:rsid w:val="46607769"/>
    <w:rsid w:val="46C25EB4"/>
    <w:rsid w:val="46F80D7D"/>
    <w:rsid w:val="47506367"/>
    <w:rsid w:val="476C5BCA"/>
    <w:rsid w:val="480004B0"/>
    <w:rsid w:val="482B6FFD"/>
    <w:rsid w:val="482C5706"/>
    <w:rsid w:val="483109AD"/>
    <w:rsid w:val="48717BCA"/>
    <w:rsid w:val="48900F33"/>
    <w:rsid w:val="489A1906"/>
    <w:rsid w:val="48BA7178"/>
    <w:rsid w:val="49124A40"/>
    <w:rsid w:val="49D33215"/>
    <w:rsid w:val="49F02A9B"/>
    <w:rsid w:val="49F205B3"/>
    <w:rsid w:val="49FD7BF0"/>
    <w:rsid w:val="4A203DA0"/>
    <w:rsid w:val="4A3C0FC7"/>
    <w:rsid w:val="4A537FF6"/>
    <w:rsid w:val="4A7C5620"/>
    <w:rsid w:val="4A9E0122"/>
    <w:rsid w:val="4AA535C6"/>
    <w:rsid w:val="4AB10912"/>
    <w:rsid w:val="4B4D17DD"/>
    <w:rsid w:val="4B711E2D"/>
    <w:rsid w:val="4B842F38"/>
    <w:rsid w:val="4B9923C4"/>
    <w:rsid w:val="4C1636C0"/>
    <w:rsid w:val="4C44617A"/>
    <w:rsid w:val="4C680CD6"/>
    <w:rsid w:val="4C6F7A65"/>
    <w:rsid w:val="4CB60F7B"/>
    <w:rsid w:val="4CD02BDA"/>
    <w:rsid w:val="4CFB2882"/>
    <w:rsid w:val="4D282748"/>
    <w:rsid w:val="4D7C5BEF"/>
    <w:rsid w:val="4DE702AF"/>
    <w:rsid w:val="4DF857A5"/>
    <w:rsid w:val="4E0C7394"/>
    <w:rsid w:val="4E2358CC"/>
    <w:rsid w:val="4E3058E3"/>
    <w:rsid w:val="4E7A0557"/>
    <w:rsid w:val="4E7D2D57"/>
    <w:rsid w:val="4E955F23"/>
    <w:rsid w:val="4EAF1849"/>
    <w:rsid w:val="4EC11169"/>
    <w:rsid w:val="4EF45D6A"/>
    <w:rsid w:val="4F137D11"/>
    <w:rsid w:val="4F3461FD"/>
    <w:rsid w:val="4F4C679C"/>
    <w:rsid w:val="4F805F33"/>
    <w:rsid w:val="4F993E13"/>
    <w:rsid w:val="4FC00146"/>
    <w:rsid w:val="503D519F"/>
    <w:rsid w:val="505D1E91"/>
    <w:rsid w:val="50685427"/>
    <w:rsid w:val="50765602"/>
    <w:rsid w:val="50CB3C41"/>
    <w:rsid w:val="50D842F1"/>
    <w:rsid w:val="51CD5C94"/>
    <w:rsid w:val="520C1D2F"/>
    <w:rsid w:val="524D5A35"/>
    <w:rsid w:val="526F6F8B"/>
    <w:rsid w:val="527F35E9"/>
    <w:rsid w:val="52982A42"/>
    <w:rsid w:val="52EF771C"/>
    <w:rsid w:val="52F22C3A"/>
    <w:rsid w:val="52F45499"/>
    <w:rsid w:val="53351804"/>
    <w:rsid w:val="537D1693"/>
    <w:rsid w:val="53FE549A"/>
    <w:rsid w:val="546678FF"/>
    <w:rsid w:val="546A2DD7"/>
    <w:rsid w:val="546B7238"/>
    <w:rsid w:val="546E732D"/>
    <w:rsid w:val="549A6DE6"/>
    <w:rsid w:val="54CD2ECD"/>
    <w:rsid w:val="54D20BD2"/>
    <w:rsid w:val="55042B22"/>
    <w:rsid w:val="5532185B"/>
    <w:rsid w:val="56262CED"/>
    <w:rsid w:val="562C735D"/>
    <w:rsid w:val="562E0C94"/>
    <w:rsid w:val="563E0617"/>
    <w:rsid w:val="566C25FC"/>
    <w:rsid w:val="56835832"/>
    <w:rsid w:val="56B64125"/>
    <w:rsid w:val="56D30D24"/>
    <w:rsid w:val="57451455"/>
    <w:rsid w:val="57A612FE"/>
    <w:rsid w:val="57BD278E"/>
    <w:rsid w:val="57E47C08"/>
    <w:rsid w:val="58384E9F"/>
    <w:rsid w:val="5854428E"/>
    <w:rsid w:val="58792C61"/>
    <w:rsid w:val="58F759A8"/>
    <w:rsid w:val="5902079B"/>
    <w:rsid w:val="59B0232D"/>
    <w:rsid w:val="59D0770B"/>
    <w:rsid w:val="59D6530C"/>
    <w:rsid w:val="5A061560"/>
    <w:rsid w:val="5A6759DE"/>
    <w:rsid w:val="5A926794"/>
    <w:rsid w:val="5AA920B1"/>
    <w:rsid w:val="5AFA61E5"/>
    <w:rsid w:val="5BE04CF1"/>
    <w:rsid w:val="5C107A24"/>
    <w:rsid w:val="5C3A0FD1"/>
    <w:rsid w:val="5C574F59"/>
    <w:rsid w:val="5CD350F0"/>
    <w:rsid w:val="5CE6210E"/>
    <w:rsid w:val="5D9530D7"/>
    <w:rsid w:val="5DBA05FC"/>
    <w:rsid w:val="5DCA10DE"/>
    <w:rsid w:val="5DE70B20"/>
    <w:rsid w:val="5DF2362D"/>
    <w:rsid w:val="5DFF297B"/>
    <w:rsid w:val="5E047354"/>
    <w:rsid w:val="5E0A7F88"/>
    <w:rsid w:val="5E307820"/>
    <w:rsid w:val="5E381174"/>
    <w:rsid w:val="5EFA43B2"/>
    <w:rsid w:val="5F084F5B"/>
    <w:rsid w:val="5F2A5CC2"/>
    <w:rsid w:val="5F2C2F14"/>
    <w:rsid w:val="5F3A0B32"/>
    <w:rsid w:val="5F3E5C6D"/>
    <w:rsid w:val="5FA83F7E"/>
    <w:rsid w:val="5FC8673B"/>
    <w:rsid w:val="5FE415A9"/>
    <w:rsid w:val="600528D0"/>
    <w:rsid w:val="600A7C6F"/>
    <w:rsid w:val="600B1462"/>
    <w:rsid w:val="601525A7"/>
    <w:rsid w:val="603E4DEE"/>
    <w:rsid w:val="60524CBB"/>
    <w:rsid w:val="608E0D29"/>
    <w:rsid w:val="60E7046A"/>
    <w:rsid w:val="61300BAB"/>
    <w:rsid w:val="6186446B"/>
    <w:rsid w:val="619D0DE7"/>
    <w:rsid w:val="61DB1FD7"/>
    <w:rsid w:val="61F02678"/>
    <w:rsid w:val="61F14A68"/>
    <w:rsid w:val="62232BD9"/>
    <w:rsid w:val="624D28D9"/>
    <w:rsid w:val="62713D85"/>
    <w:rsid w:val="629F395C"/>
    <w:rsid w:val="634A7186"/>
    <w:rsid w:val="63A628E7"/>
    <w:rsid w:val="63A70531"/>
    <w:rsid w:val="63B2138D"/>
    <w:rsid w:val="63C05425"/>
    <w:rsid w:val="63C76E2B"/>
    <w:rsid w:val="63F85AF3"/>
    <w:rsid w:val="64863671"/>
    <w:rsid w:val="64CF6D23"/>
    <w:rsid w:val="64D27625"/>
    <w:rsid w:val="64D82BDB"/>
    <w:rsid w:val="64FC7006"/>
    <w:rsid w:val="652545F1"/>
    <w:rsid w:val="65497A51"/>
    <w:rsid w:val="656C4775"/>
    <w:rsid w:val="65892A51"/>
    <w:rsid w:val="65910CF5"/>
    <w:rsid w:val="65F87457"/>
    <w:rsid w:val="66065F82"/>
    <w:rsid w:val="66283412"/>
    <w:rsid w:val="66464E59"/>
    <w:rsid w:val="66A65937"/>
    <w:rsid w:val="66CD0B92"/>
    <w:rsid w:val="66D97714"/>
    <w:rsid w:val="66E861F7"/>
    <w:rsid w:val="66EF0C54"/>
    <w:rsid w:val="66F96025"/>
    <w:rsid w:val="673C3EE8"/>
    <w:rsid w:val="67646CBD"/>
    <w:rsid w:val="67836A9D"/>
    <w:rsid w:val="67B460D7"/>
    <w:rsid w:val="67C77BD3"/>
    <w:rsid w:val="680C5C13"/>
    <w:rsid w:val="68904028"/>
    <w:rsid w:val="68C577C7"/>
    <w:rsid w:val="690B73FF"/>
    <w:rsid w:val="6931603D"/>
    <w:rsid w:val="695D321F"/>
    <w:rsid w:val="69752645"/>
    <w:rsid w:val="69E7570B"/>
    <w:rsid w:val="6A01339D"/>
    <w:rsid w:val="6A10276B"/>
    <w:rsid w:val="6A697ED7"/>
    <w:rsid w:val="6A736B02"/>
    <w:rsid w:val="6A815510"/>
    <w:rsid w:val="6AF237B3"/>
    <w:rsid w:val="6B03433F"/>
    <w:rsid w:val="6B0806D3"/>
    <w:rsid w:val="6B086AC0"/>
    <w:rsid w:val="6B1F790C"/>
    <w:rsid w:val="6B3B597C"/>
    <w:rsid w:val="6BA71F31"/>
    <w:rsid w:val="6BDE23DD"/>
    <w:rsid w:val="6C26601F"/>
    <w:rsid w:val="6C3F4AB7"/>
    <w:rsid w:val="6C545B27"/>
    <w:rsid w:val="6C547F8E"/>
    <w:rsid w:val="6C717D7E"/>
    <w:rsid w:val="6C742940"/>
    <w:rsid w:val="6C7453FA"/>
    <w:rsid w:val="6C79664A"/>
    <w:rsid w:val="6C8F2A58"/>
    <w:rsid w:val="6D140CDC"/>
    <w:rsid w:val="6D7B7D53"/>
    <w:rsid w:val="6D8E4A81"/>
    <w:rsid w:val="6D8E591C"/>
    <w:rsid w:val="6DD64783"/>
    <w:rsid w:val="6DE507BE"/>
    <w:rsid w:val="6DEB09AD"/>
    <w:rsid w:val="6E1678EA"/>
    <w:rsid w:val="6E696ACC"/>
    <w:rsid w:val="6E763CC6"/>
    <w:rsid w:val="6EE95172"/>
    <w:rsid w:val="6F193E31"/>
    <w:rsid w:val="6F5C661B"/>
    <w:rsid w:val="6F703873"/>
    <w:rsid w:val="6F781A6E"/>
    <w:rsid w:val="6F8663ED"/>
    <w:rsid w:val="6FE905B6"/>
    <w:rsid w:val="70954485"/>
    <w:rsid w:val="70B25FB8"/>
    <w:rsid w:val="70C17C1E"/>
    <w:rsid w:val="70C4087B"/>
    <w:rsid w:val="70C94D0C"/>
    <w:rsid w:val="70D50AB3"/>
    <w:rsid w:val="70F73E45"/>
    <w:rsid w:val="71220EA4"/>
    <w:rsid w:val="718A2FCF"/>
    <w:rsid w:val="719B148A"/>
    <w:rsid w:val="71A608FA"/>
    <w:rsid w:val="71B54FC4"/>
    <w:rsid w:val="71DE67DA"/>
    <w:rsid w:val="71E100EB"/>
    <w:rsid w:val="71E30B33"/>
    <w:rsid w:val="72110DC4"/>
    <w:rsid w:val="724D2185"/>
    <w:rsid w:val="727870EE"/>
    <w:rsid w:val="72B776B3"/>
    <w:rsid w:val="72EB763C"/>
    <w:rsid w:val="736B1CD3"/>
    <w:rsid w:val="73B36BE5"/>
    <w:rsid w:val="73DD5047"/>
    <w:rsid w:val="73EB629B"/>
    <w:rsid w:val="73F166C6"/>
    <w:rsid w:val="7449139B"/>
    <w:rsid w:val="74BA339E"/>
    <w:rsid w:val="75060BEF"/>
    <w:rsid w:val="757675D8"/>
    <w:rsid w:val="759E28D6"/>
    <w:rsid w:val="75A15174"/>
    <w:rsid w:val="75A243A9"/>
    <w:rsid w:val="75C37BC7"/>
    <w:rsid w:val="75FE0B64"/>
    <w:rsid w:val="760E7C87"/>
    <w:rsid w:val="76273F0E"/>
    <w:rsid w:val="765760F0"/>
    <w:rsid w:val="767F1604"/>
    <w:rsid w:val="76BA4B2B"/>
    <w:rsid w:val="76BE1DE5"/>
    <w:rsid w:val="76D07D62"/>
    <w:rsid w:val="77257894"/>
    <w:rsid w:val="77547DA8"/>
    <w:rsid w:val="77766E6A"/>
    <w:rsid w:val="778859C4"/>
    <w:rsid w:val="77C26189"/>
    <w:rsid w:val="77EA38B2"/>
    <w:rsid w:val="780069B9"/>
    <w:rsid w:val="78115EE3"/>
    <w:rsid w:val="785A7AE6"/>
    <w:rsid w:val="78AE50A7"/>
    <w:rsid w:val="78CD4068"/>
    <w:rsid w:val="790932DA"/>
    <w:rsid w:val="797E05BC"/>
    <w:rsid w:val="79D73B3A"/>
    <w:rsid w:val="7A4A7794"/>
    <w:rsid w:val="7A7129D2"/>
    <w:rsid w:val="7A8220CB"/>
    <w:rsid w:val="7ADB6B7B"/>
    <w:rsid w:val="7ADC164B"/>
    <w:rsid w:val="7B3D46EA"/>
    <w:rsid w:val="7B43390B"/>
    <w:rsid w:val="7B537BE1"/>
    <w:rsid w:val="7C140BA8"/>
    <w:rsid w:val="7C346B10"/>
    <w:rsid w:val="7C3B16E6"/>
    <w:rsid w:val="7C7359E1"/>
    <w:rsid w:val="7CB1053E"/>
    <w:rsid w:val="7CB33CCB"/>
    <w:rsid w:val="7CCE2782"/>
    <w:rsid w:val="7CF86088"/>
    <w:rsid w:val="7D0D5B5D"/>
    <w:rsid w:val="7D47588F"/>
    <w:rsid w:val="7DA17CE3"/>
    <w:rsid w:val="7DAA28EF"/>
    <w:rsid w:val="7DBA0E76"/>
    <w:rsid w:val="7DC16FAD"/>
    <w:rsid w:val="7DD83100"/>
    <w:rsid w:val="7DE24D38"/>
    <w:rsid w:val="7E543B0C"/>
    <w:rsid w:val="7E84211C"/>
    <w:rsid w:val="7EFC5C3D"/>
    <w:rsid w:val="7F047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paragraph" w:styleId="2">
    <w:name w:val="heading 1"/>
    <w:basedOn w:val="1"/>
    <w:next w:val="1"/>
    <w:link w:val="23"/>
    <w:qFormat/>
    <w:uiPriority w:val="0"/>
    <w:pPr>
      <w:keepNext/>
      <w:keepLines/>
      <w:spacing w:line="576" w:lineRule="auto"/>
      <w:outlineLvl w:val="0"/>
    </w:pPr>
    <w:rPr>
      <w:b/>
      <w:kern w:val="44"/>
      <w:sz w:val="44"/>
    </w:rPr>
  </w:style>
  <w:style w:type="paragraph" w:styleId="3">
    <w:name w:val="heading 2"/>
    <w:basedOn w:val="1"/>
    <w:next w:val="1"/>
    <w:link w:val="24"/>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spacing w:line="12" w:lineRule="atLeast"/>
      <w:jc w:val="left"/>
      <w:outlineLvl w:val="2"/>
    </w:pPr>
    <w:rPr>
      <w:rFonts w:hint="eastAsia" w:ascii="宋体" w:hAnsi="宋体" w:eastAsia="宋体" w:cs="Times New Roman"/>
      <w:b/>
      <w:kern w:val="0"/>
      <w:sz w:val="27"/>
      <w:szCs w:val="27"/>
    </w:rPr>
  </w:style>
  <w:style w:type="character" w:default="1" w:styleId="14">
    <w:name w:val="Default Paragraph Font"/>
    <w:unhideWhenUsed/>
    <w:uiPriority w:val="1"/>
  </w:style>
  <w:style w:type="table" w:default="1" w:styleId="22">
    <w:name w:val="Normal Table"/>
    <w:unhideWhenUsed/>
    <w:uiPriority w:val="99"/>
    <w:tblPr>
      <w:tblLayout w:type="fixed"/>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toc 3"/>
    <w:basedOn w:val="1"/>
    <w:next w:val="1"/>
    <w:unhideWhenUsed/>
    <w:qFormat/>
    <w:uiPriority w:val="39"/>
    <w:pPr>
      <w:widowControl/>
      <w:spacing w:after="100" w:line="259" w:lineRule="auto"/>
      <w:ind w:left="440"/>
      <w:jc w:val="left"/>
    </w:pPr>
    <w:rPr>
      <w:rFonts w:cs="Times New Roman" w:asciiTheme="minorHAnsi" w:hAnsiTheme="minorHAnsi"/>
      <w:kern w:val="0"/>
      <w:sz w:val="22"/>
    </w:rPr>
  </w:style>
  <w:style w:type="paragraph" w:styleId="7">
    <w:name w:val="Balloon Text"/>
    <w:basedOn w:val="1"/>
    <w:link w:val="25"/>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Title"/>
    <w:basedOn w:val="1"/>
    <w:next w:val="1"/>
    <w:qFormat/>
    <w:uiPriority w:val="0"/>
    <w:pPr>
      <w:jc w:val="center"/>
      <w:outlineLvl w:val="0"/>
    </w:pPr>
    <w:rPr>
      <w:rFonts w:ascii="Cambria" w:hAnsi="Cambria" w:eastAsia="方正小标宋简体"/>
      <w:b/>
      <w:bCs/>
      <w:sz w:val="44"/>
      <w:szCs w:val="32"/>
    </w:rPr>
  </w:style>
  <w:style w:type="character" w:styleId="15">
    <w:name w:val="Strong"/>
    <w:basedOn w:val="14"/>
    <w:qFormat/>
    <w:uiPriority w:val="0"/>
    <w:rPr>
      <w:b/>
    </w:rPr>
  </w:style>
  <w:style w:type="character" w:styleId="16">
    <w:name w:val="FollowedHyperlink"/>
    <w:basedOn w:val="14"/>
    <w:qFormat/>
    <w:uiPriority w:val="0"/>
    <w:rPr>
      <w:color w:val="000000"/>
      <w:sz w:val="12"/>
      <w:szCs w:val="12"/>
      <w:u w:val="none"/>
    </w:rPr>
  </w:style>
  <w:style w:type="character" w:styleId="17">
    <w:name w:val="Hyperlink"/>
    <w:basedOn w:val="14"/>
    <w:qFormat/>
    <w:uiPriority w:val="99"/>
    <w:rPr>
      <w:color w:val="000000"/>
      <w:sz w:val="12"/>
      <w:szCs w:val="12"/>
      <w:u w:val="none"/>
    </w:rPr>
  </w:style>
  <w:style w:type="character" w:styleId="18">
    <w:name w:val="HTML Code"/>
    <w:basedOn w:val="14"/>
    <w:qFormat/>
    <w:uiPriority w:val="0"/>
    <w:rPr>
      <w:rFonts w:hint="default" w:ascii="Consolas" w:hAnsi="Consolas" w:eastAsia="Consolas" w:cs="Consolas"/>
      <w:color w:val="E83E8C"/>
      <w:sz w:val="21"/>
      <w:szCs w:val="21"/>
    </w:rPr>
  </w:style>
  <w:style w:type="character" w:styleId="19">
    <w:name w:val="annotation reference"/>
    <w:basedOn w:val="14"/>
    <w:qFormat/>
    <w:uiPriority w:val="0"/>
    <w:rPr>
      <w:sz w:val="21"/>
      <w:szCs w:val="21"/>
    </w:rPr>
  </w:style>
  <w:style w:type="character" w:styleId="20">
    <w:name w:val="HTML Keyboard"/>
    <w:basedOn w:val="14"/>
    <w:qFormat/>
    <w:uiPriority w:val="0"/>
    <w:rPr>
      <w:rFonts w:ascii="Consolas" w:hAnsi="Consolas" w:eastAsia="Consolas" w:cs="Consolas"/>
      <w:color w:val="FFFFFF"/>
      <w:sz w:val="21"/>
      <w:szCs w:val="21"/>
      <w:shd w:val="clear" w:color="auto" w:fill="212529"/>
    </w:rPr>
  </w:style>
  <w:style w:type="character" w:styleId="21">
    <w:name w:val="HTML Sample"/>
    <w:basedOn w:val="14"/>
    <w:qFormat/>
    <w:uiPriority w:val="0"/>
    <w:rPr>
      <w:rFonts w:hint="default" w:ascii="Consolas" w:hAnsi="Consolas" w:eastAsia="Consolas" w:cs="Consolas"/>
      <w:sz w:val="21"/>
      <w:szCs w:val="21"/>
    </w:rPr>
  </w:style>
  <w:style w:type="character" w:customStyle="1" w:styleId="23">
    <w:name w:val="标题 1 字符"/>
    <w:link w:val="2"/>
    <w:qFormat/>
    <w:uiPriority w:val="0"/>
    <w:rPr>
      <w:b/>
      <w:kern w:val="44"/>
      <w:sz w:val="44"/>
    </w:rPr>
  </w:style>
  <w:style w:type="character" w:customStyle="1" w:styleId="24">
    <w:name w:val="标题 2 字符"/>
    <w:link w:val="3"/>
    <w:qFormat/>
    <w:uiPriority w:val="0"/>
    <w:rPr>
      <w:rFonts w:ascii="Arial" w:hAnsi="Arial" w:eastAsia="黑体"/>
      <w:b/>
      <w:sz w:val="32"/>
    </w:rPr>
  </w:style>
  <w:style w:type="character" w:customStyle="1" w:styleId="25">
    <w:name w:val="批注框文本 字符"/>
    <w:basedOn w:val="14"/>
    <w:link w:val="7"/>
    <w:qFormat/>
    <w:uiPriority w:val="0"/>
    <w:rPr>
      <w:rFonts w:ascii="Calibri" w:hAnsi="Calibri" w:eastAsiaTheme="minorEastAsia" w:cstheme="minorBidi"/>
      <w:kern w:val="2"/>
      <w:sz w:val="18"/>
      <w:szCs w:val="18"/>
    </w:rPr>
  </w:style>
  <w:style w:type="character" w:customStyle="1" w:styleId="26">
    <w:name w:val="disabled"/>
    <w:basedOn w:val="14"/>
    <w:qFormat/>
    <w:uiPriority w:val="0"/>
    <w:rPr>
      <w:color w:val="BFBFBF"/>
    </w:rPr>
  </w:style>
  <w:style w:type="character" w:customStyle="1" w:styleId="27">
    <w:name w:val="current4"/>
    <w:basedOn w:val="14"/>
    <w:qFormat/>
    <w:uiPriority w:val="0"/>
    <w:rPr>
      <w:color w:val="FFFFFF"/>
      <w:shd w:val="clear" w:color="auto" w:fill="428BCA"/>
    </w:rPr>
  </w:style>
  <w:style w:type="character" w:customStyle="1" w:styleId="28">
    <w:name w:val="current"/>
    <w:basedOn w:val="14"/>
    <w:qFormat/>
    <w:uiPriority w:val="0"/>
    <w:rPr>
      <w:color w:val="FFFFFF"/>
      <w:shd w:val="clear" w:color="auto" w:fill="428BCA"/>
    </w:rPr>
  </w:style>
  <w:style w:type="paragraph" w:customStyle="1" w:styleId="29">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ml\Desktop\&#32654;&#20029;&#20065;&#26449;\&#21103;&#26412;2018&#24180;&#39033;&#30446;&#25903;&#20986;&#32489;&#25928;&#35780;&#20215;&#35780;&#20998;&#34920;&#65288;2018&#24180;&#20065;&#26449;&#25391;&#20852;&#25112;&#30053;&#19987;&#39033;&#36164;&#37329;&#65288;&#25512;&#36827;&#32654;&#20029;&#23452;&#23621;&#20065;&#26449;&#24314;&#35774;&#65289;&#65289;2019.7.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6247594050744"/>
          <c:y val="0.0283140283140283"/>
          <c:w val="0.729662073490814"/>
          <c:h val="0.924843583741222"/>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Sheet2!$U$9:$U$30</c:f>
              <c:strCache>
                <c:ptCount val="22"/>
                <c:pt idx="0">
                  <c:v>服务对象满意度</c:v>
                </c:pt>
                <c:pt idx="1">
                  <c:v>可持续发展</c:v>
                </c:pt>
                <c:pt idx="2">
                  <c:v>生态效益</c:v>
                </c:pt>
                <c:pt idx="3">
                  <c:v>社会效益</c:v>
                </c:pt>
                <c:pt idx="4">
                  <c:v>经济效益</c:v>
                </c:pt>
                <c:pt idx="5">
                  <c:v>完成质量</c:v>
                </c:pt>
                <c:pt idx="6">
                  <c:v>完成进度</c:v>
                </c:pt>
                <c:pt idx="7">
                  <c:v>成本节约</c:v>
                </c:pt>
                <c:pt idx="8">
                  <c:v>预算控制</c:v>
                </c:pt>
                <c:pt idx="9">
                  <c:v>监管有效性</c:v>
                </c:pt>
                <c:pt idx="10">
                  <c:v>程序规范性</c:v>
                </c:pt>
                <c:pt idx="11">
                  <c:v>支出规范性</c:v>
                </c:pt>
                <c:pt idx="12">
                  <c:v>资金支出率</c:v>
                </c:pt>
                <c:pt idx="13">
                  <c:v>资金分配合理性</c:v>
                </c:pt>
                <c:pt idx="14">
                  <c:v>资金到位及时性</c:v>
                </c:pt>
                <c:pt idx="15">
                  <c:v>资金到位率</c:v>
                </c:pt>
                <c:pt idx="16">
                  <c:v>计划安排合理性</c:v>
                </c:pt>
                <c:pt idx="17">
                  <c:v>制度完整性</c:v>
                </c:pt>
                <c:pt idx="18">
                  <c:v>可衡量性</c:v>
                </c:pt>
                <c:pt idx="19">
                  <c:v>合理性</c:v>
                </c:pt>
                <c:pt idx="20">
                  <c:v>完整性</c:v>
                </c:pt>
                <c:pt idx="21">
                  <c:v>论证充分性</c:v>
                </c:pt>
              </c:strCache>
            </c:strRef>
          </c:cat>
          <c:val>
            <c:numRef>
              <c:f>Sheet2!$V$9:$V$30</c:f>
              <c:numCache>
                <c:formatCode>0.0%</c:formatCode>
                <c:ptCount val="22"/>
                <c:pt idx="0">
                  <c:v>0.92</c:v>
                </c:pt>
                <c:pt idx="1">
                  <c:v>0.86</c:v>
                </c:pt>
                <c:pt idx="2">
                  <c:v>0.9</c:v>
                </c:pt>
                <c:pt idx="3">
                  <c:v>0.8875</c:v>
                </c:pt>
                <c:pt idx="4">
                  <c:v>0.9</c:v>
                </c:pt>
                <c:pt idx="5">
                  <c:v>0.9</c:v>
                </c:pt>
                <c:pt idx="6">
                  <c:v>0.833333333333333</c:v>
                </c:pt>
                <c:pt idx="7">
                  <c:v>1</c:v>
                </c:pt>
                <c:pt idx="8">
                  <c:v>1</c:v>
                </c:pt>
                <c:pt idx="9">
                  <c:v>0.9</c:v>
                </c:pt>
                <c:pt idx="10">
                  <c:v>1</c:v>
                </c:pt>
                <c:pt idx="11">
                  <c:v>1</c:v>
                </c:pt>
                <c:pt idx="12">
                  <c:v>0.75</c:v>
                </c:pt>
                <c:pt idx="13">
                  <c:v>1</c:v>
                </c:pt>
                <c:pt idx="14">
                  <c:v>1</c:v>
                </c:pt>
                <c:pt idx="15">
                  <c:v>1</c:v>
                </c:pt>
                <c:pt idx="16">
                  <c:v>1</c:v>
                </c:pt>
                <c:pt idx="17">
                  <c:v>1</c:v>
                </c:pt>
                <c:pt idx="18">
                  <c:v>0.925</c:v>
                </c:pt>
                <c:pt idx="19">
                  <c:v>0.95</c:v>
                </c:pt>
                <c:pt idx="20">
                  <c:v>0.975</c:v>
                </c:pt>
                <c:pt idx="21">
                  <c:v>1</c:v>
                </c:pt>
              </c:numCache>
            </c:numRef>
          </c:val>
        </c:ser>
        <c:dLbls>
          <c:showLegendKey val="0"/>
          <c:showVal val="1"/>
          <c:showCatName val="0"/>
          <c:showSerName val="0"/>
          <c:showPercent val="0"/>
          <c:showBubbleSize val="0"/>
        </c:dLbls>
        <c:gapWidth val="182"/>
        <c:axId val="653681464"/>
        <c:axId val="653676664"/>
      </c:barChart>
      <c:catAx>
        <c:axId val="653681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3676664"/>
        <c:crosses val="autoZero"/>
        <c:auto val="1"/>
        <c:lblAlgn val="ctr"/>
        <c:lblOffset val="100"/>
        <c:noMultiLvlLbl val="0"/>
      </c:catAx>
      <c:valAx>
        <c:axId val="65367666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3681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457722-179A-44E9-8DC3-FCEFB79D7B21}">
  <ds:schemaRefs/>
</ds:datastoreItem>
</file>

<file path=docProps/app.xml><?xml version="1.0" encoding="utf-8"?>
<Properties xmlns="http://schemas.openxmlformats.org/officeDocument/2006/extended-properties" xmlns:vt="http://schemas.openxmlformats.org/officeDocument/2006/docPropsVTypes">
  <Template>Normal</Template>
  <Pages>1</Pages>
  <Words>1640</Words>
  <Characters>9350</Characters>
  <Lines>77</Lines>
  <Paragraphs>21</Paragraphs>
  <TotalTime>5</TotalTime>
  <ScaleCrop>false</ScaleCrop>
  <LinksUpToDate>false</LinksUpToDate>
  <CharactersWithSpaces>10969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2019-08-06T08:53:00Z</dcterms:created>
  <dc:creator>诚安信-林</dc:creator>
  <cp:lastModifiedBy>user</cp:lastModifiedBy>
  <cp:lastPrinted>2019-07-20T03:19:00Z</cp:lastPrinted>
  <dcterms:modified xsi:type="dcterms:W3CDTF">2019-08-15T11:00:33Z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