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56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left" w:pos="2835"/>
        </w:tabs>
        <w:adjustRightInd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金融支农智库专家入库信息汇总表</w:t>
      </w:r>
    </w:p>
    <w:p>
      <w:pPr>
        <w:numPr>
          <w:ilvl w:val="0"/>
          <w:numId w:val="0"/>
        </w:numPr>
        <w:tabs>
          <w:tab w:val="left" w:pos="2835"/>
        </w:tabs>
        <w:adjustRightInd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Lines="0" w:afterLines="0" w:line="560" w:lineRule="exac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单位（盖章）：</w:t>
      </w:r>
    </w:p>
    <w:tbl>
      <w:tblPr>
        <w:tblStyle w:val="8"/>
        <w:tblW w:w="135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57"/>
        <w:gridCol w:w="2249"/>
        <w:gridCol w:w="2408"/>
        <w:gridCol w:w="1098"/>
        <w:gridCol w:w="1151"/>
        <w:gridCol w:w="1151"/>
        <w:gridCol w:w="1773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57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专家姓名</w:t>
            </w:r>
          </w:p>
        </w:tc>
        <w:tc>
          <w:tcPr>
            <w:tcW w:w="224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408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院系/部门</w:t>
            </w:r>
          </w:p>
        </w:tc>
        <w:tc>
          <w:tcPr>
            <w:tcW w:w="1098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15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15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773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74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408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408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408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408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408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408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12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7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408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73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746" w:type="dxa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填表人：    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rPr>
          <w:rFonts w:hint="default" w:ascii="Times New Roman" w:hAnsi="Times New Roman" w:eastAsia="宋体" w:cs="Times New Roman"/>
          <w:sz w:val="21"/>
          <w:szCs w:val="24"/>
          <w:lang w:eastAsia="zh-CN"/>
        </w:rPr>
        <w:sectPr>
          <w:footerReference r:id="rId4" w:type="first"/>
          <w:footerReference r:id="rId3" w:type="default"/>
          <w:pgSz w:w="16838" w:h="11906" w:orient="landscape"/>
          <w:pgMar w:top="1531" w:right="1701" w:bottom="1531" w:left="1701" w:header="851" w:footer="992" w:gutter="0"/>
          <w:pgNumType w:fmt="numberInDash" w:chapStyle="1" w:chapSep="emDash"/>
          <w:cols w:space="720" w:num="1"/>
          <w:titlePg/>
          <w:rtlGutter w:val="0"/>
          <w:docGrid w:type="linesAndChars" w:linePitch="442" w:charSpace="205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372745</wp:posOffset>
                </wp:positionV>
                <wp:extent cx="419100" cy="762000"/>
                <wp:effectExtent l="0" t="0" r="762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9765" y="2578735"/>
                          <a:ext cx="419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3 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85pt;margin-top:29.35pt;height:60pt;width:33pt;z-index:251659264;mso-width-relative:page;mso-height-relative:page;" fillcolor="#FFFFFF" filled="t" stroked="f" coordsize="21600,21600" o:gfxdata="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1QiOjYAAAACwEAAA8AAAAAAAAA&#10;AQAgAAAAIgAAAGRycy9kb3ducmV2LnhtbFBLAQIUABQAAAAIAIdO4kA6h009SgIAAFsEAAAOAAAA&#10;AAAAAAEAIAAAACcBAABkcnMvZTJvRG9jLnhtbFBLBQYAAAAABgAGAFkBAADjBQAAAAA=&#10;">
                <v:path/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3 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beforeLines="0" w:afterLines="0"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金融支农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智库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专家入库信息登记表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tbl>
      <w:tblPr>
        <w:tblStyle w:val="7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769"/>
        <w:gridCol w:w="1550"/>
        <w:gridCol w:w="2411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7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9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  务</w:t>
            </w:r>
          </w:p>
        </w:tc>
        <w:tc>
          <w:tcPr>
            <w:tcW w:w="17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称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9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17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话话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话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9" w:type="dxa"/>
            <w:vMerge w:val="continue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  机</w:t>
            </w:r>
          </w:p>
        </w:tc>
        <w:tc>
          <w:tcPr>
            <w:tcW w:w="176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QQ/微信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9" w:type="dxa"/>
            <w:vMerge w:val="continue"/>
            <w:tcBorders>
              <w:left w:val="nil"/>
              <w:bottom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774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7749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研究领域</w:t>
            </w:r>
          </w:p>
        </w:tc>
        <w:tc>
          <w:tcPr>
            <w:tcW w:w="774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60" w:type="dxa"/>
            <w:gridSpan w:val="5"/>
            <w:vAlign w:val="top"/>
          </w:tcPr>
          <w:p>
            <w:pPr>
              <w:spacing w:before="120" w:line="480" w:lineRule="exact"/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个人履历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含：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学术专长、研究方向及主要成果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（300-500字）：</w:t>
            </w:r>
          </w:p>
          <w:p>
            <w:pPr>
              <w:spacing w:line="460" w:lineRule="exact"/>
              <w:ind w:firstLine="560" w:firstLineChars="200"/>
              <w:rPr>
                <w:rFonts w:hint="eastAsia" w:ascii="Times New Roman" w:eastAsia="宋体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Times New Roman" w:eastAsia="宋体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Times New Roman" w:eastAsia="宋体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Times New Roman" w:eastAsia="宋体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Times New Roman" w:eastAsia="宋体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Times New Roman" w:eastAsia="宋体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Times New Roman" w:eastAsia="宋体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Times New Roman" w:eastAsia="宋体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60" w:type="dxa"/>
            <w:gridSpan w:val="5"/>
            <w:vAlign w:val="top"/>
          </w:tcPr>
          <w:p>
            <w:pPr>
              <w:spacing w:before="120" w:line="48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金融支农或研究课题建议（100-300字）：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60" w:type="dxa"/>
            <w:gridSpan w:val="5"/>
            <w:vAlign w:val="top"/>
          </w:tcPr>
          <w:p>
            <w:pPr>
              <w:spacing w:before="120" w:line="4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推荐单位意见：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 xml:space="preserve">                                                     （盖章）</w:t>
            </w: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 xml:space="preserve">                                          2021年   月   日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260" w:type="dxa"/>
            <w:gridSpan w:val="5"/>
            <w:vAlign w:val="top"/>
          </w:tcPr>
          <w:p>
            <w:pPr>
              <w:spacing w:before="120" w:line="48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同时推荐广东省农业专家库：□同意  □不同意    本人签名：</w:t>
            </w:r>
          </w:p>
        </w:tc>
      </w:tr>
    </w:tbl>
    <w:p>
      <w:pPr>
        <w:tabs>
          <w:tab w:val="left" w:pos="2151"/>
        </w:tabs>
        <w:jc w:val="left"/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4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djustRightInd w:val="0"/>
        <w:snapToGrid w:val="0"/>
        <w:spacing w:beforeLines="0" w:afterLines="0" w:line="590" w:lineRule="exact"/>
        <w:ind w:firstLine="0" w:firstLineChars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广东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省农业农村厅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金融支农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智库管理办法（暂行）</w:t>
      </w:r>
    </w:p>
    <w:p>
      <w:pPr>
        <w:pStyle w:val="4"/>
        <w:adjustRightInd w:val="0"/>
        <w:snapToGrid w:val="0"/>
        <w:spacing w:beforeLines="0" w:afterLines="0" w:line="59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加强金融支农的理论实践总结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和研究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，深化对金融支农工作的理论认识和规律把握，强化对金融支农工作的实践指导和服务支持，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成立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广东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省农业农村厅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金融支农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智库。为规范智库管理制定本办法。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主要任务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围绕省委省政府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三农工作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的总体部署，紧扣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金融支农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的新形势、新任务、新要求，紧抓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金融支农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的新情况、新特点、新问题，精心组织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入库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专家，扎实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金融支农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理论研究、政策研究、实践总结、发展趋势预测等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方面的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研究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参与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重大决策咨询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项目规划评估、重大课题调研、重要学术交流、专题论坛培训等事务性工作，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三农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决策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工作指导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和联盟工作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提供理论指导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智力支持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专业服务，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广东金融支农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的针对性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可及性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和实效性。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智库管理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金融支农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智库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省农业农村厅指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的常设咨询服务机构。金融支农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智库专家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农业农村厅聘任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，每届任期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智库专家条件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（一）熟悉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农业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管理、金融、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保险、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信贷等领域的专家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、学者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，具有项目管理、金融、信贷、投资、法律等方面工作经验。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具有良好的职业道德，无不良从业记录，科学严谨、廉洁自律、作风正派、坚持原则、保守秘密，能够认真、客观公正地履行职责，愿意参加广东金融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支农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相关业务评议、论证以及战略咨询服务等工作。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）年龄在60岁以下，身体健康，能胜任专家咨询工作。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）在本专业（行业）具有副高级以上职称或具有同等水平的国家执业资格证书。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）工作经验丰富，具有较高的业务水平和工作能力；熟悉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农业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、金融、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保险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、信贷、企业管理等领域的专业理论知识、相关政策和规章制度。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专家产生及退出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智库专家主要面向广东金融支农联盟成员单位、银行、保险、投资及高等院校等部门，通过单位推荐和个人自荐，择优选取。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专家有以下情形的，经批准予以解聘：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因个人原因不能履职的；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无正当理由，长期不参与智库活动的；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3、违反规定，私自以智库名义从事谋利活动的；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4、因违纪违法行为，受到行政、司法处理的。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专家委员会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spacing w:val="-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color w:val="auto"/>
          <w:spacing w:val="-9"/>
          <w:kern w:val="0"/>
          <w:sz w:val="32"/>
          <w:szCs w:val="32"/>
        </w:rPr>
        <w:t>融支农</w:t>
      </w:r>
      <w:r>
        <w:rPr>
          <w:rFonts w:hint="eastAsia" w:ascii="仿宋_GB2312" w:hAnsi="仿宋_GB2312" w:eastAsia="仿宋_GB2312" w:cs="仿宋_GB2312"/>
          <w:color w:val="auto"/>
          <w:spacing w:val="-9"/>
          <w:kern w:val="0"/>
          <w:sz w:val="32"/>
          <w:szCs w:val="32"/>
          <w:lang w:eastAsia="zh-CN"/>
        </w:rPr>
        <w:t>智库</w:t>
      </w:r>
      <w:r>
        <w:rPr>
          <w:rFonts w:hint="eastAsia" w:ascii="仿宋_GB2312" w:hAnsi="仿宋_GB2312" w:eastAsia="仿宋_GB2312" w:cs="仿宋_GB2312"/>
          <w:color w:val="auto"/>
          <w:spacing w:val="-9"/>
          <w:kern w:val="0"/>
          <w:sz w:val="32"/>
          <w:szCs w:val="32"/>
        </w:rPr>
        <w:t>专家</w:t>
      </w:r>
      <w:r>
        <w:rPr>
          <w:rFonts w:hint="eastAsia" w:ascii="仿宋_GB2312" w:hAnsi="仿宋_GB2312" w:eastAsia="仿宋_GB2312" w:cs="仿宋_GB2312"/>
          <w:color w:val="auto"/>
          <w:spacing w:val="-9"/>
          <w:kern w:val="0"/>
          <w:sz w:val="32"/>
          <w:szCs w:val="32"/>
          <w:lang w:eastAsia="zh-CN"/>
        </w:rPr>
        <w:t>委员</w:t>
      </w:r>
      <w:r>
        <w:rPr>
          <w:rFonts w:hint="eastAsia" w:ascii="仿宋_GB2312" w:hAnsi="仿宋_GB2312" w:eastAsia="仿宋_GB2312" w:cs="仿宋_GB2312"/>
          <w:color w:val="auto"/>
          <w:spacing w:val="-9"/>
          <w:kern w:val="0"/>
          <w:sz w:val="32"/>
          <w:szCs w:val="32"/>
        </w:rPr>
        <w:t>会设主任委员一人，副主任委员</w:t>
      </w:r>
      <w:r>
        <w:rPr>
          <w:rFonts w:hint="eastAsia" w:ascii="仿宋_GB2312" w:hAnsi="仿宋_GB2312" w:eastAsia="仿宋_GB2312" w:cs="仿宋_GB2312"/>
          <w:color w:val="auto"/>
          <w:spacing w:val="-9"/>
          <w:kern w:val="0"/>
          <w:sz w:val="32"/>
          <w:szCs w:val="32"/>
          <w:lang w:val="en-US" w:eastAsia="zh-CN"/>
        </w:rPr>
        <w:t>2-3</w:t>
      </w:r>
      <w:r>
        <w:rPr>
          <w:rFonts w:hint="eastAsia" w:ascii="仿宋_GB2312" w:hAnsi="仿宋_GB2312" w:eastAsia="仿宋_GB2312" w:cs="仿宋_GB2312"/>
          <w:color w:val="auto"/>
          <w:spacing w:val="-9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专家委员会下设秘书处，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设在省农业农村厅计划财务处，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负责专家委员会的日常事务，由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广东金融支农联盟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归口管理。秘书处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秘书长、副秘书长各1人，由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广东金融支农联盟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选派有关人员担任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专家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委员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会主任委员、副主任委员工作职责：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1．负责审定专家委员会的工作计划，落实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农业农村厅或广东金融支农联盟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重大决策的咨询任务；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2．负责组织向专家委员会委员通报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金融支农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工作情况；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3．研究决定专家委员会的重大事项；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4．主持召开委员会年会、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专题论证会议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或以委员会名义举办的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金融支农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论坛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讲堂、培训班、成果展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5．参加专家委员会有关工作小组的活动。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专家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eastAsia="zh-CN"/>
        </w:rPr>
        <w:t>委员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会秘书处的工作职责是：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1．拟定专家委员会的工作计划，经批准后组织实施；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2．根据工作计划组织召开年会、专题咨询会、高层论坛、主任办公会议和秘书长办公会议等；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3．联系委员、组织协调调研工作，编辑印发委员会月刊《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广东金融支农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动态》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暂定名）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，及时反映工作情况和专家建议；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4．承担专家委员会交办的其它工作。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jc w:val="both"/>
        <w:rPr>
          <w:rFonts w:hint="eastAsia" w:ascii="黑体" w:hAnsi="黑体" w:eastAsia="黑体" w:cs="黑体"/>
          <w:b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专家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委员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会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</w:rPr>
        <w:t>工作方式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委员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会从实际出发，以多种形式开展工作，主要包括：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1．承担省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农业农村厅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广东金融支农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联盟及联盟成员单位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交办、指定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的课题研究和调研工作。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2．召开年会。专家委员会（全体会议）每年召开1次。主要任务是向全体委员通报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金融支农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工作情况、总结专家委员会工作，通报下一年的工作安排，就下一年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金融支农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工作和专家委员会工作听取各位委员的意见和建议。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3．召开专题咨询会。会议不定期召开，主要任务是就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农业农村厅、广东金融支农联盟及联盟成员单位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有关重大决策，组织相关委员会召开专题咨询会，听取委员的意见和建议。对决策中需要深入研究论证的问题，必要时可组织相关委员开展实地调研。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4．举办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金融支农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高层论坛。根据需要依托有关单位举办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论坛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，利用交流平台，不断丰富和完善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金融支农策略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和政策体系。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5．专家委员会采取咨询座谈、书面建议、方案论证《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广东金融支农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动态》等形式向领导小组提供咨询意见和建议。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beforeLines="0" w:afterLines="0" w:line="590" w:lineRule="exact"/>
        <w:ind w:right="0" w:rightChars="0"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6．专家委员会向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省农业农村厅、广东金融支农联盟及联盟重点单位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提出意见和建议，由专家委员会秘书处报送。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金融支农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智库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专家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委员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秘书处（地址：广州市先烈东路135号12楼，邮箱：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gd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  <w:lang w:val="en-US" w:eastAsia="zh-CN"/>
        </w:rPr>
        <w:t>znlm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kern w:val="0"/>
          <w:sz w:val="32"/>
          <w:szCs w:val="32"/>
          <w:u w:val="none"/>
        </w:rPr>
        <w:t>@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u w:val="none"/>
        </w:rPr>
        <w:t>163.com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）。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590" w:lineRule="exact"/>
        <w:ind w:firstLine="640" w:firstLineChars="200"/>
        <w:jc w:val="both"/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（联系人：陈锴 020-37236548/13433858319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1412"/>
    <w:multiLevelType w:val="singleLevel"/>
    <w:tmpl w:val="38B014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D89C28"/>
    <w:multiLevelType w:val="singleLevel"/>
    <w:tmpl w:val="5ED89C2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E1E5E"/>
    <w:rsid w:val="763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uiPriority w:val="0"/>
    <w:pPr>
      <w:ind w:left="200" w:leftChars="200"/>
    </w:pPr>
    <w:rPr>
      <w:rFonts w:ascii="Times New Roman" w:hAnsi="Times New Roman" w:eastAsia="宋体" w:cs="Times New Roman"/>
      <w:sz w:val="21"/>
      <w:szCs w:val="24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2021-09-14T02:03:00Z</dcterms:created>
  <dc:creator>84965</dc:creator>
  <cp:lastModifiedBy>84965</cp:lastModifiedBy>
  <dcterms:modified xsi:type="dcterms:W3CDTF">2021-09-14T02:04:43Z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