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widowControl w:val="0"/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广东省2022年化肥减量增效实施方案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今年以来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，受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原材料价格上涨、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国际地缘冲突加剧等多重因素影响，导致化肥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市场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价格连续上涨，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目前仍处于高位运行状态，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民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种植成本压力增大。为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进一步夯实我省粮食安全技术支撑，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深入推进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化肥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减量增效、促进农业绿色低碳发展，按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照农业农村部种植业管理司《关于做好2022年化肥减量增效工作的通知》（农农（肥水）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〔2022〕3号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）要求，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eastAsia="zh-CN"/>
        </w:rPr>
        <w:t>结合我省实际，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特制定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方案。</w:t>
      </w:r>
    </w:p>
    <w:p>
      <w:pPr>
        <w:numPr>
          <w:ilvl w:val="0"/>
          <w:numId w:val="2"/>
        </w:num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  <w:t>总体要求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以习近平新时代中国特色社会主义思想为指导，全面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eastAsia="zh-CN"/>
        </w:rPr>
        <w:t>、准确、完整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贯彻新发展理念，以保障粮食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和重要农产品有效供给、促进农业绿色发展为目标，按照“高产、优质、经济、环保”的要求，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持续推进测土配方施肥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和化肥减量增效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，通过有机替代、智能施肥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、统测统配统供统施生产托管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等多种途径，优化施肥结构，减少不合理化肥使用，提高化肥利用率，千方百计降低农民用肥成本，为实现农业绿色高质量发展提供有力支撑。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  <w:t>二、目标任务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继续夯实测土配方施肥基础，在全省开展取土化验和植株测试6000个以上，完成各种肥料效应、化肥利用率等田间试验400个以上，开展农户施肥情况调查110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户，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充实更新我省测土配方施肥数据库和指标体系，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完善测土配方施肥指导应用平台，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测土配方施肥数字管理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水平，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扩大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施肥指导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“云”使用和智能应用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覆盖面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，使全省主要农作物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测土配方施肥技术推广面积达到49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万亩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、技术覆盖率保持在90%以上。转变肥料利用方式，大力推广施肥新技术、新产品、新机具“三新”配套，打造化肥减量增效升级版8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万亩次，有效降低化肥施用强度，实现节本增效。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Cs w:val="32"/>
        </w:rPr>
        <w:t>三、重点工作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  <w:t>（一）整合各方力量，夯实测土配方施肥基础工作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测土配方施肥工作内容多、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涉及层面多、时间紧、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任务重，需要统筹各方力量，齐心协力抓实抓好。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开展取土化验，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摸清土壤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养分。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各地农业农村（市场监管）局要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按照相关技术标准，合理布设调查采样点位，进一步扩大样本的代表性，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及时抽取土壤样品并寄送相关检测单位，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全省完成6000个以上土壤样品采集和检测。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土壤样品检测单位要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安排专业技术人员，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加快工作进度，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加强检测质量监控，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强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化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不同检测单位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较验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比对，确保检测质量，在项目完成后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及时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向我厅报送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土壤样品检测结果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和承担项目工作总结（包括承担检测任务情况、工作成效、采取的措施、工作质量状况、存在问题和下一步工作建议）。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省农业环境与耕地质量保护中心要加强对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检测单位检测质量的监管和检测结果筛选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，各地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耕地养分现状和变化趋势的分析研判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继续在湛江市开展集中取样，由湛江市农业技术推广中心联合第三方机构（当地农业教学或科研单位）承担湛江市各县（市、区）土壤样品采集任务，县（市、区）农业农村部门派出技术人员协助采样。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开展农户调查，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采集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施肥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信息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在往年调查的基础上，进一步增加调查点，扩大覆盖面，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充分利用当地土地确权成果数据和新型经营主体分布状况，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围绕当地主栽作物，选择有代表性的新型经营主体或农户，利用“施肥监测通”小程序（二维码见附件2）调查采集农户施肥信息，构建施肥数据库，研判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各地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主要作物施肥量变化情况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（今年与去年同期变化情况）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，全省完成110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个农户施肥情况调查任务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为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做好指导各地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科学施肥奠定基础。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整合技术力量，做好田间试验。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我厅委托相关省级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科研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教学等单位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深入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各有关县（市、区）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开展田间肥效试验400个以上，包括水稻化肥利用率试验、经济作物“2+X”田间肥效试验、肥效校正试验和中微量元素单因子肥效试验。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各有关市、县农业农村部门要落实专人负责，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提早谋划，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密切配合相关省级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科研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教学等单位，综合考虑各地主栽作物面积、分布、地力等级（高、中、低产田）以及肥料新产品、施肥新方式和施用新技术等因素，合理布局、科学选点，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选择工作基础较好、责任心强、田块代表性强的镇村农户或者是当地农科所直接挂钩联系的田块，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统筹做好试验工作，为客观评估化肥减量增效工作成效提供第一手资料。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各地要千方百计提高田间试验质量，除受灾损失外，务必使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每个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试验任务获得成功。各省直科研、教学单位要切实负起责任，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成立田间试验专班或小分队，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联合当地制订田间试验方案，发挥专家技术优势，转变工作作风，加强田间指导，提高田间到位率，检查田间试验主要环节是否落实到位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，在做好田间试验的同时，指导、宣传、培训所在县（市、区）科学施肥技术工作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；要根据承担省农业农村厅的任务要求，在田间试验项目完成两个月内，整理出各自负责的田间试验报告（包括有规律性的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  <w:lang w:eastAsia="zh-CN"/>
        </w:rPr>
        <w:t>趋向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报告）和工作总结（包括承担项目情况、工作成效、采取的措施、田间试验完成质量、存在问题和下一步工作建议），对田间试验不成功的，要提供相关佐证材料。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全省土壤样品采集、农户施肥情况调查、田间肥效试验方案由省农业环境与耕地质量保护中心另文印发。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  <w:t>）强化宣传指导服务，推广应用测土配方施肥技术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Cs w:val="32"/>
        </w:rPr>
        <w:t>最近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Cs w:val="32"/>
          <w:lang w:eastAsia="zh-CN"/>
        </w:rPr>
        <w:t>我省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Cs w:val="32"/>
        </w:rPr>
        <w:t>多地受“龙舟水”强降雨和“暹巴”台风影响，各地要结合当地实际，强化“以晚补早”，把推广应用测土配方施肥作为“以晚补早”提高全年粮食产量的主要措施。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一要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  <w:lang w:eastAsia="zh-CN"/>
        </w:rPr>
        <w:t>宣传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传播科学施肥理念。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各地要结合当地的主栽作物，制定施肥指导意见，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通过网站、公众号、挂图、宣传单、施肥建议卡、小册子、树标志牌等方式，向广大农民宣传科学施肥知识；聘请专家讲课，传授测土配方施肥技术。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Cs w:val="32"/>
        </w:rPr>
        <w:t>二要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推动“施肥博士”进村入户。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各地要充分运用我省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“施肥博士”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指导平台，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继续向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种植大户、农业龙头企业、新型经营主体和农民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宣传推介“施肥博士”微信小程序（二维码见附件2）或App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指导使用智能化施肥专家系统。在村民较为集中、显眼位置，以墙报、公开栏等多种形式展示“施肥博士”的用法，让农民方便、简捷、有效掌握精准施肥知识，科学施用化肥，努力解决推荐施肥最后一公里技术难题。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Cs w:val="32"/>
        </w:rPr>
        <w:t>三要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及时发布肥料配方。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我厅将对近年来农户使用量较大的县域配方进行汇总、提炼和审定，对同一作物相近配方进行归类合并，形成不同作物的“大配方”，引导肥料企业按“方”生产，通过农企合作等方式加快推进配方肥落地。各县（市、区）以土壤养分、肥效试验和目标产量为依据，综合考虑作物类型、栽培措施、施肥方式等，精准制定肥料配方，通过网站、公众号、施肥建议卡、宣传单、小册子等方式，向广大农民宣传发布。</w:t>
      </w:r>
      <w:r>
        <w:rPr>
          <w:rFonts w:hint="default" w:ascii="仿宋_GB2312" w:hAnsi="仿宋_GB2312" w:eastAsia="仿宋_GB2312" w:cs="仿宋_GB2312"/>
          <w:b/>
          <w:bCs/>
          <w:color w:val="000000"/>
          <w:kern w:val="0"/>
          <w:szCs w:val="32"/>
        </w:rPr>
        <w:t>四要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宣传推介施肥新技术、肥料新品种。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结合推广侧深施肥技术、一次性施肥技术、无人机追肥技术、机械深施技术等，支持和鼓励农民使用包膜、添加生化抑制剂等缓释技术的肥料，提高化肥利用效率，减少化肥用量。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  <w:t>（三）强化科学施肥技术应用，千方百计降低农业生产成本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今年由于化肥市场价格上涨幅度较大，而且目前仍在高位运行，导致农业生产成本比往年普遍提高，各地农业农村部门要有底线思维，立足当地粮食安全，指导种粮大户、农业龙头企业、新型经营主体和农民推广使用增施有机肥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等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科学施肥技术，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千方百计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减少化肥施用量，可有效降低农业生产成本，提高种植效益。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主要通过三种途径实行有机替代，减少化肥投入。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一是秸秆还田。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我省稻秆资源量多面广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，稻草还田是目前我省秸秆综合利用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主要方式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。据我省在多地多点试验结果表明，早稻稻草还田后晚造的钾效应为0.0239，即每压100公斤干稻草后在晚造可以与2.39公斤氧化钾（大约相当4公斤氯化钾）同效。早造水稻收割后，利用无人机喷施腐秆液，实行秸秆腐熟还田或机械化秸秆全量还田、半量还田，增加有机养分，施用配方肥，减少化肥（特别是钾肥）用量，打造秸秆还田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—良种—测土配方施肥三配套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示范区。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二是种植绿肥。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利用我省丰富的冬季温光资源，因地制宜种植紫云英、笤子、蚕豆、油菜等作物，并接种根瘤菌剂。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明年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3月份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盛花期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将鲜草翻压还田，下茬作物施用配方肥，形成绿肥翻压还田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—良种—测土配方施肥三配套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技术模式。据测算，每吨绿肥鲜草可减少氮肥（N）1-2公斤，是一种值得推广的化肥减量技术。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三是施用有机肥。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在畜禽养殖大县，推行绿色种养循环农业，对施用粪肥、生物有机肥、商品有机肥给予适当补贴，推动有机肥在大田作物上施用，减少化肥施用。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Cs w:val="32"/>
        </w:rPr>
        <w:t>（四）创新工作方式，打造化肥减量增效升级版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根据农业农村部的要求，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在夯实测土配方施肥基础工作的同时，结合农业生产托管服务，配套推广施肥新技术、新产品、新机具，在全省打造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83.5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万亩次化肥减量增效升级版，实现“测、配、产、供、施”协调、农机农艺融合、农户用肥成本降低、肥料效益提升等目标。根据项目申报情况和现有的工作基础，将化肥减量增效升级版划分为重点示范县和普通示范县。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1.重点示范县。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选择汕头市澄海区、佛山市高明区、韶关市曲江区、乐昌市、始兴县、东源县、和平县、连平县、惠州市惠阳区、龙门县、海丰县、陆丰市、陆河县、阳江市江城区、雷州市等15个县（市、区），以新型农业经营主体为重点，采用政府购买服务、物化补助等方式，在粮食、蔬菜等作物上，集成应用化肥减量增效新技术、新产品、新机具、新服务，重点推广测土配方施肥、侧深施肥、一次性施肥等技术，并应用有机肥、作物专用肥、缓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（控）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释肥、水溶肥、微生物肥等肥料产品，开展肥料统配统施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托管服务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。每个项目县建设3个以上施肥新技术、新产品和新机具配套的示范区，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以水稻侧深施肥+有机肥、缓释（控）肥料一次性施肥技术为重点，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示范总面积不少于3万亩。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Cs w:val="32"/>
        </w:rPr>
        <w:t>2.普通示范县。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全省21个地级以上市自行选择部分县（市、区）开展化肥减量增效示范。强化“施肥博士”宣传应用，推广作物专用肥、缓释肥、配方肥等新型肥料，集成推广无人机施肥、化肥深施等高效施肥技术等。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四、资金安排和使用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2022年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化肥减量增效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项目资金5</w:t>
      </w:r>
      <w:r>
        <w:rPr>
          <w:rFonts w:ascii="仿宋_GB2312" w:hAnsi="仿宋_GB2312" w:eastAsia="仿宋_GB2312" w:cs="仿宋_GB2312"/>
          <w:color w:val="000000"/>
          <w:kern w:val="0"/>
          <w:szCs w:val="32"/>
        </w:rPr>
        <w:t>771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3902万元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已由《广东省财政厅关于下达2022年中央财政农业资源及生态保护补助资金（第一、二批）的通知》（粤财农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〔2022〕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3号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）下拨。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项目任务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见附件1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Cs w:val="32"/>
        </w:rPr>
        <w:t>。项目资金使用作如下规定：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（一）测土配方施肥基础工作，资金1577万元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1.农户施肥情况调查与土壤样品采集，资金477万元。全省调查农户110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户、采集土壤样品6000个。农户调查约160元/户，土壤样品采集约500元/个。资金主要用于购置（或维修）采样仪器设备，支付劳务费（包括采样、风干、磨样等过程中所产生的劳务费）、差旅费、印刷费、邮寄费等，支付技术培训、数据录入等所产生的费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2.土壤样品检测，资金300万元。全省检测土壤样品6000个，每个500元。其中：省农业科学院农业质量标准与监测技术研究所检测1984个样品，资金99.2万元；茂名市农业农村事务中心检测1477个样品，资金73.85万元；高州市农业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科技事务中心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检测1316个样品，资金65.8万元；五华县土壤肥料站检测1223个样品，资金61.15万元。资金主要用于样品处理、检测和技术培训，包括购置（或维修）仪器设备、化验耗材（试剂、易耗品等）、样品运输、劳务费、差旅费、印刷费、水电费、咨询费、邮寄费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3.田间试验，资金800万元。开展田间肥效试验400个，每个2万元。华南农业大学承担132个试验，资金264万元；仲恺农业工程学院承担110个试验，资金220万元；省农科院农业资源与环境研究所承担110个试验，资金220万元；广东海洋大学承担48个试验，资金96万元</w:t>
      </w:r>
      <w:r>
        <w:rPr>
          <w:rFonts w:hint="eastAsia" w:ascii="仿宋_GB2312" w:hAnsi="仿宋_GB2312" w:eastAsia="仿宋_GB2312" w:cs="仿宋_GB2312"/>
          <w:kern w:val="0"/>
          <w:szCs w:val="32"/>
        </w:rPr>
        <w:t>。资金主要用于试验布置、技术培训、样品检测、报告撰写，包括租赁费、劳务费、差旅费、交通费、检测费、水电费、咨询费、印刷费、邮寄费等。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（二）化肥减量增效“三新”配套升级版重点示范县建设，资金2385万元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15个化肥减量增效“三新”配套升级版重点示范县，每个县安排资金155万元。具体任务：在示范区集成推广科学施肥新技术、新产品、新机具，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以水稻侧深施肥+有机肥、缓释（控）肥料一次性施肥技术为重点，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提供施肥新服务。资金使用：一是物化投入补助。对开展测土配方施肥服务，应用化肥减量增效技术模式需要的作物专用肥、配方肥、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缓释（控）肥、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有机肥料、水溶肥料等纳入物化补助范围，按照市场价格的10～20％予以补助，缓释肥料按照市场价格的20％予以补助；对开展水稻机械插秧同步侧深施肥技术示范的，每亩补助机械作业费40～50元。二是社会化服务补助。对肥料生产企业、社会化服务组织、新型农业经营主体等开展配方肥、缓释肥统配统施服务进行补助，每亩补助资金30～40元。三是试验和技术推广服务补助。对教学科研部门开展田间试验、技术推广服务、宣传培训（包括信息化服务、标</w:t>
      </w:r>
      <w:r>
        <w:rPr>
          <w:rFonts w:hint="default" w:ascii="仿宋_GB2312" w:hAnsi="仿宋_GB2312" w:eastAsia="仿宋_GB2312" w:cs="仿宋_GB2312"/>
          <w:color w:val="000000"/>
          <w:kern w:val="0"/>
          <w:szCs w:val="32"/>
        </w:rPr>
        <w:t>志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牌）等给予适当补助。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华南农业大学开展化肥减量增效技术集成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示范，6</w:t>
      </w:r>
      <w:r>
        <w:rPr>
          <w:rFonts w:ascii="仿宋_GB2312" w:hAnsi="仿宋_GB2312" w:eastAsia="仿宋_GB2312" w:cs="仿宋_GB2312"/>
          <w:color w:val="000000"/>
          <w:kern w:val="0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万元。</w:t>
      </w:r>
    </w:p>
    <w:p>
      <w:pPr>
        <w:numPr>
          <w:ilvl w:val="0"/>
          <w:numId w:val="3"/>
        </w:numPr>
        <w:adjustRightInd w:val="0"/>
        <w:snapToGrid w:val="0"/>
        <w:spacing w:line="590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kern w:val="0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Cs w:val="32"/>
        </w:rPr>
        <w:t>推广应用测土配方施肥技术，1809万元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具体任务：开展宣传培训，示范推广测土配方施肥技术。资金主要用于工作宣传、技术培训、化肥减量增效示范区建设等。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32"/>
        </w:rPr>
        <w:t>各项目承担单位要规范使用资金，加快资金支付进度，年度资金执行率要达到90%以上。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黑体" w:eastAsia="黑体" w:cs="黑体"/>
          <w:color w:val="000000"/>
          <w:kern w:val="0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Cs w:val="32"/>
        </w:rPr>
        <w:t>五、工作要求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按照“省负总责、地市督导、县抓落实”的责任机制，层层落实属地责任，构建上下联动、共同推进的工作机制。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（一）提高思想认识，加强组织领导。</w:t>
      </w:r>
      <w:r>
        <w:rPr>
          <w:rFonts w:hint="eastAsia" w:ascii="仿宋_GB2312" w:hAnsi="仿宋_GB2312" w:eastAsia="仿宋_GB2312" w:cs="仿宋_GB2312"/>
          <w:kern w:val="0"/>
          <w:szCs w:val="32"/>
        </w:rPr>
        <w:t>肥料使用情况是美丽中国建设评估、生态文明建设年度评价、土壤污染防治行动计划实施情况评估、食品安全工作评议等考核的重要内容，主体责任在市、县级人民政府。</w:t>
      </w:r>
      <w:r>
        <w:rPr>
          <w:rFonts w:hint="default" w:ascii="仿宋_GB2312" w:hAnsi="仿宋_GB2312" w:eastAsia="仿宋_GB2312" w:cs="仿宋_GB2312"/>
          <w:kern w:val="0"/>
          <w:szCs w:val="32"/>
        </w:rPr>
        <w:t>开展“无废城市”创建工作的地级以上市（县）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政府</w:t>
      </w:r>
      <w:r>
        <w:rPr>
          <w:rFonts w:hint="default" w:ascii="仿宋_GB2312" w:hAnsi="仿宋_GB2312" w:eastAsia="仿宋_GB2312" w:cs="仿宋_GB2312"/>
          <w:kern w:val="0"/>
          <w:szCs w:val="32"/>
        </w:rPr>
        <w:t>，必须有专项经费用于化肥减量增效、测土配方施肥工作，使化肥施用达到“无废”的要求。</w:t>
      </w:r>
      <w:r>
        <w:rPr>
          <w:rFonts w:hint="eastAsia" w:ascii="仿宋_GB2312" w:hAnsi="仿宋_GB2312" w:eastAsia="仿宋_GB2312" w:cs="仿宋_GB2312"/>
          <w:kern w:val="0"/>
          <w:szCs w:val="32"/>
        </w:rPr>
        <w:t>各地要高度重视，充分认识到做好化肥减量增效工作对粮食安全、农产品安全、生态文明建设和现代农业发展中的重要作用，加强组织领导，</w:t>
      </w:r>
      <w:r>
        <w:rPr>
          <w:rFonts w:hint="default" w:ascii="仿宋_GB2312" w:hAnsi="仿宋_GB2312" w:eastAsia="仿宋_GB2312" w:cs="仿宋_GB2312"/>
          <w:kern w:val="0"/>
          <w:szCs w:val="32"/>
        </w:rPr>
        <w:t>做好周密部署，</w:t>
      </w:r>
      <w:r>
        <w:rPr>
          <w:rFonts w:hint="eastAsia" w:ascii="仿宋_GB2312" w:hAnsi="仿宋_GB2312" w:eastAsia="仿宋_GB2312" w:cs="仿宋_GB2312"/>
          <w:kern w:val="0"/>
          <w:szCs w:val="32"/>
        </w:rPr>
        <w:t>明确职责分工。各级农业农村</w:t>
      </w:r>
      <w:r>
        <w:rPr>
          <w:rFonts w:hint="default" w:ascii="仿宋_GB2312" w:hAnsi="仿宋_GB2312" w:eastAsia="仿宋_GB2312" w:cs="仿宋_GB2312"/>
          <w:kern w:val="0"/>
          <w:szCs w:val="32"/>
        </w:rPr>
        <w:t>（市场监管）</w:t>
      </w:r>
      <w:r>
        <w:rPr>
          <w:rFonts w:hint="eastAsia" w:ascii="仿宋_GB2312" w:hAnsi="仿宋_GB2312" w:eastAsia="仿宋_GB2312" w:cs="仿宋_GB2312"/>
          <w:kern w:val="0"/>
          <w:szCs w:val="32"/>
        </w:rPr>
        <w:t>部门要认真研究、系统谋划化肥减量增效工作，创新工作方法，细化相关措施，千方百计把不合理的施肥量降下来，切实降低生产成本。由于项目资金、示范总面积变动较大，请化肥减量增效“三新”配套升级版重点示范县适当调整实施方案（包括实施作物、实施范围、工作进度等），并在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Cs w:val="32"/>
        </w:rPr>
        <w:t>日前加盖公章报省农业环境与耕地质量保护中心备案。</w:t>
      </w:r>
    </w:p>
    <w:p>
      <w:pPr>
        <w:adjustRightInd w:val="0"/>
        <w:snapToGrid w:val="0"/>
        <w:spacing w:line="568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（二）重点打造样板，强化示范带动。</w:t>
      </w:r>
      <w:r>
        <w:rPr>
          <w:rFonts w:hint="eastAsia" w:ascii="仿宋_GB2312" w:hAnsi="仿宋_GB2312" w:eastAsia="仿宋_GB2312" w:cs="仿宋_GB2312"/>
          <w:kern w:val="0"/>
          <w:szCs w:val="32"/>
        </w:rPr>
        <w:t>选择特色主栽作物连片种植区域，优选配方肥、缓释肥、</w:t>
      </w:r>
      <w:r>
        <w:rPr>
          <w:rFonts w:hint="default" w:ascii="仿宋_GB2312" w:hAnsi="仿宋_GB2312" w:eastAsia="仿宋_GB2312" w:cs="仿宋_GB2312"/>
          <w:kern w:val="0"/>
          <w:szCs w:val="32"/>
        </w:rPr>
        <w:t>有机肥、</w:t>
      </w:r>
      <w:r>
        <w:rPr>
          <w:rFonts w:hint="eastAsia" w:ascii="仿宋_GB2312" w:hAnsi="仿宋_GB2312" w:eastAsia="仿宋_GB2312" w:cs="仿宋_GB2312"/>
          <w:kern w:val="0"/>
          <w:szCs w:val="32"/>
        </w:rPr>
        <w:t>水溶肥、生物肥料等新产品，完善有机肥施用机械和水肥一体化设施，示范推广水稻侧深施肥、机械施肥、肥药混喷、水肥一体化、一次性施肥等新技术，集成一批有机无机结合、水肥耦合、速效缓效配合、农机农艺融合的新模式，重点打造化肥减量增效“三新”配套示范区。示范区做到有专家指导、有示范对比、有标</w:t>
      </w:r>
      <w:r>
        <w:rPr>
          <w:rFonts w:hint="default" w:ascii="仿宋_GB2312" w:hAnsi="仿宋_GB2312" w:eastAsia="仿宋_GB2312" w:cs="仿宋_GB2312"/>
          <w:kern w:val="0"/>
          <w:szCs w:val="32"/>
        </w:rPr>
        <w:t>志</w:t>
      </w:r>
      <w:r>
        <w:rPr>
          <w:rFonts w:hint="eastAsia" w:ascii="仿宋_GB2312" w:hAnsi="仿宋_GB2312" w:eastAsia="仿宋_GB2312" w:cs="仿宋_GB2312"/>
          <w:kern w:val="0"/>
          <w:szCs w:val="32"/>
        </w:rPr>
        <w:t>牌，并在关键农时季节，组织新型农业经营主体和农民召开现场观摩会，展示减肥增效效果。各地要及时梳理总结化肥减量增效升级版的好经验、好做法，形成典型案例，进行宣传推广，扩大测土配方施肥影响力。</w:t>
      </w:r>
    </w:p>
    <w:p>
      <w:pPr>
        <w:adjustRightInd w:val="0"/>
        <w:snapToGrid w:val="0"/>
        <w:spacing w:line="568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（三）更新完善数据，强化技术支撑。</w:t>
      </w:r>
      <w:r>
        <w:rPr>
          <w:rFonts w:hint="eastAsia" w:ascii="仿宋_GB2312" w:hAnsi="仿宋_GB2312" w:eastAsia="仿宋_GB2312" w:cs="仿宋_GB2312"/>
          <w:kern w:val="0"/>
          <w:szCs w:val="32"/>
        </w:rPr>
        <w:t>分析整理测土配方施肥基础数据，完善主要作物施肥方案和水稻、茶叶氮肥定额用量。更新、完善全省测土配方施肥数据库，优化测土配方施肥专家系统（微信小程序和手机App），以现代化信息手段全面提升我省测土配方施肥信息化</w:t>
      </w:r>
      <w:r>
        <w:rPr>
          <w:rFonts w:hint="default" w:ascii="仿宋_GB2312" w:hAnsi="仿宋_GB2312" w:eastAsia="仿宋_GB2312" w:cs="仿宋_GB2312"/>
          <w:kern w:val="0"/>
          <w:szCs w:val="32"/>
        </w:rPr>
        <w:t>智能化</w:t>
      </w:r>
      <w:r>
        <w:rPr>
          <w:rFonts w:hint="eastAsia" w:ascii="仿宋_GB2312" w:hAnsi="仿宋_GB2312" w:eastAsia="仿宋_GB2312" w:cs="仿宋_GB2312"/>
          <w:kern w:val="0"/>
          <w:szCs w:val="32"/>
        </w:rPr>
        <w:t>服务水平</w:t>
      </w:r>
      <w:r>
        <w:rPr>
          <w:rFonts w:hint="default" w:ascii="仿宋_GB2312" w:hAnsi="仿宋_GB2312" w:eastAsia="仿宋_GB2312" w:cs="仿宋_GB2312"/>
          <w:kern w:val="0"/>
          <w:szCs w:val="32"/>
        </w:rPr>
        <w:t>，纳入全省数字农业服务农业生产的范畴</w:t>
      </w:r>
      <w:r>
        <w:rPr>
          <w:rFonts w:hint="eastAsia" w:ascii="仿宋_GB2312" w:hAnsi="仿宋_GB2312" w:eastAsia="仿宋_GB2312" w:cs="仿宋_GB2312"/>
          <w:kern w:val="0"/>
          <w:szCs w:val="32"/>
        </w:rPr>
        <w:t>。各级肥料技术推广部门要适时发布施肥建议，指导农民使用我省测土配方施肥专家系统，提高农民科学用肥水平。</w:t>
      </w:r>
    </w:p>
    <w:p>
      <w:pPr>
        <w:adjustRightInd w:val="0"/>
        <w:snapToGrid w:val="0"/>
        <w:spacing w:line="568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（四）加强监督检査，规范基础工作。</w:t>
      </w:r>
      <w:r>
        <w:rPr>
          <w:rFonts w:hint="eastAsia" w:ascii="仿宋_GB2312" w:hAnsi="仿宋_GB2312" w:eastAsia="仿宋_GB2312" w:cs="仿宋_GB2312"/>
          <w:kern w:val="0"/>
          <w:szCs w:val="32"/>
        </w:rPr>
        <w:t>加强土壤样品分析化验质量监控。委托省农科院农业质量标准与监测技术研究所制作检测考核样，分发给茂名市农业农村事务中心、高州市农业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科技事务</w:t>
      </w:r>
      <w:r>
        <w:rPr>
          <w:rFonts w:hint="eastAsia" w:ascii="仿宋_GB2312" w:hAnsi="仿宋_GB2312" w:eastAsia="仿宋_GB2312" w:cs="仿宋_GB2312"/>
          <w:kern w:val="0"/>
          <w:szCs w:val="32"/>
        </w:rPr>
        <w:t>中心和五华县土壤肥料站进行比对检测，确保数据真实准确。田间试验结束后，组织专家对各单位的试验结果进行评议，总结经验，提升试验质量。</w:t>
      </w:r>
    </w:p>
    <w:p>
      <w:pPr>
        <w:adjustRightInd w:val="0"/>
        <w:snapToGrid w:val="0"/>
        <w:spacing w:line="568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楷体_GB2312" w:hAnsi="楷体_GB2312" w:eastAsia="楷体_GB2312" w:cs="楷体_GB2312"/>
          <w:kern w:val="0"/>
          <w:szCs w:val="32"/>
        </w:rPr>
        <w:t>（五）强化信息调度，提高项目时效。</w:t>
      </w:r>
      <w:r>
        <w:rPr>
          <w:rFonts w:hint="eastAsia" w:ascii="仿宋_GB2312" w:hAnsi="仿宋_GB2312" w:eastAsia="仿宋_GB2312" w:cs="仿宋_GB2312"/>
          <w:kern w:val="0"/>
          <w:szCs w:val="32"/>
        </w:rPr>
        <w:t>建立健全“一季一调度、半年一通报”信息调度制度。各地级以上市、化肥减量增效重点示范县要完善项目调度，及时掌握任务落实、资金使用、工作进度等情况，</w:t>
      </w:r>
      <w:r>
        <w:rPr>
          <w:rFonts w:hint="default" w:ascii="仿宋_GB2312" w:hAnsi="仿宋_GB2312" w:eastAsia="仿宋_GB2312" w:cs="仿宋_GB2312"/>
          <w:kern w:val="0"/>
          <w:szCs w:val="32"/>
        </w:rPr>
        <w:t>加快资金使用进度，</w:t>
      </w:r>
      <w:r>
        <w:rPr>
          <w:rFonts w:hint="eastAsia" w:ascii="仿宋_GB2312" w:hAnsi="仿宋_GB2312" w:eastAsia="仿宋_GB2312" w:cs="仿宋_GB2312"/>
          <w:kern w:val="0"/>
          <w:szCs w:val="32"/>
        </w:rPr>
        <w:t>每季度末报送工作开展情况和项目执行进展，填报化肥减量增效工作进展情况表（见附件3），2022年12月10日前报送本年度项目总结和绩效自评报告。</w:t>
      </w:r>
    </w:p>
    <w:p>
      <w:pPr>
        <w:numPr>
          <w:ilvl w:val="0"/>
          <w:numId w:val="0"/>
        </w:numPr>
        <w:bidi w:val="0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871" w:bottom="1531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E5B888B"/>
    <w:multiLevelType w:val="multilevel"/>
    <w:tmpl w:val="5E5B888B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  <w:b/>
      </w:rPr>
    </w:lvl>
    <w:lvl w:ilvl="3" w:tentative="0">
      <w:start w:val="1"/>
      <w:numFmt w:val="decimal"/>
      <w:pStyle w:val="3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  <w:b w:val="0"/>
        <w:i w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WZlM2NhZTYyMTE0NmIwOTc5NTBjZDQ3NGIxNTEifQ=="/>
  </w:docVars>
  <w:rsids>
    <w:rsidRoot w:val="00172A27"/>
    <w:rsid w:val="07B71116"/>
    <w:rsid w:val="1A7355CD"/>
    <w:rsid w:val="1EEB5A4F"/>
    <w:rsid w:val="212D1FCB"/>
    <w:rsid w:val="2A1638CB"/>
    <w:rsid w:val="328B388A"/>
    <w:rsid w:val="37661165"/>
    <w:rsid w:val="4A2735EA"/>
    <w:rsid w:val="4B8D634E"/>
    <w:rsid w:val="4DF43CBB"/>
    <w:rsid w:val="58B55536"/>
    <w:rsid w:val="5DF51094"/>
    <w:rsid w:val="77FF5C51"/>
    <w:rsid w:val="7E5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240" w:lineRule="auto"/>
      <w:ind w:left="864" w:hanging="864"/>
      <w:outlineLvl w:val="3"/>
    </w:pPr>
    <w:rPr>
      <w:rFonts w:ascii="Arial" w:hAnsi="Arial" w:eastAsia="宋体-简" w:cs="Times New Roman"/>
      <w:sz w:val="21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font51"/>
    <w:basedOn w:val="10"/>
    <w:qFormat/>
    <w:uiPriority w:val="0"/>
    <w:rPr>
      <w:rFonts w:hint="default" w:ascii="Times New Roman" w:hAnsi="Times New Roman" w:eastAsia="宋体" w:cs="Times New Roman"/>
      <w:b/>
      <w:bCs/>
      <w:color w:val="000000"/>
      <w:sz w:val="36"/>
      <w:szCs w:val="36"/>
      <w:u w:val="none"/>
    </w:rPr>
  </w:style>
  <w:style w:type="character" w:customStyle="1" w:styleId="14">
    <w:name w:val="font131"/>
    <w:basedOn w:val="10"/>
    <w:qFormat/>
    <w:uiPriority w:val="0"/>
    <w:rPr>
      <w:rFonts w:ascii="华文中宋" w:hAnsi="华文中宋" w:eastAsia="华文中宋" w:cs="华文中宋"/>
      <w:b/>
      <w:bCs/>
      <w:color w:val="000000"/>
      <w:sz w:val="36"/>
      <w:szCs w:val="36"/>
      <w:u w:val="none"/>
    </w:rPr>
  </w:style>
  <w:style w:type="character" w:customStyle="1" w:styleId="15">
    <w:name w:val="font1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41"/>
    <w:basedOn w:val="10"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none"/>
    </w:rPr>
  </w:style>
  <w:style w:type="paragraph" w:customStyle="1" w:styleId="17">
    <w:name w:val="p0"/>
    <w:basedOn w:val="1"/>
    <w:qFormat/>
    <w:uiPriority w:val="0"/>
    <w:pPr>
      <w:widowControl/>
    </w:pPr>
    <w:rPr>
      <w:rFonts w:eastAsia="仿宋_GB2312"/>
      <w:snapToGrid w:val="0"/>
      <w:kern w:val="0"/>
      <w:szCs w:val="21"/>
    </w:rPr>
  </w:style>
  <w:style w:type="paragraph" w:customStyle="1" w:styleId="18">
    <w:name w:val="报告正文"/>
    <w:basedOn w:val="1"/>
    <w:qFormat/>
    <w:uiPriority w:val="0"/>
    <w:pPr>
      <w:ind w:firstLine="640" w:firstLineChars="200"/>
    </w:pPr>
    <w:rPr>
      <w:rFonts w:ascii="Times New Roman" w:hAnsi="Times New Roman" w:eastAsia="仿宋" w:cs="Times New Roman"/>
      <w:sz w:val="32"/>
      <w:szCs w:val="28"/>
    </w:rPr>
  </w:style>
  <w:style w:type="paragraph" w:customStyle="1" w:styleId="19">
    <w:name w:val="正文样式1"/>
    <w:basedOn w:val="1"/>
    <w:qFormat/>
    <w:uiPriority w:val="0"/>
    <w:pPr>
      <w:spacing w:line="560" w:lineRule="exact"/>
      <w:ind w:firstLine="641"/>
    </w:pPr>
    <w:rPr>
      <w:rFonts w:ascii="Calibri" w:hAnsi="Calibri" w:eastAsia="仿宋_GB2312" w:cs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315</Words>
  <Characters>329</Characters>
  <Lines>0</Lines>
  <Paragraphs>0</Paragraphs>
  <TotalTime>0</TotalTime>
  <ScaleCrop>false</ScaleCrop>
  <LinksUpToDate>false</LinksUpToDate>
  <CharactersWithSpaces>337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2020-08-28T01:11:00Z</dcterms:created>
  <dc:creator>小许</dc:creator>
  <cp:lastModifiedBy>Eliauk</cp:lastModifiedBy>
  <dcterms:modified xsi:type="dcterms:W3CDTF">2022-07-22T09:28:25Z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89F804A102AB483BBEA196BBBA8D7FF0</vt:lpwstr>
  </property>
</Properties>
</file>