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Lines="0" w:afterLines="0" w:line="590" w:lineRule="exact"/>
        <w:ind w:firstLine="0" w:firstLineChars="0"/>
        <w:rPr>
          <w:rFonts w:hint="eastAsia" w:ascii="黑体" w:hAnsi="黑体" w:eastAsia="黑体" w:cs="黑体"/>
          <w:color w:val="auto"/>
          <w:kern w:val="0"/>
          <w:sz w:val="32"/>
          <w:szCs w:val="32"/>
        </w:rPr>
      </w:pPr>
      <w:r>
        <w:rPr>
          <w:rFonts w:hint="eastAsia" w:ascii="黑体" w:hAnsi="黑体" w:eastAsia="黑体" w:cs="黑体"/>
          <w:color w:val="auto"/>
          <w:kern w:val="0"/>
          <w:sz w:val="32"/>
          <w:szCs w:val="32"/>
        </w:rPr>
        <w:t>附件1</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val="en-US" w:eastAsia="zh-CN"/>
        </w:rPr>
      </w:pPr>
    </w:p>
    <w:p>
      <w:pPr>
        <w:adjustRightInd w:val="0"/>
        <w:snapToGrid w:val="0"/>
        <w:spacing w:beforeLines="0" w:afterLines="0" w:line="590" w:lineRule="exact"/>
        <w:ind w:firstLine="0" w:firstLineChars="0"/>
        <w:jc w:val="center"/>
        <w:rPr>
          <w:rFonts w:hint="eastAsia" w:ascii="方正小标宋简体" w:hAnsi="方正小标宋简体" w:eastAsia="方正小标宋简体" w:cs="方正小标宋简体"/>
          <w:b w:val="0"/>
          <w:bCs w:val="0"/>
          <w:color w:val="auto"/>
          <w:kern w:val="0"/>
          <w:sz w:val="44"/>
          <w:szCs w:val="44"/>
        </w:rPr>
      </w:pPr>
      <w:r>
        <w:rPr>
          <w:rFonts w:hint="eastAsia" w:ascii="方正小标宋简体" w:hAnsi="方正小标宋简体" w:eastAsia="方正小标宋简体" w:cs="方正小标宋简体"/>
          <w:b w:val="0"/>
          <w:bCs w:val="0"/>
          <w:color w:val="auto"/>
          <w:kern w:val="0"/>
          <w:sz w:val="44"/>
          <w:szCs w:val="44"/>
          <w:lang w:val="en-US" w:eastAsia="zh-CN"/>
        </w:rPr>
        <w:t>2022-2023年省级</w:t>
      </w:r>
      <w:r>
        <w:rPr>
          <w:rFonts w:hint="eastAsia" w:ascii="方正小标宋简体" w:hAnsi="方正小标宋简体" w:eastAsia="方正小标宋简体" w:cs="方正小标宋简体"/>
          <w:b w:val="0"/>
          <w:bCs w:val="0"/>
          <w:color w:val="auto"/>
          <w:kern w:val="0"/>
          <w:sz w:val="44"/>
          <w:szCs w:val="44"/>
        </w:rPr>
        <w:t>种业振兴行动“揭榜挂帅”“赛马制”项目榜单</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p>
    <w:p>
      <w:pPr>
        <w:widowControl w:val="0"/>
        <w:adjustRightInd w:val="0"/>
        <w:snapToGrid w:val="0"/>
        <w:spacing w:beforeLines="0" w:afterLines="0" w:line="590" w:lineRule="exact"/>
        <w:ind w:firstLine="640" w:firstLineChars="200"/>
        <w:rPr>
          <w:rFonts w:hint="eastAsia" w:ascii="黑体" w:hAnsi="黑体" w:eastAsia="黑体" w:cs="黑体"/>
          <w:color w:val="auto"/>
          <w:kern w:val="0"/>
          <w:sz w:val="32"/>
          <w:szCs w:val="32"/>
        </w:rPr>
      </w:pPr>
      <w:r>
        <w:rPr>
          <w:rFonts w:hint="eastAsia" w:ascii="黑体" w:hAnsi="黑体" w:eastAsia="黑体" w:cs="黑体"/>
          <w:color w:val="auto"/>
          <w:kern w:val="0"/>
          <w:sz w:val="32"/>
          <w:szCs w:val="32"/>
        </w:rPr>
        <w:t>一、“揭榜挂帅”项目榜单</w:t>
      </w:r>
    </w:p>
    <w:p>
      <w:pPr>
        <w:widowControl w:val="0"/>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1.项目名称：地方猪新品种选育及与产业化推广</w:t>
      </w:r>
    </w:p>
    <w:p>
      <w:pPr>
        <w:widowControl w:val="0"/>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（1）项目需求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构建广东省主要地方猪种遗传资源为核心的多品种活体资源保护群；根据地方猪产业化要求，建立地方猪表型测定、遗传评估及科学选种选育机制，持续开展品种选育；引入引进品种，开展多品种配套组合筛选，培育优质、高效配套系（新品种）；持续提升优质肉商品猪的生产性能，建立高效优质肉生产与产业化体系，满足市场对优质猪肉的需求；打造高品质猪肉产品，创建优质猪肉好品牌，制定优质肉生产新标准，加强品种品牌推广力度，提升广东优质地方猪品种全国影响力。</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（2）预期目标</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
          <w:bCs/>
          <w:color w:val="auto"/>
          <w:kern w:val="0"/>
          <w:sz w:val="32"/>
          <w:szCs w:val="32"/>
        </w:rPr>
        <w:t>第一年目标：</w:t>
      </w:r>
      <w:r>
        <w:rPr>
          <w:rFonts w:hint="eastAsia" w:ascii="仿宋_GB2312" w:hAnsi="仿宋_GB2312" w:eastAsia="仿宋_GB2312" w:cs="仿宋_GB2312"/>
          <w:color w:val="auto"/>
          <w:kern w:val="0"/>
          <w:sz w:val="32"/>
          <w:szCs w:val="32"/>
        </w:rPr>
        <w:t>针对地方猪产业化存在的突出问题和市场需求，开展广东小耳花猪、蓝塘猪、粤东黑猪、大花白猪等地方猪种质资源精准鉴定，建立表型与基因型数据库；组建地方猪种遗传资源保护群4个；组建地方猪育种群1个，母猪规模1000头以上，公猪40头以上，6个血缘以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
          <w:bCs/>
          <w:color w:val="auto"/>
          <w:kern w:val="0"/>
          <w:sz w:val="32"/>
          <w:szCs w:val="32"/>
        </w:rPr>
        <w:t>第二年目标：</w:t>
      </w:r>
      <w:r>
        <w:rPr>
          <w:rFonts w:hint="eastAsia" w:ascii="仿宋_GB2312" w:hAnsi="仿宋_GB2312" w:eastAsia="仿宋_GB2312" w:cs="仿宋_GB2312"/>
          <w:color w:val="auto"/>
          <w:kern w:val="0"/>
          <w:sz w:val="32"/>
          <w:szCs w:val="32"/>
        </w:rPr>
        <w:t>解析不同地方猪种毛色、肉质等重点经济性状的关键基因及分子调控机制；培育优质肉新品种（配套系）1个，新品种（配套系）通过国家审定或选育三个世代以上；建立不同地方猪种养殖技术规程或标准2</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3套。</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
          <w:bCs/>
          <w:color w:val="auto"/>
          <w:kern w:val="0"/>
          <w:sz w:val="32"/>
          <w:szCs w:val="32"/>
        </w:rPr>
        <w:t>第三年目标：</w:t>
      </w:r>
      <w:r>
        <w:rPr>
          <w:rFonts w:hint="eastAsia" w:ascii="仿宋_GB2312" w:hAnsi="仿宋_GB2312" w:eastAsia="仿宋_GB2312" w:cs="仿宋_GB2312"/>
          <w:color w:val="auto"/>
          <w:kern w:val="0"/>
          <w:sz w:val="32"/>
          <w:szCs w:val="32"/>
        </w:rPr>
        <w:t>培育高繁、优质肉配套系（新品种）1</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2个；建立较完善的育繁推一体化产业化体系，建设地方猪种扩繁基地和优质肉生产基地，优质肉产业规模100万头以上。核心示范基地母猪年提供断奶仔猪数（PSY）26头以上，商品猪生长育肥期料重比3.0以下，瘦肉率55%以上，肌内脂肪含量3.0%以上，广东优质肉产销规模、品牌影响力均名列前茅。</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rPr>
        <w:t>①由省级及中央驻粤涉农科研机构、高等院校以及企业申报。</w:t>
      </w:r>
      <w:r>
        <w:rPr>
          <w:rFonts w:hint="eastAsia" w:ascii="仿宋_GB2312" w:hAnsi="仿宋_GB2312" w:eastAsia="仿宋_GB2312" w:cs="仿宋_GB2312"/>
          <w:color w:val="auto"/>
          <w:kern w:val="0"/>
          <w:sz w:val="32"/>
          <w:szCs w:val="32"/>
          <w:highlight w:val="none"/>
          <w:lang w:eastAsia="zh-CN"/>
        </w:rPr>
        <w:t>鼓励</w:t>
      </w:r>
      <w:r>
        <w:rPr>
          <w:rFonts w:hint="eastAsia" w:ascii="仿宋_GB2312" w:hAnsi="仿宋_GB2312" w:eastAsia="仿宋_GB2312" w:cs="仿宋_GB2312"/>
          <w:color w:val="auto"/>
          <w:kern w:val="0"/>
          <w:sz w:val="32"/>
          <w:szCs w:val="32"/>
          <w:highlight w:val="none"/>
        </w:rPr>
        <w:t>科企联合</w:t>
      </w:r>
      <w:r>
        <w:rPr>
          <w:rFonts w:hint="eastAsia" w:ascii="仿宋_GB2312" w:hAnsi="仿宋_GB2312" w:eastAsia="仿宋_GB2312" w:cs="仿宋_GB2312"/>
          <w:color w:val="auto"/>
          <w:kern w:val="0"/>
          <w:sz w:val="32"/>
          <w:szCs w:val="32"/>
          <w:highlight w:val="none"/>
          <w:lang w:eastAsia="zh-CN"/>
        </w:rPr>
        <w:t>实施“揭榜挂帅”</w:t>
      </w:r>
      <w:r>
        <w:rPr>
          <w:rFonts w:hint="eastAsia" w:ascii="仿宋_GB2312" w:hAnsi="仿宋_GB2312" w:eastAsia="仿宋_GB2312" w:cs="仿宋_GB2312"/>
          <w:color w:val="auto"/>
          <w:kern w:val="0"/>
          <w:sz w:val="32"/>
          <w:szCs w:val="32"/>
          <w:highlight w:val="none"/>
        </w:rPr>
        <w:t>项目。</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③申报对象是企业的，应具有种畜禽生产经营许可证，具备开展品种培育、性能测定、良种扩繁等基础设施条件。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原则上项目</w:t>
      </w:r>
      <w:r>
        <w:rPr>
          <w:rFonts w:hint="eastAsia" w:ascii="仿宋_GB2312" w:hAnsi="仿宋_GB2312" w:eastAsia="仿宋_GB2312" w:cs="仿宋_GB2312"/>
          <w:color w:val="auto"/>
          <w:kern w:val="0"/>
          <w:sz w:val="32"/>
          <w:szCs w:val="32"/>
        </w:rPr>
        <w:t>实施周期为3年。项目申报单位根据实际需求自行测算资金额度，2022年度资金额度原则上不超过500万元，申报须按不低于1:1</w:t>
      </w:r>
      <w:r>
        <w:rPr>
          <w:rFonts w:hint="eastAsia" w:ascii="仿宋_GB2312" w:hAnsi="仿宋_GB2312" w:eastAsia="仿宋_GB2312" w:cs="仿宋_GB2312"/>
          <w:color w:val="auto"/>
          <w:kern w:val="0"/>
          <w:sz w:val="32"/>
          <w:szCs w:val="32"/>
          <w:lang w:eastAsia="zh-CN"/>
        </w:rPr>
        <w:t>资金</w:t>
      </w:r>
      <w:r>
        <w:rPr>
          <w:rFonts w:hint="eastAsia" w:ascii="仿宋_GB2312" w:hAnsi="仿宋_GB2312" w:eastAsia="仿宋_GB2312" w:cs="仿宋_GB2312"/>
          <w:color w:val="auto"/>
          <w:kern w:val="0"/>
          <w:sz w:val="32"/>
          <w:szCs w:val="32"/>
        </w:rPr>
        <w:t>配套，在申报书中提供资金测算过程及测算依据。最终资金补助金额以我单位测算核实为准。</w:t>
      </w:r>
      <w:r>
        <w:rPr>
          <w:rFonts w:hint="eastAsia" w:ascii="仿宋_GB2312" w:hAnsi="仿宋_GB2312" w:eastAsia="仿宋_GB2312" w:cs="仿宋_GB2312"/>
          <w:color w:val="auto"/>
          <w:kern w:val="0"/>
          <w:sz w:val="32"/>
          <w:szCs w:val="32"/>
          <w:lang w:eastAsia="zh-CN"/>
        </w:rPr>
        <w:t>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5</w:t>
      </w:r>
      <w:r>
        <w:rPr>
          <w:rFonts w:hint="eastAsia" w:ascii="仿宋_GB2312" w:hAnsi="仿宋_GB2312" w:eastAsia="仿宋_GB2312" w:cs="仿宋_GB2312"/>
          <w:b/>
          <w:bCs/>
          <w:color w:val="auto"/>
          <w:kern w:val="0"/>
          <w:sz w:val="32"/>
          <w:szCs w:val="32"/>
          <w:lang w:eastAsia="zh-CN"/>
        </w:rPr>
        <w:t>）考核要求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在项目执行期内，省农业农村厅根据项目榜单制定的年度计划和目标，适时组织专家对项目阶段性目标完成情况进行</w:t>
      </w:r>
      <w:r>
        <w:rPr>
          <w:rFonts w:hint="eastAsia" w:ascii="仿宋_GB2312" w:hAnsi="仿宋_GB2312" w:eastAsia="仿宋_GB2312" w:cs="仿宋_GB2312"/>
          <w:color w:val="auto"/>
          <w:kern w:val="0"/>
          <w:sz w:val="32"/>
          <w:szCs w:val="32"/>
          <w:lang w:eastAsia="zh-CN"/>
        </w:rPr>
        <w:t>考核，依据考核结果，对下一年度项目资金安排实施动态调整。</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待项目持续支持3年后，由省农业农村厅组织开展项目总体绩效考核，达到</w:t>
      </w:r>
      <w:r>
        <w:rPr>
          <w:rFonts w:hint="eastAsia" w:ascii="仿宋_GB2312" w:hAnsi="仿宋_GB2312" w:eastAsia="仿宋_GB2312" w:cs="仿宋_GB2312"/>
          <w:color w:val="auto"/>
          <w:kern w:val="0"/>
          <w:sz w:val="32"/>
          <w:szCs w:val="32"/>
          <w:lang w:eastAsia="zh-CN"/>
        </w:rPr>
        <w:t>项目</w:t>
      </w:r>
      <w:r>
        <w:rPr>
          <w:rFonts w:hint="eastAsia" w:ascii="仿宋_GB2312" w:hAnsi="仿宋_GB2312" w:eastAsia="仿宋_GB2312" w:cs="仿宋_GB2312"/>
          <w:color w:val="auto"/>
          <w:kern w:val="0"/>
          <w:sz w:val="32"/>
          <w:szCs w:val="32"/>
        </w:rPr>
        <w:t>总体目标的，在后续种业振兴相关项目安排上予以倾斜；</w:t>
      </w:r>
      <w:r>
        <w:rPr>
          <w:rFonts w:hint="eastAsia" w:ascii="仿宋_GB2312" w:hAnsi="仿宋_GB2312" w:eastAsia="仿宋_GB2312" w:cs="仿宋_GB2312"/>
          <w:color w:val="auto"/>
          <w:kern w:val="0"/>
          <w:sz w:val="32"/>
          <w:szCs w:val="32"/>
          <w:lang w:eastAsia="zh-CN"/>
        </w:rPr>
        <w:t>因主观不努力等因素，导致</w:t>
      </w:r>
      <w:r>
        <w:rPr>
          <w:rFonts w:hint="eastAsia" w:ascii="仿宋_GB2312" w:hAnsi="仿宋_GB2312" w:eastAsia="仿宋_GB2312" w:cs="仿宋_GB2312"/>
          <w:color w:val="auto"/>
          <w:kern w:val="0"/>
          <w:sz w:val="32"/>
          <w:szCs w:val="32"/>
        </w:rPr>
        <w:t>未达到</w:t>
      </w:r>
      <w:r>
        <w:rPr>
          <w:rFonts w:hint="eastAsia" w:ascii="仿宋_GB2312" w:hAnsi="仿宋_GB2312" w:eastAsia="仿宋_GB2312" w:cs="仿宋_GB2312"/>
          <w:color w:val="auto"/>
          <w:kern w:val="0"/>
          <w:sz w:val="32"/>
          <w:szCs w:val="32"/>
          <w:lang w:eastAsia="zh-CN"/>
        </w:rPr>
        <w:t>项目</w:t>
      </w:r>
      <w:r>
        <w:rPr>
          <w:rFonts w:hint="eastAsia" w:ascii="仿宋_GB2312" w:hAnsi="仿宋_GB2312" w:eastAsia="仿宋_GB2312" w:cs="仿宋_GB2312"/>
          <w:color w:val="auto"/>
          <w:kern w:val="0"/>
          <w:sz w:val="32"/>
          <w:szCs w:val="32"/>
        </w:rPr>
        <w:t>总体目标的或者无法按照计划顺利实施的，将对项目承担单位予以通报，并在后续种业振兴相关项目安排上予以限制。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lang w:val="en-US" w:eastAsia="zh-CN"/>
        </w:rPr>
        <w:t>2.</w:t>
      </w:r>
      <w:r>
        <w:rPr>
          <w:rFonts w:hint="eastAsia" w:ascii="仿宋_GB2312" w:hAnsi="仿宋_GB2312" w:eastAsia="仿宋_GB2312" w:cs="仿宋_GB2312"/>
          <w:b/>
          <w:bCs/>
          <w:color w:val="auto"/>
          <w:kern w:val="0"/>
          <w:sz w:val="32"/>
          <w:szCs w:val="32"/>
        </w:rPr>
        <w:t>项目名称：南美白对虾优质种质创制及良种培育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（1）项目需求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围绕从根本解决种业发达国家限制南美白对虾良种出口这一产业发展的关键问题，培育适宜我国养殖的我省拥有独立自主知识产权的南美白对虾新品种，在收集保存南美白对虾不同种质资源的基础上，重点研究开发现代分子育种核心关键技术，建立分子标记辅助育种+传统育种的联合育种模式，集成高效育种技术，</w:t>
      </w:r>
      <w:r>
        <w:rPr>
          <w:rFonts w:hint="eastAsia" w:ascii="仿宋_GB2312" w:hAnsi="仿宋_GB2312" w:eastAsia="仿宋_GB2312" w:cs="仿宋_GB2312"/>
          <w:color w:val="auto"/>
          <w:kern w:val="0"/>
          <w:sz w:val="32"/>
          <w:szCs w:val="32"/>
          <w:lang w:eastAsia="zh-CN"/>
        </w:rPr>
        <w:t>培育</w:t>
      </w:r>
      <w:r>
        <w:rPr>
          <w:rFonts w:hint="eastAsia" w:ascii="仿宋_GB2312" w:hAnsi="仿宋_GB2312" w:eastAsia="仿宋_GB2312" w:cs="仿宋_GB2312"/>
          <w:color w:val="auto"/>
          <w:kern w:val="0"/>
          <w:sz w:val="32"/>
          <w:szCs w:val="32"/>
        </w:rPr>
        <w:t>出抗病、抗逆、饲料利用率高和生长快等经济性状突出的新品种，实现我省南美白对虾优质</w:t>
      </w:r>
      <w:r>
        <w:rPr>
          <w:rFonts w:hint="eastAsia" w:ascii="仿宋_GB2312" w:hAnsi="仿宋_GB2312" w:eastAsia="仿宋_GB2312" w:cs="仿宋_GB2312"/>
          <w:color w:val="auto"/>
          <w:kern w:val="0"/>
          <w:sz w:val="32"/>
          <w:szCs w:val="32"/>
          <w:lang w:eastAsia="zh-CN"/>
        </w:rPr>
        <w:t>种源</w:t>
      </w:r>
      <w:r>
        <w:rPr>
          <w:rFonts w:hint="eastAsia" w:ascii="仿宋_GB2312" w:hAnsi="仿宋_GB2312" w:eastAsia="仿宋_GB2312" w:cs="仿宋_GB2312"/>
          <w:color w:val="auto"/>
          <w:kern w:val="0"/>
          <w:sz w:val="32"/>
          <w:szCs w:val="32"/>
        </w:rPr>
        <w:t>自主可控，推动种业振兴。</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2</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绩效目标</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
          <w:bCs/>
          <w:color w:val="auto"/>
          <w:kern w:val="0"/>
          <w:sz w:val="32"/>
          <w:szCs w:val="32"/>
        </w:rPr>
        <w:t>第一年目标：</w:t>
      </w:r>
      <w:r>
        <w:rPr>
          <w:rFonts w:hint="eastAsia" w:ascii="仿宋_GB2312" w:hAnsi="仿宋_GB2312" w:eastAsia="仿宋_GB2312" w:cs="仿宋_GB2312"/>
          <w:color w:val="auto"/>
          <w:kern w:val="0"/>
          <w:sz w:val="32"/>
          <w:szCs w:val="32"/>
        </w:rPr>
        <w:t>建立</w:t>
      </w:r>
      <w:r>
        <w:rPr>
          <w:rFonts w:hint="eastAsia" w:ascii="仿宋_GB2312" w:hAnsi="仿宋_GB2312" w:eastAsia="仿宋_GB2312" w:cs="仿宋_GB2312"/>
          <w:color w:val="auto"/>
          <w:kern w:val="0"/>
          <w:sz w:val="32"/>
          <w:szCs w:val="32"/>
          <w:lang w:eastAsia="zh-CN"/>
        </w:rPr>
        <w:t>包含国内外来源的</w:t>
      </w:r>
      <w:r>
        <w:rPr>
          <w:rFonts w:hint="eastAsia" w:ascii="仿宋_GB2312" w:hAnsi="仿宋_GB2312" w:eastAsia="仿宋_GB2312" w:cs="仿宋_GB2312"/>
          <w:color w:val="auto"/>
          <w:kern w:val="0"/>
          <w:sz w:val="32"/>
          <w:szCs w:val="32"/>
        </w:rPr>
        <w:t>南美白对虾种质资源遗传信息库，</w:t>
      </w:r>
      <w:r>
        <w:rPr>
          <w:rFonts w:hint="eastAsia" w:ascii="仿宋_GB2312" w:hAnsi="仿宋_GB2312" w:eastAsia="仿宋_GB2312" w:cs="仿宋_GB2312"/>
          <w:color w:val="auto"/>
          <w:kern w:val="0"/>
          <w:sz w:val="32"/>
          <w:szCs w:val="32"/>
          <w:lang w:eastAsia="zh-CN"/>
        </w:rPr>
        <w:t>新</w:t>
      </w:r>
      <w:r>
        <w:rPr>
          <w:rFonts w:hint="eastAsia" w:ascii="仿宋_GB2312" w:hAnsi="仿宋_GB2312" w:eastAsia="仿宋_GB2312" w:cs="仿宋_GB2312"/>
          <w:color w:val="auto"/>
          <w:kern w:val="0"/>
          <w:sz w:val="32"/>
          <w:szCs w:val="32"/>
        </w:rPr>
        <w:t>收集保存</w:t>
      </w:r>
      <w:r>
        <w:rPr>
          <w:rFonts w:hint="eastAsia" w:ascii="仿宋_GB2312" w:hAnsi="仿宋_GB2312" w:eastAsia="仿宋_GB2312" w:cs="仿宋_GB2312"/>
          <w:color w:val="auto"/>
          <w:kern w:val="0"/>
          <w:sz w:val="32"/>
          <w:szCs w:val="32"/>
          <w:lang w:eastAsia="zh-CN"/>
        </w:rPr>
        <w:t>国内外</w:t>
      </w:r>
      <w:r>
        <w:rPr>
          <w:rFonts w:hint="eastAsia" w:ascii="仿宋_GB2312" w:hAnsi="仿宋_GB2312" w:eastAsia="仿宋_GB2312" w:cs="仿宋_GB2312"/>
          <w:color w:val="auto"/>
          <w:kern w:val="0"/>
          <w:sz w:val="32"/>
          <w:szCs w:val="32"/>
        </w:rPr>
        <w:t>来源的优质南美白对虾群体1-2个，每个群体1000对以上；育成抗弧菌病或抗肝肠孢虫病且生长性状良好的新品系1-2个，抗弧菌病或抗肝肠孢虫病性能提高6%以上，生长性状提高6%以上。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
          <w:bCs/>
          <w:color w:val="auto"/>
          <w:kern w:val="0"/>
          <w:sz w:val="32"/>
          <w:szCs w:val="32"/>
        </w:rPr>
        <w:t>第二年目标：</w:t>
      </w:r>
      <w:r>
        <w:rPr>
          <w:rFonts w:hint="eastAsia" w:ascii="仿宋_GB2312" w:hAnsi="仿宋_GB2312" w:eastAsia="仿宋_GB2312" w:cs="仿宋_GB2312"/>
          <w:b w:val="0"/>
          <w:bCs w:val="0"/>
          <w:color w:val="auto"/>
          <w:kern w:val="0"/>
          <w:sz w:val="32"/>
          <w:szCs w:val="32"/>
          <w:lang w:eastAsia="zh-CN"/>
        </w:rPr>
        <w:t>累计新</w:t>
      </w:r>
      <w:r>
        <w:rPr>
          <w:rFonts w:hint="eastAsia" w:ascii="仿宋_GB2312" w:hAnsi="仿宋_GB2312" w:eastAsia="仿宋_GB2312" w:cs="仿宋_GB2312"/>
          <w:color w:val="auto"/>
          <w:kern w:val="0"/>
          <w:sz w:val="32"/>
          <w:szCs w:val="32"/>
        </w:rPr>
        <w:t>收集保存</w:t>
      </w:r>
      <w:r>
        <w:rPr>
          <w:rFonts w:hint="eastAsia" w:ascii="仿宋_GB2312" w:hAnsi="仿宋_GB2312" w:eastAsia="仿宋_GB2312" w:cs="仿宋_GB2312"/>
          <w:color w:val="auto"/>
          <w:kern w:val="0"/>
          <w:sz w:val="32"/>
          <w:szCs w:val="32"/>
          <w:lang w:eastAsia="zh-CN"/>
        </w:rPr>
        <w:t>国内外</w:t>
      </w:r>
      <w:r>
        <w:rPr>
          <w:rFonts w:hint="eastAsia" w:ascii="仿宋_GB2312" w:hAnsi="仿宋_GB2312" w:eastAsia="仿宋_GB2312" w:cs="仿宋_GB2312"/>
          <w:color w:val="auto"/>
          <w:kern w:val="0"/>
          <w:sz w:val="32"/>
          <w:szCs w:val="32"/>
        </w:rPr>
        <w:t>来源的优质南美白对虾群体3-5个，每个群体1000对以上；初步育成抗弧菌病或肝肠孢虫病且生长快的新品种1-2个，抗弧菌病或抗肝肠孢虫病性能提高15%</w:t>
      </w:r>
      <w:r>
        <w:rPr>
          <w:rFonts w:hint="eastAsia" w:ascii="仿宋_GB2312" w:hAnsi="仿宋_GB2312" w:eastAsia="仿宋_GB2312" w:cs="仿宋_GB2312"/>
          <w:color w:val="auto"/>
          <w:kern w:val="0"/>
          <w:sz w:val="32"/>
          <w:szCs w:val="32"/>
          <w:lang w:eastAsia="zh-CN"/>
        </w:rPr>
        <w:t>以上</w:t>
      </w:r>
      <w:r>
        <w:rPr>
          <w:rFonts w:hint="eastAsia" w:ascii="仿宋_GB2312" w:hAnsi="仿宋_GB2312" w:eastAsia="仿宋_GB2312" w:cs="仿宋_GB2312"/>
          <w:color w:val="auto"/>
          <w:kern w:val="0"/>
          <w:sz w:val="32"/>
          <w:szCs w:val="32"/>
        </w:rPr>
        <w:t>，生长性状提高15%以上；完成标准化的南美白对虾良种扩繁与苗种生产技术体系，年培育优良种虾20万对、年繁育优质良种虾苗500亿尾以上。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
          <w:bCs/>
          <w:color w:val="auto"/>
          <w:kern w:val="0"/>
          <w:sz w:val="32"/>
          <w:szCs w:val="32"/>
        </w:rPr>
        <w:t>第三年目标：</w:t>
      </w:r>
      <w:r>
        <w:rPr>
          <w:rFonts w:hint="eastAsia" w:ascii="仿宋_GB2312" w:hAnsi="仿宋_GB2312" w:eastAsia="仿宋_GB2312" w:cs="仿宋_GB2312"/>
          <w:b w:val="0"/>
          <w:bCs w:val="0"/>
          <w:color w:val="auto"/>
          <w:kern w:val="0"/>
          <w:sz w:val="32"/>
          <w:szCs w:val="32"/>
          <w:lang w:eastAsia="zh-CN"/>
        </w:rPr>
        <w:t>累计新</w:t>
      </w:r>
      <w:r>
        <w:rPr>
          <w:rFonts w:hint="eastAsia" w:ascii="仿宋_GB2312" w:hAnsi="仿宋_GB2312" w:eastAsia="仿宋_GB2312" w:cs="仿宋_GB2312"/>
          <w:color w:val="auto"/>
          <w:kern w:val="0"/>
          <w:sz w:val="32"/>
          <w:szCs w:val="32"/>
        </w:rPr>
        <w:t>收集保存</w:t>
      </w:r>
      <w:r>
        <w:rPr>
          <w:rFonts w:hint="eastAsia" w:ascii="仿宋_GB2312" w:hAnsi="仿宋_GB2312" w:eastAsia="仿宋_GB2312" w:cs="仿宋_GB2312"/>
          <w:color w:val="auto"/>
          <w:kern w:val="0"/>
          <w:sz w:val="32"/>
          <w:szCs w:val="32"/>
          <w:lang w:eastAsia="zh-CN"/>
        </w:rPr>
        <w:t>国内外</w:t>
      </w:r>
      <w:r>
        <w:rPr>
          <w:rFonts w:hint="eastAsia" w:ascii="仿宋_GB2312" w:hAnsi="仿宋_GB2312" w:eastAsia="仿宋_GB2312" w:cs="仿宋_GB2312"/>
          <w:color w:val="auto"/>
          <w:kern w:val="0"/>
          <w:sz w:val="32"/>
          <w:szCs w:val="32"/>
        </w:rPr>
        <w:t>来源的优质南美白对虾群体8-10个，每个育种群体1000对以上；培育抗病、抗逆、饲料高效利用等综合经济性状突出且生长性状优良的新品种3个，抗弧菌病或肝肠孢虫病能力提高30%</w:t>
      </w:r>
      <w:r>
        <w:rPr>
          <w:rFonts w:hint="eastAsia" w:ascii="仿宋_GB2312" w:hAnsi="仿宋_GB2312" w:eastAsia="仿宋_GB2312" w:cs="仿宋_GB2312"/>
          <w:color w:val="auto"/>
          <w:kern w:val="0"/>
          <w:sz w:val="32"/>
          <w:szCs w:val="32"/>
          <w:lang w:eastAsia="zh-CN"/>
        </w:rPr>
        <w:t>以上</w:t>
      </w:r>
      <w:r>
        <w:rPr>
          <w:rFonts w:hint="eastAsia" w:ascii="仿宋_GB2312" w:hAnsi="仿宋_GB2312" w:eastAsia="仿宋_GB2312" w:cs="仿宋_GB2312"/>
          <w:color w:val="auto"/>
          <w:kern w:val="0"/>
          <w:sz w:val="32"/>
          <w:szCs w:val="32"/>
        </w:rPr>
        <w:t>，耐氨氮、亚硝酸盐能力提高20%</w:t>
      </w:r>
      <w:r>
        <w:rPr>
          <w:rFonts w:hint="eastAsia" w:ascii="仿宋_GB2312" w:hAnsi="仿宋_GB2312" w:eastAsia="仿宋_GB2312" w:cs="仿宋_GB2312"/>
          <w:color w:val="auto"/>
          <w:kern w:val="0"/>
          <w:sz w:val="32"/>
          <w:szCs w:val="32"/>
          <w:lang w:eastAsia="zh-CN"/>
        </w:rPr>
        <w:t>以上</w:t>
      </w:r>
      <w:r>
        <w:rPr>
          <w:rFonts w:hint="eastAsia" w:ascii="仿宋_GB2312" w:hAnsi="仿宋_GB2312" w:eastAsia="仿宋_GB2312" w:cs="仿宋_GB2312"/>
          <w:color w:val="auto"/>
          <w:kern w:val="0"/>
          <w:sz w:val="32"/>
          <w:szCs w:val="32"/>
        </w:rPr>
        <w:t>，饲料利用率提高10%</w:t>
      </w:r>
      <w:r>
        <w:rPr>
          <w:rFonts w:hint="eastAsia" w:ascii="仿宋_GB2312" w:hAnsi="仿宋_GB2312" w:eastAsia="仿宋_GB2312" w:cs="仿宋_GB2312"/>
          <w:color w:val="auto"/>
          <w:kern w:val="0"/>
          <w:sz w:val="32"/>
          <w:szCs w:val="32"/>
          <w:lang w:eastAsia="zh-CN"/>
        </w:rPr>
        <w:t>以上</w:t>
      </w:r>
      <w:r>
        <w:rPr>
          <w:rFonts w:hint="eastAsia" w:ascii="仿宋_GB2312" w:hAnsi="仿宋_GB2312" w:eastAsia="仿宋_GB2312" w:cs="仿宋_GB2312"/>
          <w:color w:val="auto"/>
          <w:kern w:val="0"/>
          <w:sz w:val="32"/>
          <w:szCs w:val="32"/>
        </w:rPr>
        <w:t>，生长性状提高20%</w:t>
      </w:r>
      <w:r>
        <w:rPr>
          <w:rFonts w:hint="eastAsia" w:ascii="仿宋_GB2312" w:hAnsi="仿宋_GB2312" w:eastAsia="仿宋_GB2312" w:cs="仿宋_GB2312"/>
          <w:color w:val="auto"/>
          <w:kern w:val="0"/>
          <w:sz w:val="32"/>
          <w:szCs w:val="32"/>
          <w:lang w:eastAsia="zh-CN"/>
        </w:rPr>
        <w:t>以上</w:t>
      </w:r>
      <w:r>
        <w:rPr>
          <w:rFonts w:hint="eastAsia" w:ascii="仿宋_GB2312" w:hAnsi="仿宋_GB2312" w:eastAsia="仿宋_GB2312" w:cs="仿宋_GB2312"/>
          <w:color w:val="auto"/>
          <w:kern w:val="0"/>
          <w:sz w:val="32"/>
          <w:szCs w:val="32"/>
        </w:rPr>
        <w:t>；年培育优良种虾50万对</w:t>
      </w:r>
      <w:r>
        <w:rPr>
          <w:rFonts w:hint="eastAsia" w:ascii="仿宋_GB2312" w:hAnsi="仿宋_GB2312" w:eastAsia="仿宋_GB2312" w:cs="仿宋_GB2312"/>
          <w:color w:val="auto"/>
          <w:kern w:val="0"/>
          <w:sz w:val="32"/>
          <w:szCs w:val="32"/>
          <w:lang w:eastAsia="zh-CN"/>
        </w:rPr>
        <w:t>以上</w:t>
      </w:r>
      <w:r>
        <w:rPr>
          <w:rFonts w:hint="eastAsia" w:ascii="仿宋_GB2312" w:hAnsi="仿宋_GB2312" w:eastAsia="仿宋_GB2312" w:cs="仿宋_GB2312"/>
          <w:color w:val="auto"/>
          <w:kern w:val="0"/>
          <w:sz w:val="32"/>
          <w:szCs w:val="32"/>
        </w:rPr>
        <w:t>、年繁育良种虾苗1000 亿尾以上。</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3</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spacing w:val="-9"/>
          <w:kern w:val="0"/>
          <w:sz w:val="32"/>
          <w:szCs w:val="32"/>
        </w:rPr>
      </w:pPr>
      <w:r>
        <w:rPr>
          <w:rFonts w:hint="eastAsia" w:ascii="仿宋_GB2312" w:hAnsi="仿宋_GB2312" w:eastAsia="仿宋_GB2312" w:cs="仿宋_GB2312"/>
          <w:color w:val="auto"/>
          <w:kern w:val="0"/>
          <w:sz w:val="32"/>
          <w:szCs w:val="32"/>
        </w:rPr>
        <w:t>①由</w:t>
      </w:r>
      <w:r>
        <w:rPr>
          <w:rFonts w:hint="eastAsia" w:ascii="仿宋_GB2312" w:hAnsi="仿宋_GB2312" w:eastAsia="仿宋_GB2312" w:cs="仿宋_GB2312"/>
          <w:color w:val="auto"/>
          <w:spacing w:val="-9"/>
          <w:kern w:val="0"/>
          <w:sz w:val="32"/>
          <w:szCs w:val="32"/>
        </w:rPr>
        <w:t>省级及中央驻粤涉农科研机构、高等院校以及企业申报。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③申报对象是企业的，应具有水域滩涂养殖证和水产种苗生产许可证，具备开展品种培育、品种测试、良种扩繁等基础设施条件。</w:t>
      </w:r>
    </w:p>
    <w:p>
      <w:pPr>
        <w:widowControl w:val="0"/>
        <w:numPr>
          <w:ilvl w:val="0"/>
          <w:numId w:val="0"/>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原则上项目</w:t>
      </w:r>
      <w:r>
        <w:rPr>
          <w:rFonts w:hint="eastAsia" w:ascii="仿宋_GB2312" w:hAnsi="仿宋_GB2312" w:eastAsia="仿宋_GB2312" w:cs="仿宋_GB2312"/>
          <w:color w:val="auto"/>
          <w:kern w:val="0"/>
          <w:sz w:val="32"/>
          <w:szCs w:val="32"/>
        </w:rPr>
        <w:t>实施周期为3年。项目申报单位根据实际需求自行测算资金额度，2022年度资金额度原则上不超过500万元，申报须按不低于1:1</w:t>
      </w:r>
      <w:r>
        <w:rPr>
          <w:rFonts w:hint="eastAsia" w:ascii="仿宋_GB2312" w:hAnsi="仿宋_GB2312" w:eastAsia="仿宋_GB2312" w:cs="仿宋_GB2312"/>
          <w:color w:val="auto"/>
          <w:kern w:val="0"/>
          <w:sz w:val="32"/>
          <w:szCs w:val="32"/>
          <w:lang w:eastAsia="zh-CN"/>
        </w:rPr>
        <w:t>资金</w:t>
      </w:r>
      <w:r>
        <w:rPr>
          <w:rFonts w:hint="eastAsia" w:ascii="仿宋_GB2312" w:hAnsi="仿宋_GB2312" w:eastAsia="仿宋_GB2312" w:cs="仿宋_GB2312"/>
          <w:color w:val="auto"/>
          <w:kern w:val="0"/>
          <w:sz w:val="32"/>
          <w:szCs w:val="32"/>
        </w:rPr>
        <w:t>配套，在申报书中提供资金测算过程及测算依据。最终资金补助金额以我单位测算核实为准。</w:t>
      </w:r>
      <w:r>
        <w:rPr>
          <w:rFonts w:hint="eastAsia" w:ascii="仿宋_GB2312" w:hAnsi="仿宋_GB2312" w:eastAsia="仿宋_GB2312" w:cs="仿宋_GB2312"/>
          <w:color w:val="auto"/>
          <w:kern w:val="0"/>
          <w:sz w:val="32"/>
          <w:szCs w:val="32"/>
          <w:lang w:eastAsia="zh-CN"/>
        </w:rPr>
        <w:t>项目预算金额测算是否详细、合理将纳入评审标准。</w:t>
      </w:r>
    </w:p>
    <w:p>
      <w:pPr>
        <w:widowControl w:val="0"/>
        <w:numPr>
          <w:ilvl w:val="-1"/>
          <w:numId w:val="0"/>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5</w:t>
      </w:r>
      <w:r>
        <w:rPr>
          <w:rFonts w:hint="eastAsia" w:ascii="仿宋_GB2312" w:hAnsi="仿宋_GB2312" w:eastAsia="仿宋_GB2312" w:cs="仿宋_GB2312"/>
          <w:b/>
          <w:bCs/>
          <w:color w:val="auto"/>
          <w:kern w:val="0"/>
          <w:sz w:val="32"/>
          <w:szCs w:val="32"/>
          <w:lang w:eastAsia="zh-CN"/>
        </w:rPr>
        <w:t>）考核要求</w:t>
      </w:r>
    </w:p>
    <w:p>
      <w:pPr>
        <w:widowControl w:val="0"/>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在项目执行期内，省农业农村厅根据项目榜单制定的年度计划和目标，适时组织专家对项目阶段性目标完成情况进行</w:t>
      </w:r>
      <w:r>
        <w:rPr>
          <w:rFonts w:hint="eastAsia" w:ascii="仿宋_GB2312" w:hAnsi="仿宋_GB2312" w:eastAsia="仿宋_GB2312" w:cs="仿宋_GB2312"/>
          <w:color w:val="auto"/>
          <w:kern w:val="0"/>
          <w:sz w:val="32"/>
          <w:szCs w:val="32"/>
          <w:lang w:eastAsia="zh-CN"/>
        </w:rPr>
        <w:t>考核，依据考核结果，对下一年度项目资金安排实施动态调整。</w:t>
      </w:r>
    </w:p>
    <w:p>
      <w:pPr>
        <w:widowControl w:val="0"/>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待项目持续支持3年后，由省农业农村厅组织开展项目总体绩效考核，达到</w:t>
      </w:r>
      <w:r>
        <w:rPr>
          <w:rFonts w:hint="eastAsia" w:ascii="仿宋_GB2312" w:hAnsi="仿宋_GB2312" w:eastAsia="仿宋_GB2312" w:cs="仿宋_GB2312"/>
          <w:color w:val="auto"/>
          <w:kern w:val="0"/>
          <w:sz w:val="32"/>
          <w:szCs w:val="32"/>
          <w:lang w:eastAsia="zh-CN"/>
        </w:rPr>
        <w:t>项目</w:t>
      </w:r>
      <w:r>
        <w:rPr>
          <w:rFonts w:hint="eastAsia" w:ascii="仿宋_GB2312" w:hAnsi="仿宋_GB2312" w:eastAsia="仿宋_GB2312" w:cs="仿宋_GB2312"/>
          <w:color w:val="auto"/>
          <w:kern w:val="0"/>
          <w:sz w:val="32"/>
          <w:szCs w:val="32"/>
        </w:rPr>
        <w:t>总体目标的，在后续种业振兴相关项目安排上予以倾斜；</w:t>
      </w:r>
      <w:r>
        <w:rPr>
          <w:rFonts w:hint="eastAsia" w:ascii="仿宋_GB2312" w:hAnsi="仿宋_GB2312" w:eastAsia="仿宋_GB2312" w:cs="仿宋_GB2312"/>
          <w:color w:val="auto"/>
          <w:kern w:val="0"/>
          <w:sz w:val="32"/>
          <w:szCs w:val="32"/>
          <w:lang w:eastAsia="zh-CN"/>
        </w:rPr>
        <w:t>因主观不努力等因素，导致</w:t>
      </w:r>
      <w:r>
        <w:rPr>
          <w:rFonts w:hint="eastAsia" w:ascii="仿宋_GB2312" w:hAnsi="仿宋_GB2312" w:eastAsia="仿宋_GB2312" w:cs="仿宋_GB2312"/>
          <w:color w:val="auto"/>
          <w:kern w:val="0"/>
          <w:sz w:val="32"/>
          <w:szCs w:val="32"/>
        </w:rPr>
        <w:t>未达到</w:t>
      </w:r>
      <w:r>
        <w:rPr>
          <w:rFonts w:hint="eastAsia" w:ascii="仿宋_GB2312" w:hAnsi="仿宋_GB2312" w:eastAsia="仿宋_GB2312" w:cs="仿宋_GB2312"/>
          <w:color w:val="auto"/>
          <w:kern w:val="0"/>
          <w:sz w:val="32"/>
          <w:szCs w:val="32"/>
          <w:lang w:eastAsia="zh-CN"/>
        </w:rPr>
        <w:t>项目</w:t>
      </w:r>
      <w:r>
        <w:rPr>
          <w:rFonts w:hint="eastAsia" w:ascii="仿宋_GB2312" w:hAnsi="仿宋_GB2312" w:eastAsia="仿宋_GB2312" w:cs="仿宋_GB2312"/>
          <w:color w:val="auto"/>
          <w:kern w:val="0"/>
          <w:sz w:val="32"/>
          <w:szCs w:val="32"/>
        </w:rPr>
        <w:t>总体目标的或者无法按照计划顺利实施的，将对项目承担单位予以通报，并在后续种业振兴相关项目安排上予以限制。</w:t>
      </w:r>
    </w:p>
    <w:p>
      <w:pPr>
        <w:widowControl w:val="0"/>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3.项目名称：优质稻种质创制及良种培育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（1）项目需求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以高产、优质、抗逆等为目标，开展</w:t>
      </w:r>
      <w:r>
        <w:rPr>
          <w:rFonts w:hint="eastAsia" w:ascii="仿宋_GB2312" w:hAnsi="仿宋_GB2312" w:eastAsia="仿宋_GB2312" w:cs="仿宋_GB2312"/>
          <w:color w:val="auto"/>
          <w:kern w:val="0"/>
          <w:sz w:val="32"/>
          <w:szCs w:val="32"/>
          <w:lang w:eastAsia="zh-CN"/>
        </w:rPr>
        <w:t>优质稻突破性新品种培育</w:t>
      </w:r>
      <w:r>
        <w:rPr>
          <w:rFonts w:hint="eastAsia" w:ascii="仿宋_GB2312" w:hAnsi="仿宋_GB2312" w:eastAsia="仿宋_GB2312" w:cs="仿宋_GB2312"/>
          <w:color w:val="auto"/>
          <w:kern w:val="0"/>
          <w:sz w:val="32"/>
          <w:szCs w:val="32"/>
        </w:rPr>
        <w:t>。开展核心种质资源的表型评价和基因大数据关联分析，为优质稻育种提供基础数据，利用分子标记辅助选择、全基因组选择、基因编辑等先进的现代生物育种技术，结合有性杂交、系谱选择和化学物理诱变等常规育种手段，整合集成高效水稻分子育种技术体系，创制水稻优异种质资源和具有应用价值的亲本，高效、精准、定向培育产量、抗性协同提升的优质水稻新品种和符合广东丝苗米标准的水稻新品种，支撑我省水稻产业高质量发展，提高种粮效益，保障粮食安全，提升我省优质水稻的国际影响力。</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（2）绩效目标</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第一年目标：</w:t>
      </w:r>
      <w:r>
        <w:rPr>
          <w:rFonts w:hint="eastAsia" w:ascii="仿宋_GB2312" w:hAnsi="仿宋_GB2312" w:eastAsia="仿宋_GB2312" w:cs="仿宋_GB2312"/>
          <w:color w:val="auto"/>
          <w:kern w:val="0"/>
          <w:sz w:val="32"/>
          <w:szCs w:val="32"/>
        </w:rPr>
        <w:t>完成150份水稻种质资源的表型</w:t>
      </w:r>
      <w:r>
        <w:rPr>
          <w:rFonts w:hint="eastAsia" w:ascii="仿宋_GB2312" w:hAnsi="仿宋_GB2312" w:eastAsia="仿宋_GB2312" w:cs="仿宋_GB2312"/>
          <w:color w:val="auto"/>
          <w:kern w:val="0"/>
          <w:sz w:val="32"/>
          <w:szCs w:val="32"/>
          <w:lang w:eastAsia="zh-CN"/>
        </w:rPr>
        <w:t>鉴定</w:t>
      </w:r>
      <w:r>
        <w:rPr>
          <w:rFonts w:hint="eastAsia" w:ascii="仿宋_GB2312" w:hAnsi="仿宋_GB2312" w:eastAsia="仿宋_GB2312" w:cs="仿宋_GB2312"/>
          <w:color w:val="auto"/>
          <w:kern w:val="0"/>
          <w:sz w:val="32"/>
          <w:szCs w:val="32"/>
        </w:rPr>
        <w:t>和基因大数据关联分析，</w:t>
      </w:r>
      <w:r>
        <w:rPr>
          <w:rFonts w:hint="eastAsia" w:ascii="仿宋_GB2312" w:hAnsi="仿宋_GB2312" w:eastAsia="仿宋_GB2312" w:cs="仿宋_GB2312"/>
          <w:color w:val="auto"/>
          <w:kern w:val="0"/>
          <w:sz w:val="32"/>
          <w:szCs w:val="32"/>
          <w:lang w:eastAsia="zh-CN"/>
        </w:rPr>
        <w:t>创新</w:t>
      </w:r>
      <w:r>
        <w:rPr>
          <w:rFonts w:hint="eastAsia" w:ascii="仿宋_GB2312" w:hAnsi="仿宋_GB2312" w:eastAsia="仿宋_GB2312" w:cs="仿宋_GB2312"/>
          <w:color w:val="auto"/>
          <w:kern w:val="0"/>
          <w:sz w:val="32"/>
          <w:szCs w:val="32"/>
        </w:rPr>
        <w:t>集成高效水稻分子育种技术体系1-2套，创制水稻优异</w:t>
      </w:r>
      <w:r>
        <w:rPr>
          <w:rFonts w:hint="eastAsia" w:ascii="仿宋_GB2312" w:hAnsi="仿宋_GB2312" w:eastAsia="仿宋_GB2312" w:cs="仿宋_GB2312"/>
          <w:color w:val="auto"/>
          <w:kern w:val="0"/>
          <w:sz w:val="32"/>
          <w:szCs w:val="32"/>
          <w:lang w:eastAsia="zh-CN"/>
        </w:rPr>
        <w:t>新材料（品系）</w:t>
      </w:r>
      <w:r>
        <w:rPr>
          <w:rFonts w:hint="eastAsia" w:ascii="仿宋_GB2312" w:hAnsi="仿宋_GB2312" w:eastAsia="仿宋_GB2312" w:cs="仿宋_GB2312"/>
          <w:color w:val="auto"/>
          <w:kern w:val="0"/>
          <w:sz w:val="32"/>
          <w:szCs w:val="32"/>
        </w:rPr>
        <w:t>和具有应用价值的育种亲本3-5份。</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
          <w:bCs/>
          <w:color w:val="auto"/>
          <w:kern w:val="0"/>
          <w:sz w:val="32"/>
          <w:szCs w:val="32"/>
          <w:lang w:eastAsia="zh-CN"/>
        </w:rPr>
        <w:t>第二年目标：</w:t>
      </w:r>
      <w:r>
        <w:rPr>
          <w:rFonts w:hint="eastAsia" w:ascii="仿宋_GB2312" w:hAnsi="仿宋_GB2312" w:eastAsia="仿宋_GB2312" w:cs="仿宋_GB2312"/>
          <w:color w:val="auto"/>
          <w:kern w:val="0"/>
          <w:sz w:val="32"/>
          <w:szCs w:val="32"/>
        </w:rPr>
        <w:t>创制水稻优异</w:t>
      </w:r>
      <w:r>
        <w:rPr>
          <w:rFonts w:hint="eastAsia" w:ascii="仿宋_GB2312" w:hAnsi="仿宋_GB2312" w:eastAsia="仿宋_GB2312" w:cs="仿宋_GB2312"/>
          <w:color w:val="auto"/>
          <w:kern w:val="0"/>
          <w:sz w:val="32"/>
          <w:szCs w:val="32"/>
          <w:lang w:eastAsia="zh-CN"/>
        </w:rPr>
        <w:t>新材料（品系）</w:t>
      </w:r>
      <w:r>
        <w:rPr>
          <w:rFonts w:hint="eastAsia" w:ascii="仿宋_GB2312" w:hAnsi="仿宋_GB2312" w:eastAsia="仿宋_GB2312" w:cs="仿宋_GB2312"/>
          <w:color w:val="auto"/>
          <w:kern w:val="0"/>
          <w:sz w:val="32"/>
          <w:szCs w:val="32"/>
        </w:rPr>
        <w:t>和具有应用价值的育种亲本6-10份</w:t>
      </w:r>
      <w:r>
        <w:rPr>
          <w:rFonts w:hint="eastAsia" w:ascii="仿宋_GB2312" w:hAnsi="仿宋_GB2312" w:eastAsia="仿宋_GB2312" w:cs="仿宋_GB2312"/>
          <w:color w:val="auto"/>
          <w:kern w:val="0"/>
          <w:sz w:val="32"/>
          <w:szCs w:val="32"/>
          <w:lang w:eastAsia="zh-CN"/>
        </w:rPr>
        <w:t>，培育突破性优质稻新品种</w:t>
      </w:r>
      <w:r>
        <w:rPr>
          <w:rFonts w:hint="eastAsia" w:ascii="仿宋_GB2312" w:hAnsi="仿宋_GB2312" w:eastAsia="仿宋_GB2312" w:cs="仿宋_GB2312"/>
          <w:color w:val="auto"/>
          <w:kern w:val="0"/>
          <w:sz w:val="32"/>
          <w:szCs w:val="32"/>
          <w:lang w:val="en-US" w:eastAsia="zh-CN"/>
        </w:rPr>
        <w:t>1个，</w:t>
      </w:r>
      <w:r>
        <w:rPr>
          <w:rFonts w:hint="eastAsia" w:ascii="仿宋_GB2312" w:hAnsi="仿宋_GB2312" w:eastAsia="仿宋_GB2312" w:cs="仿宋_GB2312"/>
          <w:color w:val="auto"/>
          <w:kern w:val="0"/>
          <w:sz w:val="32"/>
          <w:szCs w:val="32"/>
        </w:rPr>
        <w:t>新品种综合农艺性状优良，区试产量</w:t>
      </w:r>
      <w:r>
        <w:rPr>
          <w:rFonts w:hint="eastAsia" w:ascii="仿宋_GB2312" w:hAnsi="仿宋_GB2312" w:eastAsia="仿宋_GB2312" w:cs="仿宋_GB2312"/>
          <w:color w:val="auto"/>
          <w:kern w:val="0"/>
          <w:sz w:val="32"/>
          <w:szCs w:val="32"/>
          <w:lang w:eastAsia="zh-CN"/>
        </w:rPr>
        <w:t>比对照</w:t>
      </w:r>
      <w:r>
        <w:rPr>
          <w:rFonts w:hint="eastAsia" w:ascii="仿宋_GB2312" w:hAnsi="仿宋_GB2312" w:eastAsia="仿宋_GB2312" w:cs="仿宋_GB2312"/>
          <w:color w:val="auto"/>
          <w:kern w:val="0"/>
          <w:sz w:val="32"/>
          <w:szCs w:val="32"/>
        </w:rPr>
        <w:t>增产10%</w:t>
      </w:r>
      <w:r>
        <w:rPr>
          <w:rFonts w:hint="eastAsia" w:ascii="仿宋_GB2312" w:hAnsi="仿宋_GB2312" w:eastAsia="仿宋_GB2312" w:cs="仿宋_GB2312"/>
          <w:color w:val="auto"/>
          <w:kern w:val="0"/>
          <w:sz w:val="32"/>
          <w:szCs w:val="32"/>
          <w:lang w:eastAsia="zh-CN"/>
        </w:rPr>
        <w:t>以上</w:t>
      </w:r>
      <w:r>
        <w:rPr>
          <w:rFonts w:hint="eastAsia" w:ascii="仿宋_GB2312" w:hAnsi="仿宋_GB2312" w:eastAsia="仿宋_GB2312" w:cs="仿宋_GB2312"/>
          <w:color w:val="auto"/>
          <w:kern w:val="0"/>
          <w:sz w:val="32"/>
          <w:szCs w:val="32"/>
        </w:rPr>
        <w:t>、抗1-2</w:t>
      </w:r>
      <w:r>
        <w:rPr>
          <w:rFonts w:hint="eastAsia" w:ascii="仿宋_GB2312" w:hAnsi="仿宋_GB2312" w:eastAsia="仿宋_GB2312" w:cs="仿宋_GB2312"/>
          <w:color w:val="auto"/>
          <w:kern w:val="0"/>
          <w:sz w:val="32"/>
          <w:szCs w:val="32"/>
          <w:lang w:eastAsia="zh-CN"/>
        </w:rPr>
        <w:t>种</w:t>
      </w:r>
      <w:r>
        <w:rPr>
          <w:rFonts w:hint="eastAsia" w:ascii="仿宋_GB2312" w:hAnsi="仿宋_GB2312" w:eastAsia="仿宋_GB2312" w:cs="仿宋_GB2312"/>
          <w:color w:val="auto"/>
          <w:kern w:val="0"/>
          <w:sz w:val="32"/>
          <w:szCs w:val="32"/>
        </w:rPr>
        <w:t>水稻主要病害、米质达到部优二级，食味品质优良</w:t>
      </w:r>
      <w:r>
        <w:rPr>
          <w:rFonts w:hint="eastAsia" w:ascii="仿宋_GB2312" w:hAnsi="仿宋_GB2312" w:eastAsia="仿宋_GB2312" w:cs="仿宋_GB2312"/>
          <w:color w:val="auto"/>
          <w:kern w:val="0"/>
          <w:sz w:val="32"/>
          <w:szCs w:val="32"/>
          <w:lang w:eastAsia="zh-CN"/>
        </w:rPr>
        <w:t>。</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
          <w:bCs/>
          <w:color w:val="auto"/>
          <w:kern w:val="0"/>
          <w:sz w:val="32"/>
          <w:szCs w:val="32"/>
          <w:lang w:eastAsia="zh-CN"/>
        </w:rPr>
        <w:t>第三年目标：</w:t>
      </w:r>
      <w:r>
        <w:rPr>
          <w:rFonts w:hint="eastAsia" w:ascii="仿宋_GB2312" w:hAnsi="仿宋_GB2312" w:eastAsia="仿宋_GB2312" w:cs="仿宋_GB2312"/>
          <w:color w:val="auto"/>
          <w:kern w:val="0"/>
          <w:sz w:val="32"/>
          <w:szCs w:val="32"/>
        </w:rPr>
        <w:t>培育突破性优质稻新品种2-3个，新品种综合农艺性状优良，区试产量</w:t>
      </w:r>
      <w:r>
        <w:rPr>
          <w:rFonts w:hint="eastAsia" w:ascii="仿宋_GB2312" w:hAnsi="仿宋_GB2312" w:eastAsia="仿宋_GB2312" w:cs="仿宋_GB2312"/>
          <w:color w:val="auto"/>
          <w:kern w:val="0"/>
          <w:sz w:val="32"/>
          <w:szCs w:val="32"/>
          <w:lang w:eastAsia="zh-CN"/>
        </w:rPr>
        <w:t>比对照</w:t>
      </w:r>
      <w:r>
        <w:rPr>
          <w:rFonts w:hint="eastAsia" w:ascii="仿宋_GB2312" w:hAnsi="仿宋_GB2312" w:eastAsia="仿宋_GB2312" w:cs="仿宋_GB2312"/>
          <w:color w:val="auto"/>
          <w:kern w:val="0"/>
          <w:sz w:val="32"/>
          <w:szCs w:val="32"/>
        </w:rPr>
        <w:t>增产10%</w:t>
      </w:r>
      <w:r>
        <w:rPr>
          <w:rFonts w:hint="eastAsia" w:ascii="仿宋_GB2312" w:hAnsi="仿宋_GB2312" w:eastAsia="仿宋_GB2312" w:cs="仿宋_GB2312"/>
          <w:color w:val="auto"/>
          <w:kern w:val="0"/>
          <w:sz w:val="32"/>
          <w:szCs w:val="32"/>
          <w:lang w:eastAsia="zh-CN"/>
        </w:rPr>
        <w:t>以上</w:t>
      </w:r>
      <w:r>
        <w:rPr>
          <w:rFonts w:hint="eastAsia" w:ascii="仿宋_GB2312" w:hAnsi="仿宋_GB2312" w:eastAsia="仿宋_GB2312" w:cs="仿宋_GB2312"/>
          <w:color w:val="auto"/>
          <w:kern w:val="0"/>
          <w:sz w:val="32"/>
          <w:szCs w:val="32"/>
        </w:rPr>
        <w:t>、抗1-2</w:t>
      </w:r>
      <w:r>
        <w:rPr>
          <w:rFonts w:hint="eastAsia" w:ascii="仿宋_GB2312" w:hAnsi="仿宋_GB2312" w:eastAsia="仿宋_GB2312" w:cs="仿宋_GB2312"/>
          <w:color w:val="auto"/>
          <w:kern w:val="0"/>
          <w:sz w:val="32"/>
          <w:szCs w:val="32"/>
          <w:lang w:eastAsia="zh-CN"/>
        </w:rPr>
        <w:t>种</w:t>
      </w:r>
      <w:r>
        <w:rPr>
          <w:rFonts w:hint="eastAsia" w:ascii="仿宋_GB2312" w:hAnsi="仿宋_GB2312" w:eastAsia="仿宋_GB2312" w:cs="仿宋_GB2312"/>
          <w:color w:val="auto"/>
          <w:kern w:val="0"/>
          <w:sz w:val="32"/>
          <w:szCs w:val="32"/>
        </w:rPr>
        <w:t>水稻主要病害、米质达到部优二级，食味品质优良，年推广面积5万亩以上。</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①由</w:t>
      </w:r>
      <w:r>
        <w:rPr>
          <w:rFonts w:hint="eastAsia" w:ascii="仿宋_GB2312" w:hAnsi="仿宋_GB2312" w:eastAsia="仿宋_GB2312" w:cs="仿宋_GB2312"/>
          <w:color w:val="auto"/>
          <w:spacing w:val="-9"/>
          <w:kern w:val="0"/>
          <w:sz w:val="32"/>
          <w:szCs w:val="32"/>
        </w:rPr>
        <w:t>省级及中央驻粤涉农科研机构、高等院校以及企业申报。</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③申报对象是企业的，应具有</w:t>
      </w:r>
      <w:r>
        <w:rPr>
          <w:rFonts w:hint="eastAsia" w:ascii="仿宋_GB2312" w:hAnsi="仿宋_GB2312" w:eastAsia="仿宋_GB2312" w:cs="仿宋_GB2312"/>
          <w:color w:val="auto"/>
          <w:kern w:val="0"/>
          <w:sz w:val="32"/>
          <w:szCs w:val="32"/>
          <w:lang w:eastAsia="zh-CN"/>
        </w:rPr>
        <w:t>农作物种子</w:t>
      </w:r>
      <w:r>
        <w:rPr>
          <w:rFonts w:hint="eastAsia" w:ascii="仿宋_GB2312" w:hAnsi="仿宋_GB2312" w:eastAsia="仿宋_GB2312" w:cs="仿宋_GB2312"/>
          <w:color w:val="auto"/>
          <w:kern w:val="0"/>
          <w:sz w:val="32"/>
          <w:szCs w:val="32"/>
        </w:rPr>
        <w:t>生产</w:t>
      </w:r>
      <w:r>
        <w:rPr>
          <w:rFonts w:hint="eastAsia" w:ascii="仿宋_GB2312" w:hAnsi="仿宋_GB2312" w:eastAsia="仿宋_GB2312" w:cs="仿宋_GB2312"/>
          <w:color w:val="auto"/>
          <w:kern w:val="0"/>
          <w:sz w:val="32"/>
          <w:szCs w:val="32"/>
          <w:lang w:eastAsia="zh-CN"/>
        </w:rPr>
        <w:t>经营</w:t>
      </w:r>
      <w:r>
        <w:rPr>
          <w:rFonts w:hint="eastAsia" w:ascii="仿宋_GB2312" w:hAnsi="仿宋_GB2312" w:eastAsia="仿宋_GB2312" w:cs="仿宋_GB2312"/>
          <w:color w:val="auto"/>
          <w:kern w:val="0"/>
          <w:sz w:val="32"/>
          <w:szCs w:val="32"/>
        </w:rPr>
        <w:t>许可证</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具备开展品种培育、品种试验、良种繁育等基础设施条件。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原则上项目</w:t>
      </w:r>
      <w:r>
        <w:rPr>
          <w:rFonts w:hint="eastAsia" w:ascii="仿宋_GB2312" w:hAnsi="仿宋_GB2312" w:eastAsia="仿宋_GB2312" w:cs="仿宋_GB2312"/>
          <w:color w:val="auto"/>
          <w:kern w:val="0"/>
          <w:sz w:val="32"/>
          <w:szCs w:val="32"/>
        </w:rPr>
        <w:t>实施周期为3年。项目申报单位根据实际需求自行测算资金额度，2022年度资金额度原则上不超过500万元，申报须按不低于1:1</w:t>
      </w:r>
      <w:r>
        <w:rPr>
          <w:rFonts w:hint="eastAsia" w:ascii="仿宋_GB2312" w:hAnsi="仿宋_GB2312" w:eastAsia="仿宋_GB2312" w:cs="仿宋_GB2312"/>
          <w:color w:val="auto"/>
          <w:kern w:val="0"/>
          <w:sz w:val="32"/>
          <w:szCs w:val="32"/>
          <w:lang w:eastAsia="zh-CN"/>
        </w:rPr>
        <w:t>资金</w:t>
      </w:r>
      <w:r>
        <w:rPr>
          <w:rFonts w:hint="eastAsia" w:ascii="仿宋_GB2312" w:hAnsi="仿宋_GB2312" w:eastAsia="仿宋_GB2312" w:cs="仿宋_GB2312"/>
          <w:color w:val="auto"/>
          <w:kern w:val="0"/>
          <w:sz w:val="32"/>
          <w:szCs w:val="32"/>
        </w:rPr>
        <w:t>配套，在申报书中提供资金测算过程及测算依据。最终资金补助金额以我单位测算核实为准。</w:t>
      </w:r>
      <w:r>
        <w:rPr>
          <w:rFonts w:hint="eastAsia" w:ascii="仿宋_GB2312" w:hAnsi="仿宋_GB2312" w:eastAsia="仿宋_GB2312" w:cs="仿宋_GB2312"/>
          <w:color w:val="auto"/>
          <w:kern w:val="0"/>
          <w:sz w:val="32"/>
          <w:szCs w:val="32"/>
          <w:lang w:eastAsia="zh-CN"/>
        </w:rPr>
        <w:t>项目预算金额测算是否详细、合理将纳入评审标准。</w:t>
      </w:r>
    </w:p>
    <w:p>
      <w:pPr>
        <w:numPr>
          <w:ilvl w:val="0"/>
          <w:numId w:val="0"/>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5</w:t>
      </w:r>
      <w:r>
        <w:rPr>
          <w:rFonts w:hint="eastAsia" w:ascii="仿宋_GB2312" w:hAnsi="仿宋_GB2312" w:eastAsia="仿宋_GB2312" w:cs="仿宋_GB2312"/>
          <w:b/>
          <w:bCs/>
          <w:color w:val="auto"/>
          <w:kern w:val="0"/>
          <w:sz w:val="32"/>
          <w:szCs w:val="32"/>
          <w:lang w:eastAsia="zh-CN"/>
        </w:rPr>
        <w:t>）考核要求</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rPr>
        <w:t>在项目执行期内，省农业农村厅根据项目榜单制定的年度计划和目标，适时组织专家对项目阶段性目标完成情况进行</w:t>
      </w:r>
      <w:r>
        <w:rPr>
          <w:rFonts w:hint="eastAsia" w:ascii="仿宋_GB2312" w:hAnsi="仿宋_GB2312" w:eastAsia="仿宋_GB2312" w:cs="仿宋_GB2312"/>
          <w:color w:val="auto"/>
          <w:kern w:val="0"/>
          <w:sz w:val="32"/>
          <w:szCs w:val="32"/>
          <w:lang w:eastAsia="zh-CN"/>
        </w:rPr>
        <w:t>考核，依据考核结果，对下一年度项目资金安排实施动态调整。</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rPr>
        <w:t>待项目持续支持3年后，由省农业农村厅组织开展项目总体绩效考核</w:t>
      </w:r>
      <w:r>
        <w:rPr>
          <w:rFonts w:hint="eastAsia" w:ascii="仿宋_GB2312" w:hAnsi="仿宋_GB2312" w:eastAsia="仿宋_GB2312" w:cs="仿宋_GB2312"/>
          <w:color w:val="auto"/>
          <w:kern w:val="0"/>
          <w:sz w:val="32"/>
          <w:szCs w:val="32"/>
          <w:lang w:bidi="ar"/>
        </w:rPr>
        <w:t>，达到</w:t>
      </w:r>
      <w:r>
        <w:rPr>
          <w:rFonts w:hint="eastAsia" w:ascii="仿宋_GB2312" w:hAnsi="仿宋_GB2312" w:eastAsia="仿宋_GB2312" w:cs="仿宋_GB2312"/>
          <w:color w:val="auto"/>
          <w:kern w:val="0"/>
          <w:sz w:val="32"/>
          <w:szCs w:val="32"/>
          <w:lang w:eastAsia="zh-CN" w:bidi="ar"/>
        </w:rPr>
        <w:t>项目</w:t>
      </w:r>
      <w:r>
        <w:rPr>
          <w:rFonts w:hint="eastAsia" w:ascii="仿宋_GB2312" w:hAnsi="仿宋_GB2312" w:eastAsia="仿宋_GB2312" w:cs="仿宋_GB2312"/>
          <w:color w:val="auto"/>
          <w:kern w:val="0"/>
          <w:sz w:val="32"/>
          <w:szCs w:val="32"/>
          <w:lang w:bidi="ar"/>
        </w:rPr>
        <w:t>总体目标的，在后续种业振兴相关项目安排上予以倾斜；</w:t>
      </w:r>
      <w:r>
        <w:rPr>
          <w:rFonts w:hint="eastAsia" w:ascii="仿宋_GB2312" w:hAnsi="仿宋_GB2312" w:eastAsia="仿宋_GB2312" w:cs="仿宋_GB2312"/>
          <w:color w:val="auto"/>
          <w:kern w:val="0"/>
          <w:sz w:val="32"/>
          <w:szCs w:val="32"/>
          <w:lang w:eastAsia="zh-CN" w:bidi="ar"/>
        </w:rPr>
        <w:t>因主观不努力等因素，导致</w:t>
      </w:r>
      <w:r>
        <w:rPr>
          <w:rFonts w:hint="eastAsia" w:ascii="仿宋_GB2312" w:hAnsi="仿宋_GB2312" w:eastAsia="仿宋_GB2312" w:cs="仿宋_GB2312"/>
          <w:color w:val="auto"/>
          <w:kern w:val="0"/>
          <w:sz w:val="32"/>
          <w:szCs w:val="32"/>
          <w:lang w:bidi="ar"/>
        </w:rPr>
        <w:t>未达到</w:t>
      </w:r>
      <w:r>
        <w:rPr>
          <w:rFonts w:hint="eastAsia" w:ascii="仿宋_GB2312" w:hAnsi="仿宋_GB2312" w:eastAsia="仿宋_GB2312" w:cs="仿宋_GB2312"/>
          <w:color w:val="auto"/>
          <w:kern w:val="0"/>
          <w:sz w:val="32"/>
          <w:szCs w:val="32"/>
          <w:lang w:eastAsia="zh-CN" w:bidi="ar"/>
        </w:rPr>
        <w:t>项目</w:t>
      </w:r>
      <w:r>
        <w:rPr>
          <w:rFonts w:hint="eastAsia" w:ascii="仿宋_GB2312" w:hAnsi="仿宋_GB2312" w:eastAsia="仿宋_GB2312" w:cs="仿宋_GB2312"/>
          <w:color w:val="auto"/>
          <w:kern w:val="0"/>
          <w:sz w:val="32"/>
          <w:szCs w:val="32"/>
          <w:lang w:bidi="ar"/>
        </w:rPr>
        <w:t>总体目标的或者无法按照计划顺利实施的，将对项目承担单位予以通报，并在后续种业振兴相关项目安排上予以限制。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eastAsia="zh-CN" w:bidi="ar"/>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4.项目名称：促生抗病农业微生物种质资源挖掘与利用关键技术攻关</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（1）项目需求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eastAsia="zh-CN" w:bidi="ar"/>
        </w:rPr>
      </w:pPr>
      <w:r>
        <w:rPr>
          <w:rFonts w:hint="eastAsia" w:ascii="仿宋_GB2312" w:hAnsi="仿宋_GB2312" w:eastAsia="仿宋_GB2312" w:cs="仿宋_GB2312"/>
          <w:color w:val="auto"/>
          <w:kern w:val="0"/>
          <w:sz w:val="32"/>
          <w:szCs w:val="32"/>
          <w:lang w:bidi="ar"/>
        </w:rPr>
        <w:t>针对广东特色经济作物（水果、蔬菜类国家地理标志农产品），构建匹配的促生抗病微生物资源组合和应用技术体系，从而减少化学肥料和化学农药的使用，推动农业的绿色高质量发展。开展特色经济作物促生抗病微生物的高通量分离与筛选；开展促进作物养分吸收和提升植株抗病能力的微生物高效菌株功能特性的深度鉴评；建立高效功能菌株组合的环境适配及其代谢产物应用技术</w:t>
      </w:r>
      <w:r>
        <w:rPr>
          <w:rFonts w:hint="eastAsia" w:ascii="仿宋_GB2312" w:hAnsi="仿宋_GB2312" w:eastAsia="仿宋_GB2312" w:cs="仿宋_GB2312"/>
          <w:color w:val="auto"/>
          <w:kern w:val="0"/>
          <w:sz w:val="32"/>
          <w:szCs w:val="32"/>
          <w:lang w:eastAsia="zh-CN" w:bidi="ar"/>
        </w:rPr>
        <w:t>。构建促生抗病农业微生物资源的高效筛选体系，建成促生抗病微生物核心种质资源库与功能信息库。</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eastAsia="zh-CN" w:bidi="ar"/>
        </w:rPr>
      </w:pPr>
      <w:r>
        <w:rPr>
          <w:rFonts w:hint="eastAsia" w:ascii="仿宋_GB2312" w:hAnsi="仿宋_GB2312" w:eastAsia="仿宋_GB2312" w:cs="仿宋_GB2312"/>
          <w:b/>
          <w:bCs/>
          <w:color w:val="auto"/>
          <w:kern w:val="0"/>
          <w:sz w:val="32"/>
          <w:szCs w:val="32"/>
          <w:lang w:eastAsia="zh-CN" w:bidi="ar"/>
        </w:rPr>
        <w:t>（2）绩效目标</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eastAsia="zh-CN" w:bidi="ar"/>
        </w:rPr>
      </w:pPr>
      <w:r>
        <w:rPr>
          <w:rFonts w:hint="eastAsia" w:ascii="仿宋_GB2312" w:hAnsi="仿宋_GB2312" w:eastAsia="仿宋_GB2312" w:cs="仿宋_GB2312"/>
          <w:b/>
          <w:bCs/>
          <w:color w:val="auto"/>
          <w:kern w:val="0"/>
          <w:sz w:val="32"/>
          <w:szCs w:val="32"/>
          <w:lang w:eastAsia="zh-CN" w:bidi="ar"/>
        </w:rPr>
        <w:t>第一年目标：</w:t>
      </w:r>
      <w:r>
        <w:rPr>
          <w:rFonts w:hint="eastAsia" w:ascii="仿宋_GB2312" w:hAnsi="仿宋_GB2312" w:eastAsia="仿宋_GB2312" w:cs="仿宋_GB2312"/>
          <w:color w:val="auto"/>
          <w:kern w:val="0"/>
          <w:sz w:val="32"/>
          <w:szCs w:val="32"/>
          <w:lang w:eastAsia="zh-CN" w:bidi="ar"/>
        </w:rPr>
        <w:t>创新促生抗病微生物高效分离培养技术1-2项；发掘促生抗病微生物菌种2000株以上，收集模式菌株800株以上；创制高效促生抗病新菌种3种；揭示促生抗病微生物与作物和环境互作机制。</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eastAsia="zh-CN" w:bidi="ar"/>
        </w:rPr>
      </w:pPr>
      <w:r>
        <w:rPr>
          <w:rFonts w:hint="eastAsia" w:ascii="仿宋_GB2312" w:hAnsi="仿宋_GB2312" w:eastAsia="仿宋_GB2312" w:cs="仿宋_GB2312"/>
          <w:b/>
          <w:bCs/>
          <w:color w:val="auto"/>
          <w:kern w:val="0"/>
          <w:sz w:val="32"/>
          <w:szCs w:val="32"/>
          <w:lang w:eastAsia="zh-CN" w:bidi="ar"/>
        </w:rPr>
        <w:t>第二年目标：</w:t>
      </w:r>
      <w:r>
        <w:rPr>
          <w:rFonts w:hint="eastAsia" w:ascii="仿宋_GB2312" w:hAnsi="仿宋_GB2312" w:eastAsia="仿宋_GB2312" w:cs="仿宋_GB2312"/>
          <w:color w:val="auto"/>
          <w:kern w:val="0"/>
          <w:sz w:val="32"/>
          <w:szCs w:val="32"/>
          <w:lang w:eastAsia="zh-CN" w:bidi="ar"/>
        </w:rPr>
        <w:t>发掘促生抗病菌种2500株以上，收集模式菌株1000株以上；创制高效促生抗病新菌种7种；构建“微生物-作物-环境”多维互作与靶点调控的全景调控技术；创制建立功能菌种组合与作物环境的适配和应用技术1项。</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eastAsia="zh-CN" w:bidi="ar"/>
        </w:rPr>
      </w:pPr>
      <w:r>
        <w:rPr>
          <w:rFonts w:hint="eastAsia" w:ascii="仿宋_GB2312" w:hAnsi="仿宋_GB2312" w:eastAsia="仿宋_GB2312" w:cs="仿宋_GB2312"/>
          <w:b/>
          <w:bCs/>
          <w:color w:val="auto"/>
          <w:kern w:val="0"/>
          <w:sz w:val="32"/>
          <w:szCs w:val="32"/>
          <w:lang w:eastAsia="zh-CN" w:bidi="ar"/>
        </w:rPr>
        <w:t>第三年目标：</w:t>
      </w:r>
      <w:r>
        <w:rPr>
          <w:rFonts w:hint="eastAsia" w:ascii="仿宋_GB2312" w:hAnsi="仿宋_GB2312" w:eastAsia="仿宋_GB2312" w:cs="仿宋_GB2312"/>
          <w:color w:val="auto"/>
          <w:kern w:val="0"/>
          <w:sz w:val="32"/>
          <w:szCs w:val="32"/>
          <w:lang w:eastAsia="zh-CN" w:bidi="ar"/>
        </w:rPr>
        <w:t>建成具有本土特色的促生抗病微生物菌种库和组学数据库，库存容量不低于500种5000株以上，建成重要农业微生物模式菌株库，库容量不低于200种2000株以上。共享微生物种质资源不少于3000株（次）；实现年产300吨的微生物菌剂规模化生产和推广应用，减少化肥农药施用量10%以上，提高蔬菜产量10%以上，病害防治效果达到80%以上。</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eastAsia="zh-CN" w:bidi="ar"/>
        </w:rPr>
      </w:pPr>
      <w:r>
        <w:rPr>
          <w:rFonts w:hint="eastAsia" w:ascii="仿宋_GB2312" w:hAnsi="仿宋_GB2312" w:eastAsia="仿宋_GB2312" w:cs="仿宋_GB2312"/>
          <w:b/>
          <w:bCs/>
          <w:color w:val="auto"/>
          <w:kern w:val="0"/>
          <w:sz w:val="32"/>
          <w:szCs w:val="32"/>
          <w:lang w:eastAsia="zh-CN" w:bidi="ar"/>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eastAsia="zh-CN" w:bidi="ar"/>
        </w:rPr>
      </w:pPr>
      <w:r>
        <w:rPr>
          <w:rFonts w:hint="eastAsia" w:ascii="仿宋_GB2312" w:hAnsi="仿宋_GB2312" w:eastAsia="仿宋_GB2312" w:cs="仿宋_GB2312"/>
          <w:color w:val="auto"/>
          <w:kern w:val="0"/>
          <w:sz w:val="32"/>
          <w:szCs w:val="32"/>
          <w:lang w:eastAsia="zh-CN" w:bidi="ar"/>
        </w:rPr>
        <w:t>①由省级及中央驻粤涉农科研机构、高等院校以及企业申报。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eastAsia="zh-CN" w:bidi="ar"/>
        </w:rPr>
      </w:pPr>
      <w:r>
        <w:rPr>
          <w:rFonts w:hint="eastAsia" w:ascii="仿宋_GB2312" w:hAnsi="仿宋_GB2312" w:eastAsia="仿宋_GB2312" w:cs="仿宋_GB2312"/>
          <w:color w:val="auto"/>
          <w:kern w:val="0"/>
          <w:sz w:val="32"/>
          <w:szCs w:val="32"/>
          <w:lang w:eastAsia="zh-CN" w:bidi="ar"/>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eastAsia="zh-CN" w:bidi="ar"/>
        </w:rPr>
        <w:t>③申报对象是企业的，应具备开展农</w:t>
      </w:r>
      <w:r>
        <w:rPr>
          <w:rFonts w:hint="eastAsia" w:ascii="仿宋_GB2312" w:hAnsi="仿宋_GB2312" w:eastAsia="仿宋_GB2312" w:cs="仿宋_GB2312"/>
          <w:color w:val="auto"/>
          <w:kern w:val="0"/>
          <w:sz w:val="32"/>
          <w:szCs w:val="32"/>
          <w:lang w:bidi="ar"/>
        </w:rPr>
        <w:t>业微生物菌种挖掘、功能检测、产品开发等基础设施条件。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bidi="ar"/>
        </w:rPr>
      </w:pPr>
      <w:r>
        <w:rPr>
          <w:rFonts w:hint="eastAsia" w:ascii="仿宋_GB2312" w:hAnsi="仿宋_GB2312" w:eastAsia="仿宋_GB2312" w:cs="仿宋_GB2312"/>
          <w:b/>
          <w:bCs/>
          <w:color w:val="auto"/>
          <w:kern w:val="0"/>
          <w:sz w:val="32"/>
          <w:szCs w:val="32"/>
          <w:lang w:bidi="ar"/>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原则上项目</w:t>
      </w:r>
      <w:r>
        <w:rPr>
          <w:rFonts w:hint="eastAsia" w:ascii="仿宋_GB2312" w:hAnsi="仿宋_GB2312" w:eastAsia="仿宋_GB2312" w:cs="仿宋_GB2312"/>
          <w:color w:val="auto"/>
          <w:kern w:val="0"/>
          <w:sz w:val="32"/>
          <w:szCs w:val="32"/>
        </w:rPr>
        <w:t>实施周期为3年。项目申报单位根据实际需求自行测算资金额度，2022年度资金额度原则上不超过</w:t>
      </w:r>
      <w:r>
        <w:rPr>
          <w:rFonts w:hint="eastAsia" w:ascii="仿宋_GB2312" w:hAnsi="仿宋_GB2312" w:eastAsia="仿宋_GB2312" w:cs="仿宋_GB2312"/>
          <w:color w:val="auto"/>
          <w:kern w:val="0"/>
          <w:sz w:val="32"/>
          <w:szCs w:val="32"/>
          <w:lang w:val="en-US" w:eastAsia="zh-CN"/>
        </w:rPr>
        <w:t>300</w:t>
      </w:r>
      <w:r>
        <w:rPr>
          <w:rFonts w:hint="eastAsia" w:ascii="仿宋_GB2312" w:hAnsi="仿宋_GB2312" w:eastAsia="仿宋_GB2312" w:cs="仿宋_GB2312"/>
          <w:color w:val="auto"/>
          <w:kern w:val="0"/>
          <w:sz w:val="32"/>
          <w:szCs w:val="32"/>
        </w:rPr>
        <w:t>万元，申报须按不低于1:1</w:t>
      </w:r>
      <w:r>
        <w:rPr>
          <w:rFonts w:hint="eastAsia" w:ascii="仿宋_GB2312" w:hAnsi="仿宋_GB2312" w:eastAsia="仿宋_GB2312" w:cs="仿宋_GB2312"/>
          <w:color w:val="auto"/>
          <w:kern w:val="0"/>
          <w:sz w:val="32"/>
          <w:szCs w:val="32"/>
          <w:lang w:eastAsia="zh-CN"/>
        </w:rPr>
        <w:t>资金</w:t>
      </w:r>
      <w:r>
        <w:rPr>
          <w:rFonts w:hint="eastAsia" w:ascii="仿宋_GB2312" w:hAnsi="仿宋_GB2312" w:eastAsia="仿宋_GB2312" w:cs="仿宋_GB2312"/>
          <w:color w:val="auto"/>
          <w:kern w:val="0"/>
          <w:sz w:val="32"/>
          <w:szCs w:val="32"/>
        </w:rPr>
        <w:t>配套，在申报书中提供资金测算过程及测算依据。最终资金补助金额以我单位测算核实为准。</w:t>
      </w:r>
      <w:r>
        <w:rPr>
          <w:rFonts w:hint="eastAsia" w:ascii="仿宋_GB2312" w:hAnsi="仿宋_GB2312" w:eastAsia="仿宋_GB2312" w:cs="仿宋_GB2312"/>
          <w:color w:val="auto"/>
          <w:kern w:val="0"/>
          <w:sz w:val="32"/>
          <w:szCs w:val="32"/>
          <w:lang w:eastAsia="zh-CN"/>
        </w:rPr>
        <w:t>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eastAsia="zh-CN" w:bidi="ar"/>
        </w:rPr>
      </w:pPr>
      <w:r>
        <w:rPr>
          <w:rFonts w:hint="eastAsia" w:ascii="仿宋_GB2312" w:hAnsi="仿宋_GB2312" w:eastAsia="仿宋_GB2312" w:cs="仿宋_GB2312"/>
          <w:b/>
          <w:bCs/>
          <w:color w:val="auto"/>
          <w:kern w:val="0"/>
          <w:sz w:val="32"/>
          <w:szCs w:val="32"/>
          <w:lang w:eastAsia="zh-CN" w:bidi="ar"/>
        </w:rPr>
        <w:t>（</w:t>
      </w:r>
      <w:r>
        <w:rPr>
          <w:rFonts w:hint="eastAsia" w:ascii="仿宋_GB2312" w:hAnsi="仿宋_GB2312" w:eastAsia="仿宋_GB2312" w:cs="仿宋_GB2312"/>
          <w:b/>
          <w:bCs/>
          <w:color w:val="auto"/>
          <w:kern w:val="0"/>
          <w:sz w:val="32"/>
          <w:szCs w:val="32"/>
          <w:lang w:val="en-US" w:eastAsia="zh-CN" w:bidi="ar"/>
        </w:rPr>
        <w:t>5</w:t>
      </w:r>
      <w:r>
        <w:rPr>
          <w:rFonts w:hint="eastAsia" w:ascii="仿宋_GB2312" w:hAnsi="仿宋_GB2312" w:eastAsia="仿宋_GB2312" w:cs="仿宋_GB2312"/>
          <w:b/>
          <w:bCs/>
          <w:color w:val="auto"/>
          <w:kern w:val="0"/>
          <w:sz w:val="32"/>
          <w:szCs w:val="32"/>
          <w:lang w:eastAsia="zh-CN" w:bidi="ar"/>
        </w:rPr>
        <w:t>）考核要求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bidi="ar"/>
        </w:rPr>
        <w:t>在项目执行期内，省农业农村厅根据项目榜单制定的年度计划和目标，适时组织专家对项目阶段性目标完</w:t>
      </w:r>
      <w:r>
        <w:rPr>
          <w:rFonts w:hint="eastAsia" w:ascii="仿宋_GB2312" w:hAnsi="仿宋_GB2312" w:eastAsia="仿宋_GB2312" w:cs="仿宋_GB2312"/>
          <w:color w:val="auto"/>
          <w:kern w:val="0"/>
          <w:sz w:val="32"/>
          <w:szCs w:val="32"/>
        </w:rPr>
        <w:t>成情况进行</w:t>
      </w:r>
      <w:r>
        <w:rPr>
          <w:rFonts w:hint="eastAsia" w:ascii="仿宋_GB2312" w:hAnsi="仿宋_GB2312" w:eastAsia="仿宋_GB2312" w:cs="仿宋_GB2312"/>
          <w:color w:val="auto"/>
          <w:kern w:val="0"/>
          <w:sz w:val="32"/>
          <w:szCs w:val="32"/>
          <w:lang w:eastAsia="zh-CN"/>
        </w:rPr>
        <w:t>考核，</w:t>
      </w:r>
      <w:r>
        <w:rPr>
          <w:rFonts w:hint="eastAsia" w:ascii="仿宋_GB2312" w:hAnsi="仿宋_GB2312" w:eastAsia="仿宋_GB2312" w:cs="仿宋_GB2312"/>
          <w:b w:val="0"/>
          <w:i w:val="0"/>
          <w:caps w:val="0"/>
          <w:color w:val="auto"/>
          <w:spacing w:val="0"/>
          <w:kern w:val="0"/>
          <w:sz w:val="32"/>
          <w:szCs w:val="32"/>
          <w:shd w:val="clear" w:color="auto" w:fill="auto"/>
          <w:lang w:val="en-US" w:eastAsia="zh-CN" w:bidi="ar"/>
        </w:rPr>
        <w:t>依据考核结果，对</w:t>
      </w:r>
      <w:r>
        <w:rPr>
          <w:rFonts w:hint="eastAsia" w:ascii="仿宋_GB2312" w:hAnsi="仿宋_GB2312" w:eastAsia="仿宋_GB2312" w:cs="仿宋_GB2312"/>
          <w:color w:val="auto"/>
          <w:kern w:val="0"/>
          <w:sz w:val="32"/>
          <w:szCs w:val="32"/>
          <w:lang w:val="en-US" w:eastAsia="zh-CN" w:bidi="ar"/>
        </w:rPr>
        <w:t>下一年度项目资金安排实施动态调整。</w:t>
      </w:r>
    </w:p>
    <w:p>
      <w:pPr>
        <w:adjustRightInd w:val="0"/>
        <w:snapToGrid w:val="0"/>
        <w:spacing w:beforeLines="0" w:afterLines="0" w:line="590" w:lineRule="exact"/>
        <w:ind w:firstLine="640" w:firstLineChars="200"/>
        <w:rPr>
          <w:rFonts w:hint="eastAsia" w:ascii="仿宋_GB2312" w:hAnsi="仿宋_GB2312" w:eastAsia="仿宋_GB2312" w:cs="仿宋_GB2312"/>
          <w:b w:val="0"/>
          <w:i w:val="0"/>
          <w:caps w:val="0"/>
          <w:color w:val="auto"/>
          <w:spacing w:val="0"/>
          <w:kern w:val="0"/>
          <w:sz w:val="32"/>
          <w:szCs w:val="32"/>
          <w:shd w:val="clear" w:color="auto" w:fill="auto"/>
          <w:lang w:val="en-US" w:eastAsia="zh-CN" w:bidi="ar"/>
        </w:rPr>
      </w:pPr>
      <w:r>
        <w:rPr>
          <w:rFonts w:hint="eastAsia" w:ascii="仿宋_GB2312" w:hAnsi="仿宋_GB2312" w:eastAsia="仿宋_GB2312" w:cs="仿宋_GB2312"/>
          <w:color w:val="auto"/>
          <w:kern w:val="0"/>
          <w:sz w:val="32"/>
          <w:szCs w:val="32"/>
          <w:lang w:val="en-US" w:eastAsia="zh-CN" w:bidi="ar"/>
        </w:rPr>
        <w:t>待项目持续支持3年后，由省农业农村厅组织开展项目总体绩效考核，达到项目总体目标的，在后续种业振兴相关</w:t>
      </w:r>
      <w:r>
        <w:rPr>
          <w:rFonts w:hint="eastAsia" w:ascii="仿宋_GB2312" w:hAnsi="仿宋_GB2312" w:eastAsia="仿宋_GB2312" w:cs="仿宋_GB2312"/>
          <w:b w:val="0"/>
          <w:i w:val="0"/>
          <w:caps w:val="0"/>
          <w:color w:val="auto"/>
          <w:spacing w:val="0"/>
          <w:kern w:val="0"/>
          <w:sz w:val="32"/>
          <w:szCs w:val="32"/>
          <w:shd w:val="clear" w:color="auto" w:fill="auto"/>
          <w:lang w:val="en-US" w:eastAsia="zh-CN" w:bidi="ar"/>
        </w:rPr>
        <w:t>项目安排上予以倾斜；因主观不努力等因素，导致未达到项目总体目标的或者无法按照计划顺利实施的，将对项目承担单位予以通报，并在后续种业振兴相关项目安排上予以限制。</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b w:val="0"/>
          <w:i w:val="0"/>
          <w:caps w:val="0"/>
          <w:color w:val="auto"/>
          <w:spacing w:val="0"/>
          <w:kern w:val="0"/>
          <w:sz w:val="32"/>
          <w:szCs w:val="32"/>
          <w:shd w:val="clear" w:color="auto" w:fill="auto"/>
          <w:lang w:val="en-US" w:eastAsia="zh-CN" w:bidi="ar"/>
        </w:rPr>
      </w:pPr>
      <w:r>
        <w:rPr>
          <w:rFonts w:hint="eastAsia" w:ascii="仿宋_GB2312" w:hAnsi="仿宋_GB2312" w:eastAsia="仿宋_GB2312" w:cs="仿宋_GB2312"/>
          <w:b w:val="0"/>
          <w:i w:val="0"/>
          <w:caps w:val="0"/>
          <w:color w:val="auto"/>
          <w:spacing w:val="0"/>
          <w:kern w:val="0"/>
          <w:sz w:val="32"/>
          <w:szCs w:val="32"/>
          <w:shd w:val="clear" w:color="auto" w:fill="auto"/>
          <w:lang w:val="en-US" w:eastAsia="zh-CN" w:bidi="ar"/>
        </w:rPr>
        <w:t>项目成果需由省农业农村厅进行登记、备案和发布。</w:t>
      </w:r>
    </w:p>
    <w:p>
      <w:pPr>
        <w:adjustRightInd w:val="0"/>
        <w:snapToGrid w:val="0"/>
        <w:spacing w:beforeLines="0" w:afterLines="0" w:line="590" w:lineRule="exact"/>
        <w:ind w:firstLine="640" w:firstLineChars="200"/>
        <w:rPr>
          <w:rFonts w:hint="eastAsia" w:ascii="黑体" w:hAnsi="黑体" w:eastAsia="黑体" w:cs="黑体"/>
          <w:color w:val="auto"/>
          <w:kern w:val="0"/>
          <w:sz w:val="32"/>
          <w:szCs w:val="32"/>
          <w:lang w:bidi="ar"/>
        </w:rPr>
      </w:pPr>
      <w:r>
        <w:rPr>
          <w:rFonts w:hint="eastAsia" w:ascii="黑体" w:hAnsi="黑体" w:eastAsia="黑体" w:cs="黑体"/>
          <w:color w:val="auto"/>
          <w:kern w:val="0"/>
          <w:sz w:val="32"/>
          <w:szCs w:val="32"/>
          <w:lang w:bidi="ar"/>
        </w:rPr>
        <w:t>二、“赛马制”项目榜单</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bidi="ar"/>
        </w:rPr>
      </w:pPr>
      <w:r>
        <w:rPr>
          <w:rFonts w:hint="eastAsia" w:ascii="仿宋_GB2312" w:hAnsi="仿宋_GB2312" w:eastAsia="仿宋_GB2312" w:cs="仿宋_GB2312"/>
          <w:b/>
          <w:bCs/>
          <w:color w:val="auto"/>
          <w:kern w:val="0"/>
          <w:sz w:val="32"/>
          <w:szCs w:val="32"/>
          <w:lang w:bidi="ar"/>
        </w:rPr>
        <w:t>1.项目名称：屠宰加工型黄羽肉鸡新品种培育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bidi="ar"/>
        </w:rPr>
      </w:pPr>
      <w:r>
        <w:rPr>
          <w:rFonts w:hint="eastAsia" w:ascii="仿宋_GB2312" w:hAnsi="仿宋_GB2312" w:eastAsia="仿宋_GB2312" w:cs="仿宋_GB2312"/>
          <w:b/>
          <w:bCs/>
          <w:color w:val="auto"/>
          <w:kern w:val="0"/>
          <w:sz w:val="32"/>
          <w:szCs w:val="32"/>
          <w:lang w:bidi="ar"/>
        </w:rPr>
        <w:t>（1）项目需求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bidi="ar"/>
        </w:rPr>
        <w:t>加强黄羽肉鸡胴体性状、饲料转化率、繁殖性能和肉品质等性状选择，培育特征明显、性能</w:t>
      </w:r>
      <w:r>
        <w:rPr>
          <w:rFonts w:hint="eastAsia" w:ascii="仿宋_GB2312" w:hAnsi="仿宋_GB2312" w:eastAsia="仿宋_GB2312" w:cs="仿宋_GB2312"/>
          <w:color w:val="auto"/>
          <w:kern w:val="0"/>
          <w:sz w:val="32"/>
          <w:szCs w:val="32"/>
        </w:rPr>
        <w:t>优异、市场份额大的核心品种和体重一致适合屠宰加工的新品种（配套系）。重点开展智能化的表型组性能测定和基因组等多维信息的遗传评估，持续选育性能突出、种群健康的专门化品系，构建黄羽肉鸡育种核心群，</w:t>
      </w:r>
      <w:r>
        <w:rPr>
          <w:rFonts w:hint="eastAsia" w:ascii="仿宋_GB2312" w:hAnsi="仿宋_GB2312" w:eastAsia="仿宋_GB2312" w:cs="仿宋_GB2312"/>
          <w:color w:val="auto"/>
          <w:kern w:val="0"/>
          <w:sz w:val="32"/>
          <w:szCs w:val="32"/>
          <w:lang w:eastAsia="zh-CN"/>
        </w:rPr>
        <w:t>提升</w:t>
      </w:r>
      <w:r>
        <w:rPr>
          <w:rFonts w:hint="eastAsia" w:ascii="仿宋_GB2312" w:hAnsi="仿宋_GB2312" w:eastAsia="仿宋_GB2312" w:cs="仿宋_GB2312"/>
          <w:color w:val="auto"/>
          <w:kern w:val="0"/>
          <w:sz w:val="32"/>
          <w:szCs w:val="32"/>
        </w:rPr>
        <w:t>广东黄羽肉鸡</w:t>
      </w:r>
      <w:r>
        <w:rPr>
          <w:rFonts w:hint="eastAsia" w:ascii="仿宋_GB2312" w:hAnsi="仿宋_GB2312" w:eastAsia="仿宋_GB2312" w:cs="仿宋_GB2312"/>
          <w:color w:val="auto"/>
          <w:kern w:val="0"/>
          <w:sz w:val="32"/>
          <w:szCs w:val="32"/>
          <w:lang w:eastAsia="zh-CN"/>
        </w:rPr>
        <w:t>在</w:t>
      </w:r>
      <w:r>
        <w:rPr>
          <w:rFonts w:hint="eastAsia" w:ascii="仿宋_GB2312" w:hAnsi="仿宋_GB2312" w:eastAsia="仿宋_GB2312" w:cs="仿宋_GB2312"/>
          <w:color w:val="auto"/>
          <w:kern w:val="0"/>
          <w:sz w:val="32"/>
          <w:szCs w:val="32"/>
        </w:rPr>
        <w:t>全国</w:t>
      </w:r>
      <w:r>
        <w:rPr>
          <w:rFonts w:hint="eastAsia" w:ascii="仿宋_GB2312" w:hAnsi="仿宋_GB2312" w:eastAsia="仿宋_GB2312" w:cs="仿宋_GB2312"/>
          <w:color w:val="auto"/>
          <w:kern w:val="0"/>
          <w:sz w:val="32"/>
          <w:szCs w:val="32"/>
          <w:lang w:eastAsia="zh-CN"/>
        </w:rPr>
        <w:t>的</w:t>
      </w:r>
      <w:r>
        <w:rPr>
          <w:rFonts w:hint="eastAsia" w:ascii="仿宋_GB2312" w:hAnsi="仿宋_GB2312" w:eastAsia="仿宋_GB2312" w:cs="仿宋_GB2312"/>
          <w:color w:val="auto"/>
          <w:kern w:val="0"/>
          <w:sz w:val="32"/>
          <w:szCs w:val="32"/>
        </w:rPr>
        <w:t>种源优势和影响力。</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（2）预期目标</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
          <w:bCs/>
          <w:color w:val="auto"/>
          <w:kern w:val="0"/>
          <w:sz w:val="32"/>
          <w:szCs w:val="32"/>
        </w:rPr>
        <w:t>第一年目标：</w:t>
      </w:r>
      <w:r>
        <w:rPr>
          <w:rFonts w:hint="eastAsia" w:ascii="仿宋_GB2312" w:hAnsi="仿宋_GB2312" w:eastAsia="仿宋_GB2312" w:cs="仿宋_GB2312"/>
          <w:color w:val="auto"/>
          <w:kern w:val="0"/>
          <w:sz w:val="32"/>
          <w:szCs w:val="32"/>
        </w:rPr>
        <w:t>开发与黄羽肉鸡个体标识、胴体性状、饲料利用效率、活体状态下屠体类或行为类性状表型选育相关的测定技术与体系3个以上；选育黄羽肉鸡专门化品系3个以上，父系核心群规模1000只以上，母系核心群规模3000只以上，主选性状年均遗传进展1%以上</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b w:val="0"/>
          <w:bCs w:val="0"/>
          <w:color w:val="auto"/>
          <w:kern w:val="0"/>
          <w:sz w:val="32"/>
          <w:szCs w:val="32"/>
          <w:lang w:eastAsia="zh-CN"/>
        </w:rPr>
        <w:t>商品鸡出栏体重变异系数小于</w:t>
      </w:r>
      <w:r>
        <w:rPr>
          <w:rFonts w:hint="eastAsia" w:ascii="仿宋_GB2312" w:hAnsi="仿宋_GB2312" w:eastAsia="仿宋_GB2312" w:cs="仿宋_GB2312"/>
          <w:b w:val="0"/>
          <w:bCs w:val="0"/>
          <w:color w:val="auto"/>
          <w:kern w:val="0"/>
          <w:sz w:val="32"/>
          <w:szCs w:val="32"/>
          <w:lang w:val="en-US" w:eastAsia="zh-CN"/>
        </w:rPr>
        <w:t>13%，饲料转化率3.5以下</w:t>
      </w:r>
      <w:r>
        <w:rPr>
          <w:rFonts w:hint="eastAsia" w:ascii="仿宋_GB2312" w:hAnsi="仿宋_GB2312" w:eastAsia="仿宋_GB2312" w:cs="仿宋_GB2312"/>
          <w:color w:val="auto"/>
          <w:kern w:val="0"/>
          <w:sz w:val="32"/>
          <w:szCs w:val="32"/>
        </w:rPr>
        <w:t>；搭建黄羽肉鸡多维信息育种系统1套，实现商业化育种全过程的程序化、标准化、数字化管理。</w:t>
      </w:r>
    </w:p>
    <w:p>
      <w:pPr>
        <w:adjustRightInd w:val="0"/>
        <w:snapToGrid w:val="0"/>
        <w:spacing w:beforeLines="0" w:afterLines="0" w:line="590" w:lineRule="exact"/>
        <w:ind w:firstLine="643" w:firstLineChars="200"/>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bCs/>
          <w:color w:val="auto"/>
          <w:kern w:val="0"/>
          <w:sz w:val="32"/>
          <w:szCs w:val="32"/>
        </w:rPr>
        <w:t>第二年目标：</w:t>
      </w:r>
      <w:r>
        <w:rPr>
          <w:rFonts w:hint="eastAsia" w:ascii="仿宋_GB2312" w:hAnsi="仿宋_GB2312" w:eastAsia="仿宋_GB2312" w:cs="仿宋_GB2312"/>
          <w:color w:val="auto"/>
          <w:kern w:val="0"/>
          <w:sz w:val="32"/>
          <w:szCs w:val="32"/>
          <w:lang w:bidi="ar"/>
        </w:rPr>
        <w:t>创建黄羽肉鸡免疫与抗病力评估、遗传选择新体系1个，全面分析黄羽肉鸡抗病与免疫系统重要指标相关性及分子机制；培育出适合屠宰上市（一致性好）、抗病力强的黄羽肉鸡新配套系1-2个，提供父母代种鸡50万套以上</w:t>
      </w:r>
      <w:r>
        <w:rPr>
          <w:rFonts w:hint="eastAsia" w:ascii="仿宋_GB2312" w:hAnsi="仿宋_GB2312" w:eastAsia="仿宋_GB2312" w:cs="仿宋_GB2312"/>
          <w:color w:val="auto"/>
          <w:kern w:val="0"/>
          <w:sz w:val="32"/>
          <w:szCs w:val="32"/>
          <w:lang w:eastAsia="zh-CN" w:bidi="ar"/>
        </w:rPr>
        <w:t>；</w:t>
      </w:r>
      <w:r>
        <w:rPr>
          <w:rFonts w:hint="eastAsia" w:ascii="仿宋_GB2312" w:hAnsi="仿宋_GB2312" w:eastAsia="仿宋_GB2312" w:cs="仿宋_GB2312"/>
          <w:b w:val="0"/>
          <w:bCs w:val="0"/>
          <w:color w:val="auto"/>
          <w:kern w:val="0"/>
          <w:sz w:val="32"/>
          <w:szCs w:val="32"/>
          <w:lang w:eastAsia="zh-CN" w:bidi="ar"/>
        </w:rPr>
        <w:t>商品鸡出栏体重变异系数小于</w:t>
      </w:r>
      <w:r>
        <w:rPr>
          <w:rFonts w:hint="eastAsia" w:ascii="仿宋_GB2312" w:hAnsi="仿宋_GB2312" w:eastAsia="仿宋_GB2312" w:cs="仿宋_GB2312"/>
          <w:b w:val="0"/>
          <w:bCs w:val="0"/>
          <w:color w:val="auto"/>
          <w:kern w:val="0"/>
          <w:sz w:val="32"/>
          <w:szCs w:val="32"/>
          <w:lang w:val="en-US" w:eastAsia="zh-CN" w:bidi="ar"/>
        </w:rPr>
        <w:t>11%，饲料转化率3.3以下。</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b/>
          <w:bCs/>
          <w:color w:val="auto"/>
          <w:kern w:val="0"/>
          <w:sz w:val="32"/>
          <w:szCs w:val="32"/>
        </w:rPr>
        <w:t>第三年目标：</w:t>
      </w:r>
      <w:r>
        <w:rPr>
          <w:rFonts w:hint="eastAsia" w:ascii="仿宋_GB2312" w:hAnsi="仿宋_GB2312" w:eastAsia="仿宋_GB2312" w:cs="仿宋_GB2312"/>
          <w:color w:val="auto"/>
          <w:kern w:val="0"/>
          <w:sz w:val="32"/>
          <w:szCs w:val="32"/>
          <w:lang w:bidi="ar"/>
        </w:rPr>
        <w:t>新配套系父母代市场年推广量达100万套以上，社会上市肉鸡达1亿只以上；商品鸡出栏体重变异系数小于10%，饲料转化率3.2以下。</w:t>
      </w:r>
    </w:p>
    <w:p>
      <w:pPr>
        <w:numPr>
          <w:ilvl w:val="0"/>
          <w:numId w:val="1"/>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①由省级及中央驻粤涉农科研机构、高等院校以及企业申报。</w:t>
      </w:r>
      <w:r>
        <w:rPr>
          <w:rFonts w:hint="eastAsia" w:ascii="仿宋_GB2312" w:hAnsi="仿宋_GB2312" w:eastAsia="仿宋_GB2312" w:cs="仿宋_GB2312"/>
          <w:color w:val="auto"/>
          <w:kern w:val="0"/>
          <w:sz w:val="32"/>
          <w:szCs w:val="32"/>
          <w:highlight w:val="none"/>
          <w:lang w:eastAsia="zh-CN"/>
        </w:rPr>
        <w:t>鼓励</w:t>
      </w:r>
      <w:r>
        <w:rPr>
          <w:rFonts w:hint="eastAsia" w:ascii="仿宋_GB2312" w:hAnsi="仿宋_GB2312" w:eastAsia="仿宋_GB2312" w:cs="仿宋_GB2312"/>
          <w:color w:val="auto"/>
          <w:kern w:val="0"/>
          <w:sz w:val="32"/>
          <w:szCs w:val="32"/>
          <w:highlight w:val="none"/>
        </w:rPr>
        <w:t>科企联合</w:t>
      </w:r>
      <w:r>
        <w:rPr>
          <w:rFonts w:hint="eastAsia" w:ascii="仿宋_GB2312" w:hAnsi="仿宋_GB2312" w:eastAsia="仿宋_GB2312" w:cs="仿宋_GB2312"/>
          <w:color w:val="auto"/>
          <w:kern w:val="0"/>
          <w:sz w:val="32"/>
          <w:szCs w:val="32"/>
          <w:highlight w:val="none"/>
          <w:lang w:eastAsia="zh-CN"/>
        </w:rPr>
        <w:t>实施“赛马制”</w:t>
      </w:r>
      <w:r>
        <w:rPr>
          <w:rFonts w:hint="eastAsia" w:ascii="仿宋_GB2312" w:hAnsi="仿宋_GB2312" w:eastAsia="仿宋_GB2312" w:cs="仿宋_GB2312"/>
          <w:color w:val="auto"/>
          <w:kern w:val="0"/>
          <w:sz w:val="32"/>
          <w:szCs w:val="32"/>
          <w:highlight w:val="none"/>
        </w:rPr>
        <w:t>项目。</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②申报对象具有较完善的项目和财务管理制度，信用记录良好。</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③申报对象是企业的，应具有种畜禽生产经营许可证，具备开展品种培育、性能测定、良种扩繁等基础设施条件。</w:t>
      </w:r>
    </w:p>
    <w:p>
      <w:pPr>
        <w:numPr>
          <w:ilvl w:val="0"/>
          <w:numId w:val="1"/>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eastAsia="zh-CN"/>
        </w:rPr>
        <w:t>原则上</w:t>
      </w:r>
      <w:r>
        <w:rPr>
          <w:rFonts w:hint="eastAsia" w:ascii="仿宋_GB2312" w:hAnsi="仿宋_GB2312" w:eastAsia="仿宋_GB2312" w:cs="仿宋_GB2312"/>
          <w:color w:val="auto"/>
          <w:kern w:val="0"/>
          <w:sz w:val="32"/>
          <w:szCs w:val="32"/>
          <w:lang w:bidi="ar"/>
        </w:rPr>
        <w:t>项目实施周期为3年。项目</w:t>
      </w:r>
      <w:r>
        <w:rPr>
          <w:rFonts w:hint="eastAsia" w:ascii="仿宋_GB2312" w:hAnsi="仿宋_GB2312" w:eastAsia="仿宋_GB2312" w:cs="仿宋_GB2312"/>
          <w:color w:val="auto"/>
          <w:kern w:val="0"/>
          <w:sz w:val="32"/>
          <w:szCs w:val="32"/>
          <w:lang w:eastAsia="zh-CN" w:bidi="ar"/>
        </w:rPr>
        <w:t>申报</w:t>
      </w:r>
      <w:r>
        <w:rPr>
          <w:rFonts w:hint="eastAsia" w:ascii="仿宋_GB2312" w:hAnsi="仿宋_GB2312" w:eastAsia="仿宋_GB2312" w:cs="仿宋_GB2312"/>
          <w:color w:val="auto"/>
          <w:kern w:val="0"/>
          <w:sz w:val="32"/>
          <w:szCs w:val="32"/>
          <w:lang w:bidi="ar"/>
        </w:rPr>
        <w:t>单位根据实际需求自行测算项目需求金额，2022年资金额度原则上不超过200万元，在申报书中提供资金测算过程及测算依据。最终资金补助金额以我单位测算核实为准。</w:t>
      </w:r>
      <w:r>
        <w:rPr>
          <w:rFonts w:hint="eastAsia" w:ascii="仿宋_GB2312" w:hAnsi="仿宋_GB2312" w:eastAsia="仿宋_GB2312" w:cs="仿宋_GB2312"/>
          <w:color w:val="auto"/>
          <w:kern w:val="0"/>
          <w:sz w:val="32"/>
          <w:szCs w:val="32"/>
          <w:lang w:eastAsia="zh-CN"/>
        </w:rPr>
        <w:t>项目预算金额测算是否详细、合理将纳入评审标准。</w:t>
      </w:r>
    </w:p>
    <w:p>
      <w:pPr>
        <w:numPr>
          <w:ilvl w:val="0"/>
          <w:numId w:val="2"/>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考核要求</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省农业农村厅根据项目榜单制定的年度计划和目标，</w:t>
      </w:r>
      <w:r>
        <w:rPr>
          <w:rFonts w:hint="eastAsia" w:ascii="仿宋_GB2312" w:hAnsi="仿宋_GB2312" w:eastAsia="仿宋_GB2312" w:cs="仿宋_GB2312"/>
          <w:color w:val="auto"/>
          <w:kern w:val="0"/>
          <w:sz w:val="32"/>
          <w:szCs w:val="32"/>
          <w:lang w:eastAsia="zh-CN" w:bidi="ar"/>
        </w:rPr>
        <w:t>适时</w:t>
      </w:r>
      <w:r>
        <w:rPr>
          <w:rFonts w:hint="eastAsia" w:ascii="仿宋_GB2312" w:hAnsi="仿宋_GB2312" w:eastAsia="仿宋_GB2312" w:cs="仿宋_GB2312"/>
          <w:color w:val="auto"/>
          <w:kern w:val="0"/>
          <w:sz w:val="32"/>
          <w:szCs w:val="32"/>
          <w:lang w:bidi="ar"/>
        </w:rPr>
        <w:t>组织专家对</w:t>
      </w:r>
      <w:r>
        <w:rPr>
          <w:rFonts w:hint="eastAsia" w:ascii="仿宋_GB2312" w:hAnsi="仿宋_GB2312" w:eastAsia="仿宋_GB2312" w:cs="仿宋_GB2312"/>
          <w:color w:val="auto"/>
          <w:kern w:val="0"/>
          <w:sz w:val="32"/>
          <w:szCs w:val="32"/>
          <w:lang w:eastAsia="zh-CN" w:bidi="ar"/>
        </w:rPr>
        <w:t>项目年度</w:t>
      </w:r>
      <w:r>
        <w:rPr>
          <w:rFonts w:hint="eastAsia" w:ascii="仿宋_GB2312" w:hAnsi="仿宋_GB2312" w:eastAsia="仿宋_GB2312" w:cs="仿宋_GB2312"/>
          <w:color w:val="auto"/>
          <w:kern w:val="0"/>
          <w:sz w:val="32"/>
          <w:szCs w:val="32"/>
          <w:lang w:bidi="ar"/>
        </w:rPr>
        <w:t>目标完成情况进行</w:t>
      </w:r>
      <w:r>
        <w:rPr>
          <w:rFonts w:hint="eastAsia" w:ascii="仿宋_GB2312" w:hAnsi="仿宋_GB2312" w:eastAsia="仿宋_GB2312" w:cs="仿宋_GB2312"/>
          <w:color w:val="auto"/>
          <w:kern w:val="0"/>
          <w:sz w:val="32"/>
          <w:szCs w:val="32"/>
          <w:lang w:eastAsia="zh-CN" w:bidi="ar"/>
        </w:rPr>
        <w:t>考核，</w:t>
      </w:r>
      <w:r>
        <w:rPr>
          <w:rFonts w:hint="eastAsia" w:ascii="仿宋_GB2312" w:hAnsi="仿宋_GB2312" w:eastAsia="仿宋_GB2312" w:cs="仿宋_GB2312"/>
          <w:color w:val="auto"/>
          <w:kern w:val="0"/>
          <w:sz w:val="32"/>
          <w:szCs w:val="32"/>
          <w:lang w:bidi="ar"/>
        </w:rPr>
        <w:t>一年后按“四进二”考核淘汰，两年后按“二进一”考核淘汰。后续年度资金</w:t>
      </w:r>
      <w:r>
        <w:rPr>
          <w:rFonts w:hint="eastAsia" w:ascii="仿宋_GB2312" w:hAnsi="仿宋_GB2312" w:eastAsia="仿宋_GB2312" w:cs="仿宋_GB2312"/>
          <w:color w:val="auto"/>
          <w:kern w:val="0"/>
          <w:sz w:val="32"/>
          <w:szCs w:val="32"/>
          <w:lang w:eastAsia="zh-CN" w:bidi="ar"/>
        </w:rPr>
        <w:t>将根据上一年</w:t>
      </w:r>
      <w:r>
        <w:rPr>
          <w:rFonts w:hint="eastAsia" w:ascii="仿宋_GB2312" w:hAnsi="仿宋_GB2312" w:eastAsia="仿宋_GB2312" w:cs="仿宋_GB2312"/>
          <w:color w:val="auto"/>
          <w:kern w:val="0"/>
          <w:sz w:val="32"/>
          <w:szCs w:val="32"/>
          <w:lang w:bidi="ar"/>
        </w:rPr>
        <w:t>度资金</w:t>
      </w:r>
      <w:r>
        <w:rPr>
          <w:rFonts w:hint="eastAsia" w:ascii="仿宋_GB2312" w:hAnsi="仿宋_GB2312" w:eastAsia="仿宋_GB2312" w:cs="仿宋_GB2312"/>
          <w:color w:val="auto"/>
          <w:kern w:val="0"/>
          <w:sz w:val="32"/>
          <w:szCs w:val="32"/>
          <w:lang w:eastAsia="zh-CN" w:bidi="ar"/>
        </w:rPr>
        <w:t>使用情况叠加</w:t>
      </w:r>
      <w:r>
        <w:rPr>
          <w:rFonts w:hint="eastAsia" w:ascii="仿宋_GB2312" w:hAnsi="仿宋_GB2312" w:eastAsia="仿宋_GB2312" w:cs="仿宋_GB2312"/>
          <w:color w:val="auto"/>
          <w:kern w:val="0"/>
          <w:sz w:val="32"/>
          <w:szCs w:val="32"/>
          <w:lang w:bidi="ar"/>
        </w:rPr>
        <w:t>安排。</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待项目持续支持3年后，由省农业农村厅组织开展项目总体绩效考核，达到</w:t>
      </w:r>
      <w:r>
        <w:rPr>
          <w:rFonts w:hint="eastAsia" w:ascii="仿宋_GB2312" w:hAnsi="仿宋_GB2312" w:eastAsia="仿宋_GB2312" w:cs="仿宋_GB2312"/>
          <w:color w:val="auto"/>
          <w:kern w:val="0"/>
          <w:sz w:val="32"/>
          <w:szCs w:val="32"/>
          <w:lang w:eastAsia="zh-CN" w:bidi="ar"/>
        </w:rPr>
        <w:t>项目</w:t>
      </w:r>
      <w:r>
        <w:rPr>
          <w:rFonts w:hint="eastAsia" w:ascii="仿宋_GB2312" w:hAnsi="仿宋_GB2312" w:eastAsia="仿宋_GB2312" w:cs="仿宋_GB2312"/>
          <w:color w:val="auto"/>
          <w:kern w:val="0"/>
          <w:sz w:val="32"/>
          <w:szCs w:val="32"/>
          <w:lang w:bidi="ar"/>
        </w:rPr>
        <w:t>总体目标的，在后续种业振兴相关项目安排上予以倾斜；</w:t>
      </w:r>
      <w:r>
        <w:rPr>
          <w:rFonts w:hint="eastAsia" w:ascii="仿宋_GB2312" w:hAnsi="仿宋_GB2312" w:eastAsia="仿宋_GB2312" w:cs="仿宋_GB2312"/>
          <w:color w:val="auto"/>
          <w:kern w:val="0"/>
          <w:sz w:val="32"/>
          <w:szCs w:val="32"/>
          <w:lang w:eastAsia="zh-CN" w:bidi="ar"/>
        </w:rPr>
        <w:t>因主观不努力等因素，导致</w:t>
      </w:r>
      <w:r>
        <w:rPr>
          <w:rFonts w:hint="eastAsia" w:ascii="仿宋_GB2312" w:hAnsi="仿宋_GB2312" w:eastAsia="仿宋_GB2312" w:cs="仿宋_GB2312"/>
          <w:color w:val="auto"/>
          <w:kern w:val="0"/>
          <w:sz w:val="32"/>
          <w:szCs w:val="32"/>
          <w:lang w:bidi="ar"/>
        </w:rPr>
        <w:t>未达到</w:t>
      </w:r>
      <w:r>
        <w:rPr>
          <w:rFonts w:hint="eastAsia" w:ascii="仿宋_GB2312" w:hAnsi="仿宋_GB2312" w:eastAsia="仿宋_GB2312" w:cs="仿宋_GB2312"/>
          <w:color w:val="auto"/>
          <w:kern w:val="0"/>
          <w:sz w:val="32"/>
          <w:szCs w:val="32"/>
          <w:lang w:eastAsia="zh-CN" w:bidi="ar"/>
        </w:rPr>
        <w:t>项目</w:t>
      </w:r>
      <w:r>
        <w:rPr>
          <w:rFonts w:hint="eastAsia" w:ascii="仿宋_GB2312" w:hAnsi="仿宋_GB2312" w:eastAsia="仿宋_GB2312" w:cs="仿宋_GB2312"/>
          <w:color w:val="auto"/>
          <w:kern w:val="0"/>
          <w:sz w:val="32"/>
          <w:szCs w:val="32"/>
          <w:lang w:bidi="ar"/>
        </w:rPr>
        <w:t>总体目标的或者无法按照计划顺利实施的，将对项目承担单位予以通报，并在后续种业振兴相关项目安排上予以限制。</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eastAsia="zh-CN" w:bidi="ar"/>
        </w:rPr>
        <w:t>项目成果需由省农业农村厅进行登记、备案和发布。</w:t>
      </w:r>
    </w:p>
    <w:p>
      <w:pPr>
        <w:numPr>
          <w:ilvl w:val="0"/>
          <w:numId w:val="3"/>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bidi="ar"/>
        </w:rPr>
      </w:pPr>
      <w:r>
        <w:rPr>
          <w:rFonts w:hint="eastAsia" w:ascii="仿宋_GB2312" w:hAnsi="仿宋_GB2312" w:eastAsia="仿宋_GB2312" w:cs="仿宋_GB2312"/>
          <w:b/>
          <w:bCs/>
          <w:color w:val="auto"/>
          <w:kern w:val="0"/>
          <w:sz w:val="32"/>
          <w:szCs w:val="32"/>
          <w:lang w:bidi="ar"/>
        </w:rPr>
        <w:t>项目名称：斑节对虾优质高抗新品种培育及示范推广</w:t>
      </w:r>
    </w:p>
    <w:p>
      <w:pPr>
        <w:numPr>
          <w:ilvl w:val="0"/>
          <w:numId w:val="4"/>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bidi="ar"/>
        </w:rPr>
      </w:pPr>
      <w:r>
        <w:rPr>
          <w:rFonts w:hint="eastAsia" w:ascii="仿宋_GB2312" w:hAnsi="仿宋_GB2312" w:eastAsia="仿宋_GB2312" w:cs="仿宋_GB2312"/>
          <w:b/>
          <w:bCs/>
          <w:color w:val="auto"/>
          <w:kern w:val="0"/>
          <w:sz w:val="32"/>
          <w:szCs w:val="32"/>
          <w:lang w:bidi="ar"/>
        </w:rPr>
        <w:t>项目需求</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为解决制约产业发展的良种良养等问题，培育</w:t>
      </w:r>
      <w:r>
        <w:rPr>
          <w:rFonts w:hint="eastAsia" w:ascii="仿宋_GB2312" w:hAnsi="仿宋_GB2312" w:eastAsia="仿宋_GB2312" w:cs="仿宋_GB2312"/>
          <w:color w:val="auto"/>
          <w:kern w:val="0"/>
          <w:sz w:val="32"/>
          <w:szCs w:val="32"/>
          <w:lang w:eastAsia="zh-CN" w:bidi="ar"/>
        </w:rPr>
        <w:t>具</w:t>
      </w:r>
      <w:r>
        <w:rPr>
          <w:rFonts w:hint="eastAsia" w:ascii="仿宋_GB2312" w:hAnsi="仿宋_GB2312" w:eastAsia="仿宋_GB2312" w:cs="仿宋_GB2312"/>
          <w:color w:val="auto"/>
          <w:kern w:val="0"/>
          <w:sz w:val="32"/>
          <w:szCs w:val="32"/>
          <w:lang w:bidi="ar"/>
        </w:rPr>
        <w:t>有我省自主知识产权的新品种，亟需开展斑节对虾的良种</w:t>
      </w:r>
      <w:r>
        <w:rPr>
          <w:rFonts w:hint="eastAsia" w:ascii="仿宋_GB2312" w:hAnsi="仿宋_GB2312" w:eastAsia="仿宋_GB2312" w:cs="仿宋_GB2312"/>
          <w:color w:val="auto"/>
          <w:kern w:val="0"/>
          <w:sz w:val="32"/>
          <w:szCs w:val="32"/>
          <w:lang w:eastAsia="zh-CN" w:bidi="ar"/>
        </w:rPr>
        <w:t>培育</w:t>
      </w:r>
      <w:r>
        <w:rPr>
          <w:rFonts w:hint="eastAsia" w:ascii="仿宋_GB2312" w:hAnsi="仿宋_GB2312" w:eastAsia="仿宋_GB2312" w:cs="仿宋_GB2312"/>
          <w:color w:val="auto"/>
          <w:kern w:val="0"/>
          <w:sz w:val="32"/>
          <w:szCs w:val="32"/>
          <w:lang w:bidi="ar"/>
        </w:rPr>
        <w:t>。针对斑节对虾基因组育种及优质亲本制种和繁育操作等关键技术瓶颈，综合分子标记辅助育种、全基因组选育，以及传统群体和家系选育和BLUP 育种方法，聚合高产、抗氨氮、耐低盐或耐粗饲料等重要性状相关基因，创制目标性状得到显著改良的新品种或新品系；研发斑节对虾优良品种高效制种和苗种生产技术，研发适应不同养殖环境的斑节对虾优良品种生态、健康养殖模式。</w:t>
      </w:r>
    </w:p>
    <w:p>
      <w:pPr>
        <w:numPr>
          <w:ilvl w:val="0"/>
          <w:numId w:val="4"/>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绩效目标</w:t>
      </w:r>
    </w:p>
    <w:p>
      <w:pPr>
        <w:numPr>
          <w:ilvl w:val="0"/>
          <w:numId w:val="0"/>
        </w:num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b/>
          <w:color w:val="auto"/>
          <w:kern w:val="0"/>
          <w:sz w:val="32"/>
          <w:szCs w:val="32"/>
        </w:rPr>
        <w:t>第一年目标</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bidi="ar"/>
        </w:rPr>
        <w:t>推进斑节对虾种质资源活体保种中心硬件建设，</w:t>
      </w:r>
      <w:r>
        <w:rPr>
          <w:rFonts w:hint="eastAsia" w:ascii="仿宋_GB2312" w:hAnsi="仿宋_GB2312" w:eastAsia="仿宋_GB2312" w:cs="仿宋_GB2312"/>
          <w:color w:val="auto"/>
          <w:kern w:val="0"/>
          <w:sz w:val="32"/>
          <w:szCs w:val="32"/>
          <w:lang w:eastAsia="zh-CN" w:bidi="ar"/>
        </w:rPr>
        <w:t>新</w:t>
      </w:r>
      <w:r>
        <w:rPr>
          <w:rFonts w:hint="eastAsia" w:ascii="仿宋_GB2312" w:hAnsi="仿宋_GB2312" w:eastAsia="仿宋_GB2312" w:cs="仿宋_GB2312"/>
          <w:color w:val="auto"/>
          <w:kern w:val="0"/>
          <w:sz w:val="32"/>
          <w:szCs w:val="32"/>
          <w:lang w:bidi="ar"/>
        </w:rPr>
        <w:t>收集保存核心育种群体4个以上，每个群体1000尾以上，开发表型性状高通量测量技术 1 套、分子育种芯片 1 套，培育生长快和抗逆性强的新品系 1 个，生长性状提高5%以上，抗逆性能提高3%以上。</w:t>
      </w:r>
    </w:p>
    <w:p>
      <w:pPr>
        <w:numPr>
          <w:ilvl w:val="0"/>
          <w:numId w:val="0"/>
        </w:num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b/>
          <w:color w:val="auto"/>
          <w:kern w:val="0"/>
          <w:sz w:val="32"/>
          <w:szCs w:val="32"/>
        </w:rPr>
        <w:t>第二年目标</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bidi="ar"/>
        </w:rPr>
        <w:t>创建斑节对虾基因组选择育种、分子标记辅助育种等分子育种关键技术。培育适宜广东沿海养殖环境要求的高产、抗逆的斑节对虾新品种（系）2-3个，生长性状提高10%以上，抗逆性能提高6%以上，申报国家级水产新品种1个。</w:t>
      </w:r>
    </w:p>
    <w:p>
      <w:pPr>
        <w:numPr>
          <w:ilvl w:val="0"/>
          <w:numId w:val="0"/>
        </w:num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
          <w:color w:val="auto"/>
          <w:kern w:val="0"/>
          <w:sz w:val="32"/>
          <w:szCs w:val="32"/>
        </w:rPr>
        <w:t>第三年目标</w:t>
      </w:r>
      <w:r>
        <w:rPr>
          <w:rFonts w:hint="eastAsia" w:ascii="仿宋_GB2312" w:hAnsi="仿宋_GB2312" w:eastAsia="仿宋_GB2312" w:cs="仿宋_GB2312"/>
          <w:color w:val="auto"/>
          <w:kern w:val="0"/>
          <w:sz w:val="32"/>
          <w:szCs w:val="32"/>
        </w:rPr>
        <w:t>：建立新品种优质亲</w:t>
      </w:r>
      <w:r>
        <w:rPr>
          <w:rFonts w:hint="eastAsia" w:ascii="仿宋_GB2312" w:hAnsi="仿宋_GB2312" w:eastAsia="仿宋_GB2312" w:cs="仿宋_GB2312"/>
          <w:color w:val="auto"/>
          <w:kern w:val="0"/>
          <w:sz w:val="32"/>
          <w:szCs w:val="32"/>
          <w:lang w:eastAsia="zh-CN"/>
        </w:rPr>
        <w:t>本</w:t>
      </w:r>
      <w:r>
        <w:rPr>
          <w:rFonts w:hint="eastAsia" w:ascii="仿宋_GB2312" w:hAnsi="仿宋_GB2312" w:eastAsia="仿宋_GB2312" w:cs="仿宋_GB2312"/>
          <w:color w:val="auto"/>
          <w:kern w:val="0"/>
          <w:sz w:val="32"/>
          <w:szCs w:val="32"/>
        </w:rPr>
        <w:t>、苗种规模化繁育及标准化生产工艺1套；建立新品种配套主推养殖模式2套；年培育斑节对虾新品种种虾1万对以上；新品种养殖示范推广</w:t>
      </w:r>
      <w:r>
        <w:rPr>
          <w:rFonts w:ascii="仿宋_GB2312" w:hAnsi="仿宋_GB2312" w:eastAsia="仿宋_GB2312" w:cs="仿宋_GB2312"/>
          <w:color w:val="auto"/>
          <w:kern w:val="0"/>
          <w:sz w:val="32"/>
          <w:szCs w:val="32"/>
        </w:rPr>
        <w:t>5</w:t>
      </w:r>
      <w:r>
        <w:rPr>
          <w:rFonts w:hint="eastAsia" w:ascii="仿宋_GB2312" w:hAnsi="仿宋_GB2312" w:eastAsia="仿宋_GB2312" w:cs="仿宋_GB2312"/>
          <w:color w:val="auto"/>
          <w:kern w:val="0"/>
          <w:sz w:val="32"/>
          <w:szCs w:val="32"/>
        </w:rPr>
        <w:t>000亩以上，单产增加20%以上。</w:t>
      </w:r>
    </w:p>
    <w:p>
      <w:pPr>
        <w:numPr>
          <w:ilvl w:val="0"/>
          <w:numId w:val="4"/>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申报对象及条件</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①由省级及中央驻粤涉农科研机构、高等院校以及企业申报。</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②申报对象具有较完善的项目和财务管理制度，信用记录良好。</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③申报对象是企业的，应具有水域滩涂养殖证和水产种苗生产许可证，具备开展品种培育、品种测试、良种扩繁等基础设施条件。</w:t>
      </w:r>
    </w:p>
    <w:p>
      <w:pPr>
        <w:numPr>
          <w:ilvl w:val="0"/>
          <w:numId w:val="4"/>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实施周期和资金额度</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原则上</w:t>
      </w:r>
      <w:r>
        <w:rPr>
          <w:rFonts w:hint="eastAsia" w:ascii="仿宋_GB2312" w:hAnsi="仿宋_GB2312" w:eastAsia="仿宋_GB2312" w:cs="仿宋_GB2312"/>
          <w:color w:val="auto"/>
          <w:kern w:val="0"/>
          <w:sz w:val="32"/>
          <w:szCs w:val="32"/>
        </w:rPr>
        <w:t>项目实施周期为3年。项目</w:t>
      </w:r>
      <w:r>
        <w:rPr>
          <w:rFonts w:hint="eastAsia" w:ascii="仿宋_GB2312" w:hAnsi="仿宋_GB2312" w:eastAsia="仿宋_GB2312" w:cs="仿宋_GB2312"/>
          <w:color w:val="auto"/>
          <w:kern w:val="0"/>
          <w:sz w:val="32"/>
          <w:szCs w:val="32"/>
          <w:lang w:eastAsia="zh-CN"/>
        </w:rPr>
        <w:t>申报</w:t>
      </w:r>
      <w:r>
        <w:rPr>
          <w:rFonts w:hint="eastAsia" w:ascii="仿宋_GB2312" w:hAnsi="仿宋_GB2312" w:eastAsia="仿宋_GB2312" w:cs="仿宋_GB2312"/>
          <w:color w:val="auto"/>
          <w:kern w:val="0"/>
          <w:sz w:val="32"/>
          <w:szCs w:val="32"/>
        </w:rPr>
        <w:t>单位根据实际需求自行测算项目需求金额，2022年资金额度原则上不超过200万元，在申报书中提供资金测算过程及测算依据。最终资金补助金额以我单位测算核实为准。</w:t>
      </w:r>
      <w:r>
        <w:rPr>
          <w:rFonts w:hint="eastAsia" w:ascii="仿宋_GB2312" w:hAnsi="仿宋_GB2312" w:eastAsia="仿宋_GB2312" w:cs="仿宋_GB2312"/>
          <w:color w:val="auto"/>
          <w:kern w:val="0"/>
          <w:sz w:val="32"/>
          <w:szCs w:val="32"/>
          <w:lang w:eastAsia="zh-CN"/>
        </w:rPr>
        <w:t>项目预算金额测算是否详细、合理将纳入评审标准。</w:t>
      </w:r>
    </w:p>
    <w:p>
      <w:pPr>
        <w:numPr>
          <w:ilvl w:val="0"/>
          <w:numId w:val="0"/>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5</w:t>
      </w:r>
      <w:r>
        <w:rPr>
          <w:rFonts w:hint="eastAsia" w:ascii="仿宋_GB2312" w:hAnsi="仿宋_GB2312" w:eastAsia="仿宋_GB2312" w:cs="仿宋_GB2312"/>
          <w:b/>
          <w:bCs/>
          <w:color w:val="auto"/>
          <w:kern w:val="0"/>
          <w:sz w:val="32"/>
          <w:szCs w:val="32"/>
          <w:lang w:eastAsia="zh-CN"/>
        </w:rPr>
        <w:t>）考核要求</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省农业农村厅根据项目榜单制定的年度计划和目标，</w:t>
      </w:r>
      <w:r>
        <w:rPr>
          <w:rFonts w:hint="eastAsia" w:ascii="仿宋_GB2312" w:hAnsi="仿宋_GB2312" w:eastAsia="仿宋_GB2312" w:cs="仿宋_GB2312"/>
          <w:color w:val="auto"/>
          <w:kern w:val="0"/>
          <w:sz w:val="32"/>
          <w:szCs w:val="32"/>
          <w:lang w:eastAsia="zh-CN"/>
        </w:rPr>
        <w:t>适时</w:t>
      </w:r>
      <w:r>
        <w:rPr>
          <w:rFonts w:hint="eastAsia" w:ascii="仿宋_GB2312" w:hAnsi="仿宋_GB2312" w:eastAsia="仿宋_GB2312" w:cs="仿宋_GB2312"/>
          <w:color w:val="auto"/>
          <w:kern w:val="0"/>
          <w:sz w:val="32"/>
          <w:szCs w:val="32"/>
        </w:rPr>
        <w:t>组织专家对</w:t>
      </w:r>
      <w:r>
        <w:rPr>
          <w:rFonts w:hint="eastAsia" w:ascii="仿宋_GB2312" w:hAnsi="仿宋_GB2312" w:eastAsia="仿宋_GB2312" w:cs="仿宋_GB2312"/>
          <w:color w:val="auto"/>
          <w:kern w:val="0"/>
          <w:sz w:val="32"/>
          <w:szCs w:val="32"/>
          <w:lang w:eastAsia="zh-CN"/>
        </w:rPr>
        <w:t>项目年度</w:t>
      </w:r>
      <w:r>
        <w:rPr>
          <w:rFonts w:hint="eastAsia" w:ascii="仿宋_GB2312" w:hAnsi="仿宋_GB2312" w:eastAsia="仿宋_GB2312" w:cs="仿宋_GB2312"/>
          <w:color w:val="auto"/>
          <w:kern w:val="0"/>
          <w:sz w:val="32"/>
          <w:szCs w:val="32"/>
        </w:rPr>
        <w:t>目标完成情况进行</w:t>
      </w:r>
      <w:r>
        <w:rPr>
          <w:rFonts w:hint="eastAsia" w:ascii="仿宋_GB2312" w:hAnsi="仿宋_GB2312" w:eastAsia="仿宋_GB2312" w:cs="仿宋_GB2312"/>
          <w:color w:val="auto"/>
          <w:kern w:val="0"/>
          <w:sz w:val="32"/>
          <w:szCs w:val="32"/>
          <w:lang w:eastAsia="zh-CN"/>
        </w:rPr>
        <w:t>考核，</w:t>
      </w:r>
      <w:r>
        <w:rPr>
          <w:rFonts w:hint="eastAsia" w:ascii="仿宋_GB2312" w:hAnsi="仿宋_GB2312" w:eastAsia="仿宋_GB2312" w:cs="仿宋_GB2312"/>
          <w:color w:val="auto"/>
          <w:kern w:val="0"/>
          <w:sz w:val="32"/>
          <w:szCs w:val="32"/>
        </w:rPr>
        <w:t>一年后按“</w:t>
      </w:r>
      <w:r>
        <w:rPr>
          <w:rFonts w:hint="eastAsia" w:ascii="仿宋_GB2312" w:hAnsi="仿宋_GB2312" w:eastAsia="仿宋_GB2312" w:cs="仿宋_GB2312"/>
          <w:color w:val="auto"/>
          <w:kern w:val="0"/>
          <w:sz w:val="32"/>
          <w:szCs w:val="32"/>
          <w:lang w:eastAsia="zh-CN"/>
        </w:rPr>
        <w:t>三</w:t>
      </w:r>
      <w:r>
        <w:rPr>
          <w:rFonts w:hint="eastAsia" w:ascii="仿宋_GB2312" w:hAnsi="仿宋_GB2312" w:eastAsia="仿宋_GB2312" w:cs="仿宋_GB2312"/>
          <w:color w:val="auto"/>
          <w:kern w:val="0"/>
          <w:sz w:val="32"/>
          <w:szCs w:val="32"/>
        </w:rPr>
        <w:t>进二”考核淘汰，两年后按“二进一”考核淘汰。后续年度资金</w:t>
      </w:r>
      <w:r>
        <w:rPr>
          <w:rFonts w:hint="eastAsia" w:ascii="仿宋_GB2312" w:hAnsi="仿宋_GB2312" w:eastAsia="仿宋_GB2312" w:cs="仿宋_GB2312"/>
          <w:color w:val="auto"/>
          <w:kern w:val="0"/>
          <w:sz w:val="32"/>
          <w:szCs w:val="32"/>
          <w:lang w:eastAsia="zh-CN"/>
        </w:rPr>
        <w:t>将根据上一年</w:t>
      </w:r>
      <w:r>
        <w:rPr>
          <w:rFonts w:hint="eastAsia" w:ascii="仿宋_GB2312" w:hAnsi="仿宋_GB2312" w:eastAsia="仿宋_GB2312" w:cs="仿宋_GB2312"/>
          <w:color w:val="auto"/>
          <w:kern w:val="0"/>
          <w:sz w:val="32"/>
          <w:szCs w:val="32"/>
        </w:rPr>
        <w:t>度资金</w:t>
      </w:r>
      <w:r>
        <w:rPr>
          <w:rFonts w:hint="eastAsia" w:ascii="仿宋_GB2312" w:hAnsi="仿宋_GB2312" w:eastAsia="仿宋_GB2312" w:cs="仿宋_GB2312"/>
          <w:color w:val="auto"/>
          <w:kern w:val="0"/>
          <w:sz w:val="32"/>
          <w:szCs w:val="32"/>
          <w:lang w:eastAsia="zh-CN"/>
        </w:rPr>
        <w:t>使用情况叠加</w:t>
      </w:r>
      <w:r>
        <w:rPr>
          <w:rFonts w:hint="eastAsia" w:ascii="仿宋_GB2312" w:hAnsi="仿宋_GB2312" w:eastAsia="仿宋_GB2312" w:cs="仿宋_GB2312"/>
          <w:color w:val="auto"/>
          <w:kern w:val="0"/>
          <w:sz w:val="32"/>
          <w:szCs w:val="32"/>
        </w:rPr>
        <w:t>安排。</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待项目持续支持3年后，由省农业农村厅组织开展项目总体绩效考核，达到</w:t>
      </w:r>
      <w:r>
        <w:rPr>
          <w:rFonts w:hint="eastAsia" w:ascii="仿宋_GB2312" w:hAnsi="仿宋_GB2312" w:eastAsia="仿宋_GB2312" w:cs="仿宋_GB2312"/>
          <w:color w:val="auto"/>
          <w:kern w:val="0"/>
          <w:sz w:val="32"/>
          <w:szCs w:val="32"/>
          <w:lang w:eastAsia="zh-CN"/>
        </w:rPr>
        <w:t>项目</w:t>
      </w:r>
      <w:r>
        <w:rPr>
          <w:rFonts w:hint="eastAsia" w:ascii="仿宋_GB2312" w:hAnsi="仿宋_GB2312" w:eastAsia="仿宋_GB2312" w:cs="仿宋_GB2312"/>
          <w:color w:val="auto"/>
          <w:kern w:val="0"/>
          <w:sz w:val="32"/>
          <w:szCs w:val="32"/>
        </w:rPr>
        <w:t>总体目标的，在后续种业振兴相关项目安排上予以倾斜；</w:t>
      </w:r>
      <w:r>
        <w:rPr>
          <w:rFonts w:hint="eastAsia" w:ascii="仿宋_GB2312" w:hAnsi="仿宋_GB2312" w:eastAsia="仿宋_GB2312" w:cs="仿宋_GB2312"/>
          <w:color w:val="auto"/>
          <w:kern w:val="0"/>
          <w:sz w:val="32"/>
          <w:szCs w:val="32"/>
          <w:lang w:eastAsia="zh-CN"/>
        </w:rPr>
        <w:t>因主观不努力等因素，导致</w:t>
      </w:r>
      <w:r>
        <w:rPr>
          <w:rFonts w:hint="eastAsia" w:ascii="仿宋_GB2312" w:hAnsi="仿宋_GB2312" w:eastAsia="仿宋_GB2312" w:cs="仿宋_GB2312"/>
          <w:color w:val="auto"/>
          <w:kern w:val="0"/>
          <w:sz w:val="32"/>
          <w:szCs w:val="32"/>
        </w:rPr>
        <w:t>未达到</w:t>
      </w:r>
      <w:r>
        <w:rPr>
          <w:rFonts w:hint="eastAsia" w:ascii="仿宋_GB2312" w:hAnsi="仿宋_GB2312" w:eastAsia="仿宋_GB2312" w:cs="仿宋_GB2312"/>
          <w:color w:val="auto"/>
          <w:kern w:val="0"/>
          <w:sz w:val="32"/>
          <w:szCs w:val="32"/>
          <w:lang w:eastAsia="zh-CN"/>
        </w:rPr>
        <w:t>项目</w:t>
      </w:r>
      <w:r>
        <w:rPr>
          <w:rFonts w:hint="eastAsia" w:ascii="仿宋_GB2312" w:hAnsi="仿宋_GB2312" w:eastAsia="仿宋_GB2312" w:cs="仿宋_GB2312"/>
          <w:color w:val="auto"/>
          <w:kern w:val="0"/>
          <w:sz w:val="32"/>
          <w:szCs w:val="32"/>
        </w:rPr>
        <w:t>总体目标的或者无法按照计划顺利实施的，将对项目承担单位予以通报，并在后续种业振兴相关项目安排上予以限制。</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项目成果需由省农业农村厅进行登记、备案和发布。</w:t>
      </w:r>
    </w:p>
    <w:p>
      <w:pPr>
        <w:numPr>
          <w:ilvl w:val="0"/>
          <w:numId w:val="0"/>
        </w:numPr>
        <w:adjustRightInd w:val="0"/>
        <w:snapToGrid w:val="0"/>
        <w:spacing w:beforeLines="0" w:afterLines="0" w:line="590" w:lineRule="exact"/>
        <w:ind w:firstLine="643" w:firstLineChars="200"/>
        <w:rPr>
          <w:rFonts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3.项目名称：重要养殖鱼类优质高抗新品种培育及示范推广</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（1）项目需求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针对我省重要养殖鱼类抗病、抗逆等优质品种缺乏的问题，结合基因组选育，分子标记辅助育种和性别控制等技术，加强鱼类“品种+技术+模式”联合攻关,重点开展速长、抗病、耐高温、耐盐、饲料利用率高等具有显著性状优势的品种培育，挖掘调控重要性状形成的关键基因，解析相关调控网络和分子机理，培育适合华南地区养殖的优良品种，集成优质苗种培育和健康生态养殖等技术，凸显我省重要养殖鱼类良种培育特色和影响力。</w:t>
      </w:r>
    </w:p>
    <w:p>
      <w:pPr>
        <w:numPr>
          <w:ilvl w:val="0"/>
          <w:numId w:val="5"/>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绩效目标</w:t>
      </w:r>
    </w:p>
    <w:p>
      <w:pPr>
        <w:numPr>
          <w:ilvl w:val="0"/>
          <w:numId w:val="0"/>
        </w:num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b/>
          <w:color w:val="auto"/>
          <w:kern w:val="0"/>
          <w:sz w:val="32"/>
          <w:szCs w:val="32"/>
        </w:rPr>
        <w:t>第一年目标</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bidi="ar"/>
        </w:rPr>
        <w:t>建立</w:t>
      </w:r>
      <w:r>
        <w:rPr>
          <w:rFonts w:hint="eastAsia" w:ascii="仿宋_GB2312" w:hAnsi="仿宋_GB2312" w:eastAsia="仿宋_GB2312" w:cs="仿宋_GB2312"/>
          <w:color w:val="auto"/>
          <w:kern w:val="0"/>
          <w:sz w:val="32"/>
          <w:szCs w:val="32"/>
        </w:rPr>
        <w:t>重要养殖鱼类</w:t>
      </w:r>
      <w:r>
        <w:rPr>
          <w:rFonts w:hint="eastAsia" w:ascii="仿宋_GB2312" w:hAnsi="仿宋_GB2312" w:eastAsia="仿宋_GB2312" w:cs="仿宋_GB2312"/>
          <w:color w:val="auto"/>
          <w:kern w:val="0"/>
          <w:sz w:val="32"/>
          <w:szCs w:val="32"/>
          <w:lang w:bidi="ar"/>
        </w:rPr>
        <w:t>分子标记开发技术 1 套，</w:t>
      </w:r>
      <w:r>
        <w:rPr>
          <w:rFonts w:hint="eastAsia" w:ascii="仿宋_GB2312" w:hAnsi="仿宋_GB2312" w:eastAsia="仿宋_GB2312" w:cs="仿宋_GB2312"/>
          <w:color w:val="auto"/>
          <w:kern w:val="0"/>
          <w:sz w:val="32"/>
          <w:szCs w:val="32"/>
        </w:rPr>
        <w:t>获得速长、抗病逆等相关分子标记1-2个；</w:t>
      </w:r>
      <w:r>
        <w:rPr>
          <w:rFonts w:hint="eastAsia" w:ascii="仿宋_GB2312" w:hAnsi="仿宋_GB2312" w:eastAsia="仿宋_GB2312" w:cs="仿宋_GB2312"/>
          <w:color w:val="auto"/>
          <w:kern w:val="0"/>
          <w:sz w:val="32"/>
          <w:szCs w:val="32"/>
          <w:lang w:bidi="ar"/>
        </w:rPr>
        <w:t>培育生长快或抗逆性强的新品系 1 个，生长性能提高5%以上，抗病逆性能提高2%以上。</w:t>
      </w:r>
    </w:p>
    <w:p>
      <w:pPr>
        <w:numPr>
          <w:ilvl w:val="0"/>
          <w:numId w:val="0"/>
        </w:num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b/>
          <w:color w:val="auto"/>
          <w:kern w:val="0"/>
          <w:sz w:val="32"/>
          <w:szCs w:val="32"/>
        </w:rPr>
        <w:t>第二年目标</w:t>
      </w:r>
      <w:r>
        <w:rPr>
          <w:rFonts w:hint="eastAsia" w:ascii="仿宋_GB2312" w:hAnsi="仿宋_GB2312" w:eastAsia="仿宋_GB2312" w:cs="仿宋_GB2312"/>
          <w:color w:val="auto"/>
          <w:kern w:val="0"/>
          <w:sz w:val="32"/>
          <w:szCs w:val="32"/>
        </w:rPr>
        <w:t>：获得速长、抗病逆等相关分子标记3-5个</w:t>
      </w:r>
      <w:r>
        <w:rPr>
          <w:rFonts w:hint="eastAsia" w:ascii="仿宋_GB2312" w:hAnsi="仿宋_GB2312" w:eastAsia="仿宋_GB2312" w:cs="仿宋_GB2312"/>
          <w:color w:val="auto"/>
          <w:kern w:val="0"/>
          <w:sz w:val="32"/>
          <w:szCs w:val="32"/>
          <w:lang w:bidi="ar"/>
        </w:rPr>
        <w:t>，</w:t>
      </w:r>
      <w:r>
        <w:rPr>
          <w:rFonts w:hint="eastAsia" w:ascii="仿宋_GB2312" w:hAnsi="仿宋_GB2312" w:eastAsia="仿宋_GB2312" w:cs="仿宋_GB2312"/>
          <w:color w:val="auto"/>
          <w:kern w:val="0"/>
          <w:sz w:val="32"/>
          <w:szCs w:val="32"/>
        </w:rPr>
        <w:t>解析调控重要经济性状的关键基因2-3个；建立重要养殖鱼类</w:t>
      </w:r>
      <w:r>
        <w:rPr>
          <w:rFonts w:hint="eastAsia" w:ascii="仿宋_GB2312" w:hAnsi="仿宋_GB2312" w:eastAsia="仿宋_GB2312" w:cs="仿宋_GB2312"/>
          <w:color w:val="auto"/>
          <w:kern w:val="0"/>
          <w:sz w:val="32"/>
          <w:szCs w:val="32"/>
          <w:lang w:bidi="ar"/>
        </w:rPr>
        <w:t>分子标记辅助育种技术1套；培育适宜华南地区养殖的高产、抗逆新品种（系）1个以上，生长性能提高10%以上，抗病逆性能提高5%以上。</w:t>
      </w:r>
    </w:p>
    <w:p>
      <w:pPr>
        <w:numPr>
          <w:ilvl w:val="0"/>
          <w:numId w:val="0"/>
        </w:num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
          <w:color w:val="auto"/>
          <w:kern w:val="0"/>
          <w:sz w:val="32"/>
          <w:szCs w:val="32"/>
        </w:rPr>
        <w:t>第三年目标</w:t>
      </w:r>
      <w:r>
        <w:rPr>
          <w:rFonts w:hint="eastAsia" w:ascii="仿宋_GB2312" w:hAnsi="仿宋_GB2312" w:eastAsia="仿宋_GB2312" w:cs="仿宋_GB2312"/>
          <w:color w:val="auto"/>
          <w:kern w:val="0"/>
          <w:sz w:val="32"/>
          <w:szCs w:val="32"/>
        </w:rPr>
        <w:t>：培育快长或者抗病逆等优质养殖鱼类新品种1个以上，建立优良品种规范化生产技术1项以及健康生态养殖模式1套；年繁育优质苗种5000万尾</w:t>
      </w:r>
      <w:r>
        <w:rPr>
          <w:rFonts w:hint="eastAsia" w:ascii="仿宋_GB2312" w:hAnsi="仿宋_GB2312" w:eastAsia="仿宋_GB2312" w:cs="仿宋_GB2312"/>
          <w:color w:val="auto"/>
          <w:kern w:val="0"/>
          <w:sz w:val="32"/>
          <w:szCs w:val="32"/>
          <w:lang w:eastAsia="zh-CN"/>
        </w:rPr>
        <w:t>以上</w:t>
      </w:r>
      <w:r>
        <w:rPr>
          <w:rFonts w:hint="eastAsia" w:ascii="仿宋_GB2312" w:hAnsi="仿宋_GB2312" w:eastAsia="仿宋_GB2312" w:cs="仿宋_GB2312"/>
          <w:color w:val="auto"/>
          <w:kern w:val="0"/>
          <w:sz w:val="32"/>
          <w:szCs w:val="32"/>
        </w:rPr>
        <w:t>，新品种养殖示范推广2000亩以上。</w:t>
      </w:r>
    </w:p>
    <w:p>
      <w:pPr>
        <w:numPr>
          <w:ilvl w:val="0"/>
          <w:numId w:val="5"/>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申报对象及条件</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①由省级及中央驻粤涉农科研机构、高等院校以及企业申报。</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②申报对象具有较完善的项目和财务管理制度，信用记录良好。</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③申报对象是企业的，应具有水域滩涂养殖证和水产种苗生产许可证</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具备开展品种培育、品种测试、良种扩繁等基础设施条件。</w:t>
      </w:r>
    </w:p>
    <w:p>
      <w:pPr>
        <w:numPr>
          <w:ilvl w:val="0"/>
          <w:numId w:val="5"/>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实施周期和资金额度</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原则上</w:t>
      </w:r>
      <w:r>
        <w:rPr>
          <w:rFonts w:hint="eastAsia" w:ascii="仿宋_GB2312" w:hAnsi="仿宋_GB2312" w:eastAsia="仿宋_GB2312" w:cs="仿宋_GB2312"/>
          <w:color w:val="auto"/>
          <w:kern w:val="0"/>
          <w:sz w:val="32"/>
          <w:szCs w:val="32"/>
        </w:rPr>
        <w:t>项目实施周期为3年。项目</w:t>
      </w:r>
      <w:r>
        <w:rPr>
          <w:rFonts w:hint="eastAsia" w:ascii="仿宋_GB2312" w:hAnsi="仿宋_GB2312" w:eastAsia="仿宋_GB2312" w:cs="仿宋_GB2312"/>
          <w:color w:val="auto"/>
          <w:kern w:val="0"/>
          <w:sz w:val="32"/>
          <w:szCs w:val="32"/>
          <w:lang w:eastAsia="zh-CN"/>
        </w:rPr>
        <w:t>申报</w:t>
      </w:r>
      <w:r>
        <w:rPr>
          <w:rFonts w:hint="eastAsia" w:ascii="仿宋_GB2312" w:hAnsi="仿宋_GB2312" w:eastAsia="仿宋_GB2312" w:cs="仿宋_GB2312"/>
          <w:color w:val="auto"/>
          <w:kern w:val="0"/>
          <w:sz w:val="32"/>
          <w:szCs w:val="32"/>
        </w:rPr>
        <w:t>单位根据实际需求自行测算项目需求金额，2022年资金额度原则上不超过200万元，在申报书中提供资金测算过程及测算依据。最终资金补助金额以我单位测算核实为准。</w:t>
      </w:r>
      <w:r>
        <w:rPr>
          <w:rFonts w:hint="eastAsia" w:ascii="仿宋_GB2312" w:hAnsi="仿宋_GB2312" w:eastAsia="仿宋_GB2312" w:cs="仿宋_GB2312"/>
          <w:color w:val="auto"/>
          <w:kern w:val="0"/>
          <w:sz w:val="32"/>
          <w:szCs w:val="32"/>
          <w:lang w:eastAsia="zh-CN"/>
        </w:rPr>
        <w:t>项目预算金额测算是否详细、合理将纳入评审标准。</w:t>
      </w:r>
    </w:p>
    <w:p>
      <w:pPr>
        <w:numPr>
          <w:ilvl w:val="0"/>
          <w:numId w:val="0"/>
        </w:num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5</w:t>
      </w:r>
      <w:r>
        <w:rPr>
          <w:rFonts w:hint="eastAsia" w:ascii="仿宋_GB2312" w:hAnsi="仿宋_GB2312" w:eastAsia="仿宋_GB2312" w:cs="仿宋_GB2312"/>
          <w:b/>
          <w:bCs/>
          <w:color w:val="auto"/>
          <w:kern w:val="0"/>
          <w:sz w:val="32"/>
          <w:szCs w:val="32"/>
          <w:lang w:eastAsia="zh-CN"/>
        </w:rPr>
        <w:t>）考核要求</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省农业农村厅根据项目榜单制定的年度计划和目标，</w:t>
      </w:r>
      <w:r>
        <w:rPr>
          <w:rFonts w:hint="eastAsia" w:ascii="仿宋_GB2312" w:hAnsi="仿宋_GB2312" w:eastAsia="仿宋_GB2312" w:cs="仿宋_GB2312"/>
          <w:color w:val="auto"/>
          <w:kern w:val="0"/>
          <w:sz w:val="32"/>
          <w:szCs w:val="32"/>
          <w:lang w:eastAsia="zh-CN"/>
        </w:rPr>
        <w:t>适时</w:t>
      </w:r>
      <w:r>
        <w:rPr>
          <w:rFonts w:hint="eastAsia" w:ascii="仿宋_GB2312" w:hAnsi="仿宋_GB2312" w:eastAsia="仿宋_GB2312" w:cs="仿宋_GB2312"/>
          <w:color w:val="auto"/>
          <w:kern w:val="0"/>
          <w:sz w:val="32"/>
          <w:szCs w:val="32"/>
        </w:rPr>
        <w:t>组织专家对</w:t>
      </w:r>
      <w:r>
        <w:rPr>
          <w:rFonts w:hint="eastAsia" w:ascii="仿宋_GB2312" w:hAnsi="仿宋_GB2312" w:eastAsia="仿宋_GB2312" w:cs="仿宋_GB2312"/>
          <w:color w:val="auto"/>
          <w:kern w:val="0"/>
          <w:sz w:val="32"/>
          <w:szCs w:val="32"/>
          <w:lang w:eastAsia="zh-CN"/>
        </w:rPr>
        <w:t>项目年度</w:t>
      </w:r>
      <w:r>
        <w:rPr>
          <w:rFonts w:hint="eastAsia" w:ascii="仿宋_GB2312" w:hAnsi="仿宋_GB2312" w:eastAsia="仿宋_GB2312" w:cs="仿宋_GB2312"/>
          <w:color w:val="auto"/>
          <w:kern w:val="0"/>
          <w:sz w:val="32"/>
          <w:szCs w:val="32"/>
        </w:rPr>
        <w:t>目标完成情况进行</w:t>
      </w:r>
      <w:r>
        <w:rPr>
          <w:rFonts w:hint="eastAsia" w:ascii="仿宋_GB2312" w:hAnsi="仿宋_GB2312" w:eastAsia="仿宋_GB2312" w:cs="仿宋_GB2312"/>
          <w:color w:val="auto"/>
          <w:kern w:val="0"/>
          <w:sz w:val="32"/>
          <w:szCs w:val="32"/>
          <w:lang w:eastAsia="zh-CN"/>
        </w:rPr>
        <w:t>考核，</w:t>
      </w:r>
      <w:r>
        <w:rPr>
          <w:rFonts w:hint="eastAsia" w:ascii="仿宋_GB2312" w:hAnsi="仿宋_GB2312" w:eastAsia="仿宋_GB2312" w:cs="仿宋_GB2312"/>
          <w:color w:val="auto"/>
          <w:kern w:val="0"/>
          <w:sz w:val="32"/>
          <w:szCs w:val="32"/>
        </w:rPr>
        <w:t>一年后按“</w:t>
      </w:r>
      <w:r>
        <w:rPr>
          <w:rFonts w:hint="eastAsia" w:ascii="仿宋_GB2312" w:hAnsi="仿宋_GB2312" w:eastAsia="仿宋_GB2312" w:cs="仿宋_GB2312"/>
          <w:color w:val="auto"/>
          <w:kern w:val="0"/>
          <w:sz w:val="32"/>
          <w:szCs w:val="32"/>
          <w:lang w:eastAsia="zh-CN"/>
        </w:rPr>
        <w:t>三</w:t>
      </w:r>
      <w:r>
        <w:rPr>
          <w:rFonts w:hint="eastAsia" w:ascii="仿宋_GB2312" w:hAnsi="仿宋_GB2312" w:eastAsia="仿宋_GB2312" w:cs="仿宋_GB2312"/>
          <w:color w:val="auto"/>
          <w:kern w:val="0"/>
          <w:sz w:val="32"/>
          <w:szCs w:val="32"/>
        </w:rPr>
        <w:t>进二”考核淘汰，两年后按“二进一”考核淘汰。后续年度资金</w:t>
      </w:r>
      <w:r>
        <w:rPr>
          <w:rFonts w:hint="eastAsia" w:ascii="仿宋_GB2312" w:hAnsi="仿宋_GB2312" w:eastAsia="仿宋_GB2312" w:cs="仿宋_GB2312"/>
          <w:color w:val="auto"/>
          <w:kern w:val="0"/>
          <w:sz w:val="32"/>
          <w:szCs w:val="32"/>
          <w:lang w:eastAsia="zh-CN"/>
        </w:rPr>
        <w:t>将根据上一年</w:t>
      </w:r>
      <w:r>
        <w:rPr>
          <w:rFonts w:hint="eastAsia" w:ascii="仿宋_GB2312" w:hAnsi="仿宋_GB2312" w:eastAsia="仿宋_GB2312" w:cs="仿宋_GB2312"/>
          <w:color w:val="auto"/>
          <w:kern w:val="0"/>
          <w:sz w:val="32"/>
          <w:szCs w:val="32"/>
        </w:rPr>
        <w:t>度资金</w:t>
      </w:r>
      <w:r>
        <w:rPr>
          <w:rFonts w:hint="eastAsia" w:ascii="仿宋_GB2312" w:hAnsi="仿宋_GB2312" w:eastAsia="仿宋_GB2312" w:cs="仿宋_GB2312"/>
          <w:color w:val="auto"/>
          <w:kern w:val="0"/>
          <w:sz w:val="32"/>
          <w:szCs w:val="32"/>
          <w:lang w:eastAsia="zh-CN"/>
        </w:rPr>
        <w:t>使用情况叠加</w:t>
      </w:r>
      <w:r>
        <w:rPr>
          <w:rFonts w:hint="eastAsia" w:ascii="仿宋_GB2312" w:hAnsi="仿宋_GB2312" w:eastAsia="仿宋_GB2312" w:cs="仿宋_GB2312"/>
          <w:color w:val="auto"/>
          <w:kern w:val="0"/>
          <w:sz w:val="32"/>
          <w:szCs w:val="32"/>
        </w:rPr>
        <w:t>安排。</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待项目持续支持3年后，由省农业农村厅组织开展项目总体绩效考核，达到</w:t>
      </w:r>
      <w:r>
        <w:rPr>
          <w:rFonts w:hint="eastAsia" w:ascii="仿宋_GB2312" w:hAnsi="仿宋_GB2312" w:eastAsia="仿宋_GB2312" w:cs="仿宋_GB2312"/>
          <w:color w:val="auto"/>
          <w:kern w:val="0"/>
          <w:sz w:val="32"/>
          <w:szCs w:val="32"/>
          <w:lang w:eastAsia="zh-CN"/>
        </w:rPr>
        <w:t>项目</w:t>
      </w:r>
      <w:r>
        <w:rPr>
          <w:rFonts w:hint="eastAsia" w:ascii="仿宋_GB2312" w:hAnsi="仿宋_GB2312" w:eastAsia="仿宋_GB2312" w:cs="仿宋_GB2312"/>
          <w:color w:val="auto"/>
          <w:kern w:val="0"/>
          <w:sz w:val="32"/>
          <w:szCs w:val="32"/>
        </w:rPr>
        <w:t>总体目标的，在后续种业振兴相关项目安排上予以倾斜；</w:t>
      </w:r>
      <w:r>
        <w:rPr>
          <w:rFonts w:hint="eastAsia" w:ascii="仿宋_GB2312" w:hAnsi="仿宋_GB2312" w:eastAsia="仿宋_GB2312" w:cs="仿宋_GB2312"/>
          <w:color w:val="auto"/>
          <w:kern w:val="0"/>
          <w:sz w:val="32"/>
          <w:szCs w:val="32"/>
          <w:lang w:eastAsia="zh-CN"/>
        </w:rPr>
        <w:t>因主观不努力等因素，导致</w:t>
      </w:r>
      <w:r>
        <w:rPr>
          <w:rFonts w:hint="eastAsia" w:ascii="仿宋_GB2312" w:hAnsi="仿宋_GB2312" w:eastAsia="仿宋_GB2312" w:cs="仿宋_GB2312"/>
          <w:color w:val="auto"/>
          <w:kern w:val="0"/>
          <w:sz w:val="32"/>
          <w:szCs w:val="32"/>
        </w:rPr>
        <w:t>未达到</w:t>
      </w:r>
      <w:r>
        <w:rPr>
          <w:rFonts w:hint="eastAsia" w:ascii="仿宋_GB2312" w:hAnsi="仿宋_GB2312" w:eastAsia="仿宋_GB2312" w:cs="仿宋_GB2312"/>
          <w:color w:val="auto"/>
          <w:kern w:val="0"/>
          <w:sz w:val="32"/>
          <w:szCs w:val="32"/>
          <w:lang w:eastAsia="zh-CN"/>
        </w:rPr>
        <w:t>项目</w:t>
      </w:r>
      <w:r>
        <w:rPr>
          <w:rFonts w:hint="eastAsia" w:ascii="仿宋_GB2312" w:hAnsi="仿宋_GB2312" w:eastAsia="仿宋_GB2312" w:cs="仿宋_GB2312"/>
          <w:color w:val="auto"/>
          <w:kern w:val="0"/>
          <w:sz w:val="32"/>
          <w:szCs w:val="32"/>
        </w:rPr>
        <w:t>总体目标的或者无法按照计划顺利实施的，将对项目承担单位予以通报，并在后续种业振兴相关项目安排上予以限制。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4.项目名称：优质稻关键技术攻关和新品种培育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（1）项目需求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围绕杂交稻、常规稻开展</w:t>
      </w:r>
      <w:r>
        <w:rPr>
          <w:rFonts w:hint="eastAsia" w:ascii="仿宋_GB2312" w:hAnsi="仿宋_GB2312" w:eastAsia="仿宋_GB2312" w:cs="仿宋_GB2312"/>
          <w:color w:val="auto"/>
          <w:kern w:val="0"/>
          <w:sz w:val="32"/>
          <w:szCs w:val="32"/>
          <w:lang w:eastAsia="zh-CN"/>
        </w:rPr>
        <w:t>突破性</w:t>
      </w:r>
      <w:r>
        <w:rPr>
          <w:rFonts w:hint="eastAsia" w:ascii="仿宋_GB2312" w:hAnsi="仿宋_GB2312" w:eastAsia="仿宋_GB2312" w:cs="仿宋_GB2312"/>
          <w:color w:val="auto"/>
          <w:kern w:val="0"/>
          <w:sz w:val="32"/>
          <w:szCs w:val="32"/>
        </w:rPr>
        <w:t>品种</w:t>
      </w:r>
      <w:r>
        <w:rPr>
          <w:rFonts w:hint="eastAsia" w:ascii="仿宋_GB2312" w:hAnsi="仿宋_GB2312" w:eastAsia="仿宋_GB2312" w:cs="仿宋_GB2312"/>
          <w:color w:val="auto"/>
          <w:kern w:val="0"/>
          <w:sz w:val="32"/>
          <w:szCs w:val="32"/>
          <w:lang w:eastAsia="zh-CN"/>
        </w:rPr>
        <w:t>培育</w:t>
      </w:r>
      <w:r>
        <w:rPr>
          <w:rFonts w:hint="eastAsia" w:ascii="仿宋_GB2312" w:hAnsi="仿宋_GB2312" w:eastAsia="仿宋_GB2312" w:cs="仿宋_GB2312"/>
          <w:color w:val="auto"/>
          <w:kern w:val="0"/>
          <w:sz w:val="32"/>
          <w:szCs w:val="32"/>
        </w:rPr>
        <w:t>，以高产、优质、抗逆等为目标，利用分子标记辅助选择、基因组选择等现代前沿育种技术，结合有性杂交等常规育种手段，开展优异种质资源创制，定向精准改良品种，培育突破性新品种。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（2）绩效目标</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第一年目标：</w:t>
      </w:r>
      <w:r>
        <w:rPr>
          <w:rFonts w:hint="eastAsia" w:ascii="仿宋_GB2312" w:hAnsi="仿宋_GB2312" w:eastAsia="仿宋_GB2312" w:cs="仿宋_GB2312"/>
          <w:color w:val="auto"/>
          <w:kern w:val="0"/>
          <w:sz w:val="32"/>
          <w:szCs w:val="32"/>
          <w:lang w:val="en-US" w:eastAsia="zh-CN"/>
        </w:rPr>
        <w:t>筛选包含目标性状的育种群体1个，创制包含目标性状的新材料5份以上。</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第二年目标：</w:t>
      </w:r>
      <w:r>
        <w:rPr>
          <w:rFonts w:hint="eastAsia" w:ascii="仿宋_GB2312" w:hAnsi="仿宋_GB2312" w:eastAsia="仿宋_GB2312" w:cs="仿宋_GB2312"/>
          <w:color w:val="auto"/>
          <w:kern w:val="0"/>
          <w:sz w:val="32"/>
          <w:szCs w:val="32"/>
          <w:lang w:val="en-US" w:eastAsia="zh-CN"/>
        </w:rPr>
        <w:t>筛选包含目标性状的育种群体2个，创制包含目标性状的新材料8份以上。</w:t>
      </w:r>
      <w:r>
        <w:rPr>
          <w:rFonts w:hint="default" w:ascii="仿宋_GB2312" w:hAnsi="仿宋_GB2312" w:eastAsia="仿宋_GB2312" w:cs="仿宋_GB2312"/>
          <w:color w:val="auto"/>
          <w:kern w:val="0"/>
          <w:sz w:val="32"/>
          <w:szCs w:val="32"/>
          <w:lang w:val="en-US" w:eastAsia="zh-CN"/>
        </w:rPr>
        <w:t>育成</w:t>
      </w:r>
      <w:r>
        <w:rPr>
          <w:rFonts w:hint="eastAsia" w:ascii="仿宋_GB2312" w:hAnsi="仿宋_GB2312" w:eastAsia="仿宋_GB2312" w:cs="仿宋_GB2312"/>
          <w:color w:val="auto"/>
          <w:kern w:val="0"/>
          <w:sz w:val="32"/>
          <w:szCs w:val="32"/>
          <w:lang w:val="en-US" w:eastAsia="zh-CN"/>
        </w:rPr>
        <w:t>并</w:t>
      </w:r>
      <w:r>
        <w:rPr>
          <w:rFonts w:hint="eastAsia" w:ascii="仿宋_GB2312" w:hAnsi="仿宋_GB2312" w:eastAsia="仿宋_GB2312" w:cs="仿宋_GB2312"/>
          <w:color w:val="auto"/>
          <w:kern w:val="0"/>
          <w:sz w:val="32"/>
          <w:szCs w:val="32"/>
          <w:highlight w:val="none"/>
          <w:lang w:val="en-US" w:eastAsia="zh-CN"/>
        </w:rPr>
        <w:t>进入国家（含广东的熟组）或省品种区域试验新品种1个以上。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
          <w:bCs/>
          <w:color w:val="auto"/>
          <w:kern w:val="0"/>
          <w:sz w:val="32"/>
          <w:szCs w:val="32"/>
          <w:lang w:val="en-US" w:eastAsia="zh-CN"/>
        </w:rPr>
        <w:t>第三年目标：</w:t>
      </w:r>
      <w:r>
        <w:rPr>
          <w:rFonts w:hint="default" w:ascii="仿宋_GB2312" w:hAnsi="仿宋_GB2312" w:eastAsia="仿宋_GB2312" w:cs="仿宋_GB2312"/>
          <w:color w:val="auto"/>
          <w:kern w:val="0"/>
          <w:sz w:val="32"/>
          <w:szCs w:val="32"/>
          <w:lang w:val="en-US" w:eastAsia="zh-CN"/>
        </w:rPr>
        <w:t>育成</w:t>
      </w:r>
      <w:r>
        <w:rPr>
          <w:rFonts w:hint="eastAsia" w:ascii="仿宋_GB2312" w:hAnsi="仿宋_GB2312" w:eastAsia="仿宋_GB2312" w:cs="仿宋_GB2312"/>
          <w:color w:val="auto"/>
          <w:kern w:val="0"/>
          <w:sz w:val="32"/>
          <w:szCs w:val="32"/>
          <w:lang w:val="en-US" w:eastAsia="zh-CN"/>
        </w:rPr>
        <w:t>进入</w:t>
      </w:r>
      <w:r>
        <w:rPr>
          <w:rFonts w:hint="eastAsia" w:ascii="仿宋_GB2312" w:hAnsi="仿宋_GB2312" w:eastAsia="仿宋_GB2312" w:cs="仿宋_GB2312"/>
          <w:color w:val="auto"/>
          <w:kern w:val="0"/>
          <w:sz w:val="32"/>
          <w:szCs w:val="32"/>
          <w:highlight w:val="none"/>
          <w:lang w:val="en-US" w:eastAsia="zh-CN"/>
        </w:rPr>
        <w:t>国家（含广东的熟组）或省</w:t>
      </w:r>
      <w:r>
        <w:rPr>
          <w:rFonts w:hint="eastAsia" w:ascii="仿宋_GB2312" w:hAnsi="仿宋_GB2312" w:eastAsia="仿宋_GB2312" w:cs="仿宋_GB2312"/>
          <w:color w:val="auto"/>
          <w:kern w:val="0"/>
          <w:sz w:val="32"/>
          <w:szCs w:val="32"/>
          <w:lang w:val="en-US" w:eastAsia="zh-CN"/>
        </w:rPr>
        <w:t>品种</w:t>
      </w:r>
      <w:r>
        <w:rPr>
          <w:rFonts w:hint="eastAsia" w:ascii="仿宋_GB2312" w:hAnsi="仿宋_GB2312" w:eastAsia="仿宋_GB2312" w:cs="仿宋_GB2312"/>
          <w:color w:val="auto"/>
          <w:kern w:val="0"/>
          <w:sz w:val="32"/>
          <w:szCs w:val="32"/>
          <w:highlight w:val="none"/>
          <w:lang w:val="en-US" w:eastAsia="zh-CN"/>
        </w:rPr>
        <w:t>区域</w:t>
      </w:r>
      <w:r>
        <w:rPr>
          <w:rFonts w:hint="eastAsia" w:ascii="仿宋_GB2312" w:hAnsi="仿宋_GB2312" w:eastAsia="仿宋_GB2312" w:cs="仿宋_GB2312"/>
          <w:color w:val="auto"/>
          <w:kern w:val="0"/>
          <w:sz w:val="32"/>
          <w:szCs w:val="32"/>
          <w:lang w:val="en-US" w:eastAsia="zh-CN"/>
        </w:rPr>
        <w:t>试验复试品种1个以上。</w:t>
      </w:r>
      <w:r>
        <w:rPr>
          <w:rFonts w:hint="default" w:ascii="仿宋_GB2312" w:hAnsi="仿宋_GB2312" w:eastAsia="仿宋_GB2312" w:cs="仿宋_GB2312"/>
          <w:color w:val="auto"/>
          <w:kern w:val="0"/>
          <w:sz w:val="32"/>
          <w:szCs w:val="32"/>
          <w:lang w:val="en-US" w:eastAsia="zh-CN"/>
        </w:rPr>
        <w:t>育成的优质稻品种有突破性进展，在保持品质、抗病性的基础上，</w:t>
      </w:r>
      <w:r>
        <w:rPr>
          <w:rFonts w:hint="eastAsia" w:ascii="仿宋_GB2312" w:hAnsi="仿宋_GB2312" w:eastAsia="仿宋_GB2312" w:cs="仿宋_GB2312"/>
          <w:color w:val="auto"/>
          <w:kern w:val="0"/>
          <w:sz w:val="32"/>
          <w:szCs w:val="32"/>
          <w:lang w:val="en-US" w:eastAsia="zh-CN"/>
        </w:rPr>
        <w:t>区试产量比对照种</w:t>
      </w:r>
      <w:r>
        <w:rPr>
          <w:rFonts w:hint="default" w:ascii="仿宋_GB2312" w:hAnsi="仿宋_GB2312" w:eastAsia="仿宋_GB2312" w:cs="仿宋_GB2312"/>
          <w:color w:val="auto"/>
          <w:kern w:val="0"/>
          <w:sz w:val="32"/>
          <w:szCs w:val="32"/>
          <w:lang w:val="en-US" w:eastAsia="zh-CN"/>
        </w:rPr>
        <w:t>增产10%</w:t>
      </w:r>
      <w:r>
        <w:rPr>
          <w:rFonts w:hint="eastAsia" w:ascii="仿宋_GB2312" w:hAnsi="仿宋_GB2312" w:eastAsia="仿宋_GB2312" w:cs="仿宋_GB2312"/>
          <w:color w:val="auto"/>
          <w:kern w:val="0"/>
          <w:sz w:val="32"/>
          <w:szCs w:val="32"/>
          <w:lang w:eastAsia="zh-CN"/>
        </w:rPr>
        <w:t>以上或增产达极显著水平</w:t>
      </w:r>
      <w:r>
        <w:rPr>
          <w:rFonts w:hint="default" w:ascii="仿宋_GB2312" w:hAnsi="仿宋_GB2312" w:eastAsia="仿宋_GB2312" w:cs="仿宋_GB2312"/>
          <w:color w:val="auto"/>
          <w:kern w:val="0"/>
          <w:sz w:val="32"/>
          <w:szCs w:val="32"/>
          <w:lang w:val="en-US" w:eastAsia="zh-CN"/>
        </w:rPr>
        <w:t>；或保持产量、品质的基础上，抗病性显著提升。</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（3）申报对象及条件</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①由省级及中央驻粤涉农科研机构、高等院校以及企业申报。</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②申报对象具有较完善的项目和财务管理制度，信用记录良好。</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③申报对象是企业的，</w:t>
      </w:r>
      <w:r>
        <w:rPr>
          <w:rFonts w:hint="eastAsia" w:ascii="仿宋_GB2312" w:hAnsi="仿宋_GB2312" w:eastAsia="仿宋_GB2312" w:cs="仿宋_GB2312"/>
          <w:color w:val="auto"/>
          <w:kern w:val="0"/>
          <w:sz w:val="32"/>
          <w:szCs w:val="32"/>
          <w:lang w:eastAsia="zh-CN"/>
        </w:rPr>
        <w:t>应具有农作物种子生产经营许可证，</w:t>
      </w:r>
      <w:r>
        <w:rPr>
          <w:rFonts w:hint="eastAsia" w:ascii="仿宋_GB2312" w:hAnsi="仿宋_GB2312" w:eastAsia="仿宋_GB2312" w:cs="仿宋_GB2312"/>
          <w:color w:val="auto"/>
          <w:kern w:val="0"/>
          <w:sz w:val="32"/>
          <w:szCs w:val="32"/>
        </w:rPr>
        <w:t>具备开展品种培育、品种试验、良种繁育等基础设施条件。</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（4）实施周期和资金额度</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原则上</w:t>
      </w:r>
      <w:r>
        <w:rPr>
          <w:rFonts w:hint="eastAsia" w:ascii="仿宋_GB2312" w:hAnsi="仿宋_GB2312" w:eastAsia="仿宋_GB2312" w:cs="仿宋_GB2312"/>
          <w:color w:val="auto"/>
          <w:kern w:val="0"/>
          <w:sz w:val="32"/>
          <w:szCs w:val="32"/>
        </w:rPr>
        <w:t>项目实施周期为3年。项目</w:t>
      </w:r>
      <w:r>
        <w:rPr>
          <w:rFonts w:hint="eastAsia" w:ascii="仿宋_GB2312" w:hAnsi="仿宋_GB2312" w:eastAsia="仿宋_GB2312" w:cs="仿宋_GB2312"/>
          <w:color w:val="auto"/>
          <w:kern w:val="0"/>
          <w:sz w:val="32"/>
          <w:szCs w:val="32"/>
          <w:lang w:eastAsia="zh-CN"/>
        </w:rPr>
        <w:t>申报</w:t>
      </w:r>
      <w:r>
        <w:rPr>
          <w:rFonts w:hint="eastAsia" w:ascii="仿宋_GB2312" w:hAnsi="仿宋_GB2312" w:eastAsia="仿宋_GB2312" w:cs="仿宋_GB2312"/>
          <w:color w:val="auto"/>
          <w:kern w:val="0"/>
          <w:sz w:val="32"/>
          <w:szCs w:val="32"/>
        </w:rPr>
        <w:t>单位根据实际需求自行测算项目需求金额，2022年资金额度原则上不超过100万元，在申报书中提供资金测算过程及测算依据。最终资金补助金额以我单位测算核实为准。</w:t>
      </w:r>
      <w:r>
        <w:rPr>
          <w:rFonts w:hint="eastAsia" w:ascii="仿宋_GB2312" w:hAnsi="仿宋_GB2312" w:eastAsia="仿宋_GB2312" w:cs="仿宋_GB2312"/>
          <w:color w:val="auto"/>
          <w:kern w:val="0"/>
          <w:sz w:val="32"/>
          <w:szCs w:val="32"/>
          <w:lang w:eastAsia="zh-CN"/>
        </w:rPr>
        <w:t>项目预算金额测算是否详细、合理将纳入评审标准。</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5</w:t>
      </w:r>
      <w:r>
        <w:rPr>
          <w:rFonts w:hint="eastAsia" w:ascii="仿宋_GB2312" w:hAnsi="仿宋_GB2312" w:eastAsia="仿宋_GB2312" w:cs="仿宋_GB2312"/>
          <w:b/>
          <w:bCs/>
          <w:color w:val="auto"/>
          <w:kern w:val="0"/>
          <w:sz w:val="32"/>
          <w:szCs w:val="32"/>
          <w:lang w:eastAsia="zh-CN"/>
        </w:rPr>
        <w:t>）考核要求</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省农业农村厅根据项目榜单制定的年度计划和目标，</w:t>
      </w:r>
      <w:r>
        <w:rPr>
          <w:rFonts w:hint="eastAsia" w:ascii="仿宋_GB2312" w:hAnsi="仿宋_GB2312" w:eastAsia="仿宋_GB2312" w:cs="仿宋_GB2312"/>
          <w:color w:val="auto"/>
          <w:kern w:val="0"/>
          <w:sz w:val="32"/>
          <w:szCs w:val="32"/>
          <w:lang w:eastAsia="zh-CN"/>
        </w:rPr>
        <w:t>适时</w:t>
      </w:r>
      <w:r>
        <w:rPr>
          <w:rFonts w:hint="eastAsia" w:ascii="仿宋_GB2312" w:hAnsi="仿宋_GB2312" w:eastAsia="仿宋_GB2312" w:cs="仿宋_GB2312"/>
          <w:color w:val="auto"/>
          <w:kern w:val="0"/>
          <w:sz w:val="32"/>
          <w:szCs w:val="32"/>
        </w:rPr>
        <w:t>组织专家对</w:t>
      </w:r>
      <w:r>
        <w:rPr>
          <w:rFonts w:hint="eastAsia" w:ascii="仿宋_GB2312" w:hAnsi="仿宋_GB2312" w:eastAsia="仿宋_GB2312" w:cs="仿宋_GB2312"/>
          <w:color w:val="auto"/>
          <w:kern w:val="0"/>
          <w:sz w:val="32"/>
          <w:szCs w:val="32"/>
          <w:lang w:eastAsia="zh-CN"/>
        </w:rPr>
        <w:t>项目年度</w:t>
      </w:r>
      <w:r>
        <w:rPr>
          <w:rFonts w:hint="eastAsia" w:ascii="仿宋_GB2312" w:hAnsi="仿宋_GB2312" w:eastAsia="仿宋_GB2312" w:cs="仿宋_GB2312"/>
          <w:color w:val="auto"/>
          <w:kern w:val="0"/>
          <w:sz w:val="32"/>
          <w:szCs w:val="32"/>
        </w:rPr>
        <w:t>目标完成情况进行</w:t>
      </w:r>
      <w:r>
        <w:rPr>
          <w:rFonts w:hint="eastAsia" w:ascii="仿宋_GB2312" w:hAnsi="仿宋_GB2312" w:eastAsia="仿宋_GB2312" w:cs="仿宋_GB2312"/>
          <w:color w:val="auto"/>
          <w:kern w:val="0"/>
          <w:sz w:val="32"/>
          <w:szCs w:val="32"/>
          <w:lang w:eastAsia="zh-CN"/>
        </w:rPr>
        <w:t>考核，</w:t>
      </w:r>
      <w:r>
        <w:rPr>
          <w:rFonts w:hint="eastAsia" w:ascii="仿宋_GB2312" w:hAnsi="仿宋_GB2312" w:eastAsia="仿宋_GB2312" w:cs="仿宋_GB2312"/>
          <w:color w:val="auto"/>
          <w:kern w:val="0"/>
          <w:sz w:val="32"/>
          <w:szCs w:val="32"/>
        </w:rPr>
        <w:t>一年后按“</w:t>
      </w:r>
      <w:r>
        <w:rPr>
          <w:rFonts w:hint="eastAsia" w:ascii="仿宋_GB2312" w:hAnsi="仿宋_GB2312" w:eastAsia="仿宋_GB2312" w:cs="仿宋_GB2312"/>
          <w:color w:val="auto"/>
          <w:kern w:val="0"/>
          <w:sz w:val="32"/>
          <w:szCs w:val="32"/>
          <w:lang w:eastAsia="zh-CN"/>
        </w:rPr>
        <w:t>三</w:t>
      </w:r>
      <w:r>
        <w:rPr>
          <w:rFonts w:hint="eastAsia" w:ascii="仿宋_GB2312" w:hAnsi="仿宋_GB2312" w:eastAsia="仿宋_GB2312" w:cs="仿宋_GB2312"/>
          <w:color w:val="auto"/>
          <w:kern w:val="0"/>
          <w:sz w:val="32"/>
          <w:szCs w:val="32"/>
        </w:rPr>
        <w:t>进二”考核淘汰，两年后按“二进一”考核淘汰。后续年度资金</w:t>
      </w:r>
      <w:r>
        <w:rPr>
          <w:rFonts w:hint="eastAsia" w:ascii="仿宋_GB2312" w:hAnsi="仿宋_GB2312" w:eastAsia="仿宋_GB2312" w:cs="仿宋_GB2312"/>
          <w:color w:val="auto"/>
          <w:kern w:val="0"/>
          <w:sz w:val="32"/>
          <w:szCs w:val="32"/>
          <w:lang w:eastAsia="zh-CN"/>
        </w:rPr>
        <w:t>将根据上一年</w:t>
      </w:r>
      <w:r>
        <w:rPr>
          <w:rFonts w:hint="eastAsia" w:ascii="仿宋_GB2312" w:hAnsi="仿宋_GB2312" w:eastAsia="仿宋_GB2312" w:cs="仿宋_GB2312"/>
          <w:color w:val="auto"/>
          <w:kern w:val="0"/>
          <w:sz w:val="32"/>
          <w:szCs w:val="32"/>
        </w:rPr>
        <w:t>度资金</w:t>
      </w:r>
      <w:r>
        <w:rPr>
          <w:rFonts w:hint="eastAsia" w:ascii="仿宋_GB2312" w:hAnsi="仿宋_GB2312" w:eastAsia="仿宋_GB2312" w:cs="仿宋_GB2312"/>
          <w:color w:val="auto"/>
          <w:kern w:val="0"/>
          <w:sz w:val="32"/>
          <w:szCs w:val="32"/>
          <w:lang w:eastAsia="zh-CN"/>
        </w:rPr>
        <w:t>使用情况叠加</w:t>
      </w:r>
      <w:r>
        <w:rPr>
          <w:rFonts w:hint="eastAsia" w:ascii="仿宋_GB2312" w:hAnsi="仿宋_GB2312" w:eastAsia="仿宋_GB2312" w:cs="仿宋_GB2312"/>
          <w:color w:val="auto"/>
          <w:kern w:val="0"/>
          <w:sz w:val="32"/>
          <w:szCs w:val="32"/>
        </w:rPr>
        <w:t>安排。</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待项目持续支持3年后，由省农业农村厅组织开展项目总体绩效考核，达到</w:t>
      </w:r>
      <w:r>
        <w:rPr>
          <w:rFonts w:hint="eastAsia" w:ascii="仿宋_GB2312" w:hAnsi="仿宋_GB2312" w:eastAsia="仿宋_GB2312" w:cs="仿宋_GB2312"/>
          <w:color w:val="auto"/>
          <w:kern w:val="0"/>
          <w:sz w:val="32"/>
          <w:szCs w:val="32"/>
          <w:lang w:eastAsia="zh-CN"/>
        </w:rPr>
        <w:t>项目</w:t>
      </w:r>
      <w:r>
        <w:rPr>
          <w:rFonts w:hint="eastAsia" w:ascii="仿宋_GB2312" w:hAnsi="仿宋_GB2312" w:eastAsia="仿宋_GB2312" w:cs="仿宋_GB2312"/>
          <w:color w:val="auto"/>
          <w:kern w:val="0"/>
          <w:sz w:val="32"/>
          <w:szCs w:val="32"/>
        </w:rPr>
        <w:t>总体目标的，在后续种业振兴相关项目安排上予以倾斜；</w:t>
      </w:r>
      <w:r>
        <w:rPr>
          <w:rFonts w:hint="eastAsia" w:ascii="仿宋_GB2312" w:hAnsi="仿宋_GB2312" w:eastAsia="仿宋_GB2312" w:cs="仿宋_GB2312"/>
          <w:color w:val="auto"/>
          <w:kern w:val="0"/>
          <w:sz w:val="32"/>
          <w:szCs w:val="32"/>
          <w:lang w:eastAsia="zh-CN"/>
        </w:rPr>
        <w:t>因主观不努力等因素，导致</w:t>
      </w:r>
      <w:r>
        <w:rPr>
          <w:rFonts w:hint="eastAsia" w:ascii="仿宋_GB2312" w:hAnsi="仿宋_GB2312" w:eastAsia="仿宋_GB2312" w:cs="仿宋_GB2312"/>
          <w:color w:val="auto"/>
          <w:kern w:val="0"/>
          <w:sz w:val="32"/>
          <w:szCs w:val="32"/>
        </w:rPr>
        <w:t>未达到</w:t>
      </w:r>
      <w:r>
        <w:rPr>
          <w:rFonts w:hint="eastAsia" w:ascii="仿宋_GB2312" w:hAnsi="仿宋_GB2312" w:eastAsia="仿宋_GB2312" w:cs="仿宋_GB2312"/>
          <w:color w:val="auto"/>
          <w:kern w:val="0"/>
          <w:sz w:val="32"/>
          <w:szCs w:val="32"/>
          <w:lang w:eastAsia="zh-CN"/>
        </w:rPr>
        <w:t>项目</w:t>
      </w:r>
      <w:r>
        <w:rPr>
          <w:rFonts w:hint="eastAsia" w:ascii="仿宋_GB2312" w:hAnsi="仿宋_GB2312" w:eastAsia="仿宋_GB2312" w:cs="仿宋_GB2312"/>
          <w:color w:val="auto"/>
          <w:kern w:val="0"/>
          <w:sz w:val="32"/>
          <w:szCs w:val="32"/>
        </w:rPr>
        <w:t>总体目标的或者无法按照计划顺利实施的，将对项目承担单位予以通报，并在后续种业振兴相关项目安排上予以限制。</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项目成果需由省农业农村厅进行登记、备案和发布。</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5.项目名称：油料作物新品种培育及示范推广</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（1）项目需求</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围绕大豆、花生等油料作物开展</w:t>
      </w:r>
      <w:r>
        <w:rPr>
          <w:rFonts w:hint="eastAsia" w:ascii="仿宋_GB2312" w:hAnsi="仿宋_GB2312" w:eastAsia="仿宋_GB2312" w:cs="仿宋_GB2312"/>
          <w:color w:val="auto"/>
          <w:kern w:val="0"/>
          <w:sz w:val="32"/>
          <w:szCs w:val="32"/>
          <w:lang w:eastAsia="zh-CN"/>
        </w:rPr>
        <w:t>突破性</w:t>
      </w:r>
      <w:r>
        <w:rPr>
          <w:rFonts w:hint="eastAsia" w:ascii="仿宋_GB2312" w:hAnsi="仿宋_GB2312" w:eastAsia="仿宋_GB2312" w:cs="仿宋_GB2312"/>
          <w:color w:val="auto"/>
          <w:kern w:val="0"/>
          <w:sz w:val="32"/>
          <w:szCs w:val="32"/>
        </w:rPr>
        <w:t>品种</w:t>
      </w:r>
      <w:r>
        <w:rPr>
          <w:rFonts w:hint="eastAsia" w:ascii="仿宋_GB2312" w:hAnsi="仿宋_GB2312" w:eastAsia="仿宋_GB2312" w:cs="仿宋_GB2312"/>
          <w:color w:val="auto"/>
          <w:kern w:val="0"/>
          <w:sz w:val="32"/>
          <w:szCs w:val="32"/>
          <w:lang w:eastAsia="zh-CN"/>
        </w:rPr>
        <w:t>培育</w:t>
      </w:r>
      <w:r>
        <w:rPr>
          <w:rFonts w:hint="eastAsia" w:ascii="仿宋_GB2312" w:hAnsi="仿宋_GB2312" w:eastAsia="仿宋_GB2312" w:cs="仿宋_GB2312"/>
          <w:color w:val="auto"/>
          <w:kern w:val="0"/>
          <w:sz w:val="32"/>
          <w:szCs w:val="32"/>
        </w:rPr>
        <w:t>，以高产、高油、优质、抗逆等为目标，利用分子标记辅助选择、基因组选择、基因编辑等现代前沿育种技术，结合常规育种手段，开展优异种质资源创制，定向精准改良品种，培育一批高产、高油</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优质、</w:t>
      </w:r>
      <w:r>
        <w:rPr>
          <w:rFonts w:hint="eastAsia" w:ascii="仿宋_GB2312" w:hAnsi="仿宋_GB2312" w:eastAsia="仿宋_GB2312" w:cs="仿宋_GB2312"/>
          <w:color w:val="auto"/>
          <w:kern w:val="0"/>
          <w:sz w:val="32"/>
          <w:szCs w:val="32"/>
          <w:lang w:eastAsia="zh-CN"/>
        </w:rPr>
        <w:t>抗逆</w:t>
      </w:r>
      <w:r>
        <w:rPr>
          <w:rFonts w:hint="eastAsia" w:ascii="仿宋_GB2312" w:hAnsi="仿宋_GB2312" w:eastAsia="仿宋_GB2312" w:cs="仿宋_GB2312"/>
          <w:color w:val="auto"/>
          <w:kern w:val="0"/>
          <w:sz w:val="32"/>
          <w:szCs w:val="32"/>
        </w:rPr>
        <w:t>新品种。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（2）绩效目标</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第一年目标：</w:t>
      </w:r>
      <w:r>
        <w:rPr>
          <w:rFonts w:hint="eastAsia" w:ascii="仿宋_GB2312" w:hAnsi="仿宋_GB2312" w:eastAsia="仿宋_GB2312" w:cs="仿宋_GB2312"/>
          <w:color w:val="auto"/>
          <w:kern w:val="0"/>
          <w:sz w:val="32"/>
          <w:szCs w:val="32"/>
          <w:lang w:val="en-US" w:eastAsia="zh-CN"/>
        </w:rPr>
        <w:t>筛选包含目标性状的育种群体1个，创制包含目标性状的新材料5份以上。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第二年目标：</w:t>
      </w:r>
      <w:r>
        <w:rPr>
          <w:rFonts w:hint="eastAsia" w:ascii="仿宋_GB2312" w:hAnsi="仿宋_GB2312" w:eastAsia="仿宋_GB2312" w:cs="仿宋_GB2312"/>
          <w:color w:val="auto"/>
          <w:kern w:val="0"/>
          <w:sz w:val="32"/>
          <w:szCs w:val="32"/>
          <w:lang w:val="en-US" w:eastAsia="zh-CN"/>
        </w:rPr>
        <w:t>筛选包含目标性状的育种群体2个，创制包含目标性状的新材料8份以上。</w:t>
      </w:r>
    </w:p>
    <w:p>
      <w:pPr>
        <w:adjustRightInd w:val="0"/>
        <w:snapToGrid w:val="0"/>
        <w:spacing w:beforeLines="0" w:afterLines="0" w:line="590" w:lineRule="exact"/>
        <w:ind w:firstLine="643" w:firstLineChars="200"/>
        <w:jc w:val="both"/>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第三年目标：</w:t>
      </w:r>
      <w:r>
        <w:rPr>
          <w:rFonts w:hint="eastAsia" w:ascii="仿宋_GB2312" w:hAnsi="仿宋_GB2312" w:eastAsia="仿宋_GB2312" w:cs="仿宋_GB2312"/>
          <w:color w:val="auto"/>
          <w:kern w:val="0"/>
          <w:sz w:val="32"/>
          <w:szCs w:val="32"/>
          <w:lang w:val="en-US" w:eastAsia="zh-CN"/>
        </w:rPr>
        <w:t>育成新品种1个以上，并通过品种审定或登记。</w:t>
      </w:r>
      <w:r>
        <w:rPr>
          <w:rFonts w:hint="default" w:ascii="仿宋_GB2312" w:hAnsi="仿宋_GB2312" w:eastAsia="仿宋_GB2312" w:cs="仿宋_GB2312"/>
          <w:color w:val="auto"/>
          <w:kern w:val="0"/>
          <w:sz w:val="32"/>
          <w:szCs w:val="32"/>
          <w:lang w:val="en-US" w:eastAsia="zh-CN"/>
        </w:rPr>
        <w:t>育成</w:t>
      </w:r>
      <w:r>
        <w:rPr>
          <w:rFonts w:hint="eastAsia" w:ascii="仿宋_GB2312" w:hAnsi="仿宋_GB2312" w:eastAsia="仿宋_GB2312" w:cs="仿宋_GB2312"/>
          <w:color w:val="auto"/>
          <w:kern w:val="0"/>
          <w:sz w:val="32"/>
          <w:szCs w:val="32"/>
          <w:lang w:val="en-US" w:eastAsia="zh-CN"/>
        </w:rPr>
        <w:t>的</w:t>
      </w:r>
      <w:r>
        <w:rPr>
          <w:rFonts w:hint="default" w:ascii="仿宋_GB2312" w:hAnsi="仿宋_GB2312" w:eastAsia="仿宋_GB2312" w:cs="仿宋_GB2312"/>
          <w:color w:val="auto"/>
          <w:kern w:val="0"/>
          <w:sz w:val="32"/>
          <w:szCs w:val="32"/>
          <w:lang w:val="en-US" w:eastAsia="zh-CN"/>
        </w:rPr>
        <w:t>品种有突破性进展，在保持品质、抗性的基础上，</w:t>
      </w:r>
      <w:r>
        <w:rPr>
          <w:rFonts w:hint="eastAsia" w:ascii="仿宋_GB2312" w:hAnsi="仿宋_GB2312" w:eastAsia="仿宋_GB2312" w:cs="仿宋_GB2312"/>
          <w:color w:val="auto"/>
          <w:kern w:val="0"/>
          <w:sz w:val="32"/>
          <w:szCs w:val="32"/>
          <w:lang w:val="en-US" w:eastAsia="zh-CN"/>
        </w:rPr>
        <w:t>比对照</w:t>
      </w:r>
      <w:r>
        <w:rPr>
          <w:rFonts w:hint="default" w:ascii="仿宋_GB2312" w:hAnsi="仿宋_GB2312" w:eastAsia="仿宋_GB2312" w:cs="仿宋_GB2312"/>
          <w:color w:val="auto"/>
          <w:kern w:val="0"/>
          <w:sz w:val="32"/>
          <w:szCs w:val="32"/>
          <w:lang w:val="en-US" w:eastAsia="zh-CN"/>
        </w:rPr>
        <w:t>品种增产10%</w:t>
      </w:r>
      <w:r>
        <w:rPr>
          <w:rFonts w:hint="eastAsia" w:ascii="仿宋_GB2312" w:hAnsi="仿宋_GB2312" w:eastAsia="仿宋_GB2312" w:cs="仿宋_GB2312"/>
          <w:color w:val="auto"/>
          <w:kern w:val="0"/>
          <w:sz w:val="32"/>
          <w:szCs w:val="32"/>
          <w:lang w:eastAsia="zh-CN"/>
        </w:rPr>
        <w:t>以上</w:t>
      </w:r>
      <w:r>
        <w:rPr>
          <w:rFonts w:hint="default" w:ascii="仿宋_GB2312" w:hAnsi="仿宋_GB2312" w:eastAsia="仿宋_GB2312" w:cs="仿宋_GB2312"/>
          <w:color w:val="auto"/>
          <w:kern w:val="0"/>
          <w:sz w:val="32"/>
          <w:szCs w:val="32"/>
          <w:lang w:val="en-US" w:eastAsia="zh-CN"/>
        </w:rPr>
        <w:t>；或者保持产量、品质的基础上，含油量显著提升。所选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主栽的已登记（审定）品种。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（3）申报对象及条件</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①由省级及中央驻粤涉农科研机构、高等院校以及企业申报。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②申报对象具有较完善的项目和财务管理制度，信用记录良好。</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③申报对象是企业的，应</w:t>
      </w:r>
      <w:r>
        <w:rPr>
          <w:rFonts w:hint="eastAsia" w:ascii="仿宋_GB2312" w:hAnsi="仿宋_GB2312" w:eastAsia="仿宋_GB2312" w:cs="仿宋_GB2312"/>
          <w:color w:val="auto"/>
          <w:kern w:val="0"/>
          <w:sz w:val="32"/>
          <w:szCs w:val="32"/>
          <w:lang w:eastAsia="zh-CN"/>
        </w:rPr>
        <w:t>具有农作物种子生产经营许可证，</w:t>
      </w:r>
      <w:r>
        <w:rPr>
          <w:rFonts w:hint="eastAsia" w:ascii="仿宋_GB2312" w:hAnsi="仿宋_GB2312" w:eastAsia="仿宋_GB2312" w:cs="仿宋_GB2312"/>
          <w:color w:val="auto"/>
          <w:kern w:val="0"/>
          <w:sz w:val="32"/>
          <w:szCs w:val="32"/>
        </w:rPr>
        <w:t>具备开展品种培育、品种试验、良种繁育等基础设施条件。</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（4）实施周期和资金额度</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项目实施周期为3年。项目</w:t>
      </w:r>
      <w:r>
        <w:rPr>
          <w:rFonts w:hint="eastAsia" w:ascii="仿宋_GB2312" w:hAnsi="仿宋_GB2312" w:eastAsia="仿宋_GB2312" w:cs="仿宋_GB2312"/>
          <w:color w:val="auto"/>
          <w:kern w:val="0"/>
          <w:sz w:val="32"/>
          <w:szCs w:val="32"/>
          <w:lang w:eastAsia="zh-CN"/>
        </w:rPr>
        <w:t>申报</w:t>
      </w:r>
      <w:r>
        <w:rPr>
          <w:rFonts w:hint="eastAsia" w:ascii="仿宋_GB2312" w:hAnsi="仿宋_GB2312" w:eastAsia="仿宋_GB2312" w:cs="仿宋_GB2312"/>
          <w:color w:val="auto"/>
          <w:kern w:val="0"/>
          <w:sz w:val="32"/>
          <w:szCs w:val="32"/>
        </w:rPr>
        <w:t>单位根据实际需求自行测算项目需求金额，2022年资金额度原则上不超过100万元，在申报书中提供资金测算过程及测算依据。最终资金补助金额以我单位测算核实为准。</w:t>
      </w:r>
      <w:r>
        <w:rPr>
          <w:rFonts w:hint="eastAsia" w:ascii="仿宋_GB2312" w:hAnsi="仿宋_GB2312" w:eastAsia="仿宋_GB2312" w:cs="仿宋_GB2312"/>
          <w:color w:val="auto"/>
          <w:kern w:val="0"/>
          <w:sz w:val="32"/>
          <w:szCs w:val="32"/>
          <w:lang w:eastAsia="zh-CN"/>
        </w:rPr>
        <w:t>项目预算金额测算是否详细、合理将纳入评审标准。</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5</w:t>
      </w:r>
      <w:r>
        <w:rPr>
          <w:rFonts w:hint="eastAsia" w:ascii="仿宋_GB2312" w:hAnsi="仿宋_GB2312" w:eastAsia="仿宋_GB2312" w:cs="仿宋_GB2312"/>
          <w:b/>
          <w:bCs/>
          <w:color w:val="auto"/>
          <w:kern w:val="0"/>
          <w:sz w:val="32"/>
          <w:szCs w:val="32"/>
          <w:lang w:eastAsia="zh-CN"/>
        </w:rPr>
        <w:t>）考核要求</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省农业农村厅根据项目榜单制定的年度计划和目标，</w:t>
      </w:r>
      <w:r>
        <w:rPr>
          <w:rFonts w:hint="eastAsia" w:ascii="仿宋_GB2312" w:hAnsi="仿宋_GB2312" w:eastAsia="仿宋_GB2312" w:cs="仿宋_GB2312"/>
          <w:color w:val="auto"/>
          <w:kern w:val="0"/>
          <w:sz w:val="32"/>
          <w:szCs w:val="32"/>
          <w:lang w:eastAsia="zh-CN"/>
        </w:rPr>
        <w:t>适时</w:t>
      </w:r>
      <w:r>
        <w:rPr>
          <w:rFonts w:hint="eastAsia" w:ascii="仿宋_GB2312" w:hAnsi="仿宋_GB2312" w:eastAsia="仿宋_GB2312" w:cs="仿宋_GB2312"/>
          <w:color w:val="auto"/>
          <w:kern w:val="0"/>
          <w:sz w:val="32"/>
          <w:szCs w:val="32"/>
        </w:rPr>
        <w:t>组织专家对</w:t>
      </w:r>
      <w:r>
        <w:rPr>
          <w:rFonts w:hint="eastAsia" w:ascii="仿宋_GB2312" w:hAnsi="仿宋_GB2312" w:eastAsia="仿宋_GB2312" w:cs="仿宋_GB2312"/>
          <w:color w:val="auto"/>
          <w:kern w:val="0"/>
          <w:sz w:val="32"/>
          <w:szCs w:val="32"/>
          <w:lang w:eastAsia="zh-CN"/>
        </w:rPr>
        <w:t>项目年度</w:t>
      </w:r>
      <w:r>
        <w:rPr>
          <w:rFonts w:hint="eastAsia" w:ascii="仿宋_GB2312" w:hAnsi="仿宋_GB2312" w:eastAsia="仿宋_GB2312" w:cs="仿宋_GB2312"/>
          <w:color w:val="auto"/>
          <w:kern w:val="0"/>
          <w:sz w:val="32"/>
          <w:szCs w:val="32"/>
        </w:rPr>
        <w:t>目标完成情况进行</w:t>
      </w:r>
      <w:r>
        <w:rPr>
          <w:rFonts w:hint="eastAsia" w:ascii="仿宋_GB2312" w:hAnsi="仿宋_GB2312" w:eastAsia="仿宋_GB2312" w:cs="仿宋_GB2312"/>
          <w:color w:val="auto"/>
          <w:kern w:val="0"/>
          <w:sz w:val="32"/>
          <w:szCs w:val="32"/>
          <w:lang w:eastAsia="zh-CN"/>
        </w:rPr>
        <w:t>考核，</w:t>
      </w:r>
      <w:r>
        <w:rPr>
          <w:rFonts w:hint="eastAsia" w:ascii="仿宋_GB2312" w:hAnsi="仿宋_GB2312" w:eastAsia="仿宋_GB2312" w:cs="仿宋_GB2312"/>
          <w:color w:val="auto"/>
          <w:kern w:val="0"/>
          <w:sz w:val="32"/>
          <w:szCs w:val="32"/>
        </w:rPr>
        <w:t>一年后按“</w:t>
      </w:r>
      <w:r>
        <w:rPr>
          <w:rFonts w:hint="eastAsia" w:ascii="仿宋_GB2312" w:hAnsi="仿宋_GB2312" w:eastAsia="仿宋_GB2312" w:cs="仿宋_GB2312"/>
          <w:color w:val="auto"/>
          <w:kern w:val="0"/>
          <w:sz w:val="32"/>
          <w:szCs w:val="32"/>
          <w:lang w:eastAsia="zh-CN"/>
        </w:rPr>
        <w:t>三</w:t>
      </w:r>
      <w:r>
        <w:rPr>
          <w:rFonts w:hint="eastAsia" w:ascii="仿宋_GB2312" w:hAnsi="仿宋_GB2312" w:eastAsia="仿宋_GB2312" w:cs="仿宋_GB2312"/>
          <w:color w:val="auto"/>
          <w:kern w:val="0"/>
          <w:sz w:val="32"/>
          <w:szCs w:val="32"/>
        </w:rPr>
        <w:t>进二”考核淘汰，两年后按“二进一”考核淘汰。后续年度资金</w:t>
      </w:r>
      <w:r>
        <w:rPr>
          <w:rFonts w:hint="eastAsia" w:ascii="仿宋_GB2312" w:hAnsi="仿宋_GB2312" w:eastAsia="仿宋_GB2312" w:cs="仿宋_GB2312"/>
          <w:color w:val="auto"/>
          <w:kern w:val="0"/>
          <w:sz w:val="32"/>
          <w:szCs w:val="32"/>
          <w:lang w:eastAsia="zh-CN"/>
        </w:rPr>
        <w:t>将根据上一年</w:t>
      </w:r>
      <w:r>
        <w:rPr>
          <w:rFonts w:hint="eastAsia" w:ascii="仿宋_GB2312" w:hAnsi="仿宋_GB2312" w:eastAsia="仿宋_GB2312" w:cs="仿宋_GB2312"/>
          <w:color w:val="auto"/>
          <w:kern w:val="0"/>
          <w:sz w:val="32"/>
          <w:szCs w:val="32"/>
        </w:rPr>
        <w:t>度资金</w:t>
      </w:r>
      <w:r>
        <w:rPr>
          <w:rFonts w:hint="eastAsia" w:ascii="仿宋_GB2312" w:hAnsi="仿宋_GB2312" w:eastAsia="仿宋_GB2312" w:cs="仿宋_GB2312"/>
          <w:color w:val="auto"/>
          <w:kern w:val="0"/>
          <w:sz w:val="32"/>
          <w:szCs w:val="32"/>
          <w:lang w:eastAsia="zh-CN"/>
        </w:rPr>
        <w:t>使用情况叠加</w:t>
      </w:r>
      <w:r>
        <w:rPr>
          <w:rFonts w:hint="eastAsia" w:ascii="仿宋_GB2312" w:hAnsi="仿宋_GB2312" w:eastAsia="仿宋_GB2312" w:cs="仿宋_GB2312"/>
          <w:color w:val="auto"/>
          <w:kern w:val="0"/>
          <w:sz w:val="32"/>
          <w:szCs w:val="32"/>
        </w:rPr>
        <w:t>安排。</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待项目持续支持3年后，由省农业农村厅组织开展项目总体绩效考核，达到</w:t>
      </w:r>
      <w:r>
        <w:rPr>
          <w:rFonts w:hint="eastAsia" w:ascii="仿宋_GB2312" w:hAnsi="仿宋_GB2312" w:eastAsia="仿宋_GB2312" w:cs="仿宋_GB2312"/>
          <w:color w:val="auto"/>
          <w:kern w:val="0"/>
          <w:sz w:val="32"/>
          <w:szCs w:val="32"/>
          <w:lang w:eastAsia="zh-CN"/>
        </w:rPr>
        <w:t>项目</w:t>
      </w:r>
      <w:r>
        <w:rPr>
          <w:rFonts w:hint="eastAsia" w:ascii="仿宋_GB2312" w:hAnsi="仿宋_GB2312" w:eastAsia="仿宋_GB2312" w:cs="仿宋_GB2312"/>
          <w:color w:val="auto"/>
          <w:kern w:val="0"/>
          <w:sz w:val="32"/>
          <w:szCs w:val="32"/>
        </w:rPr>
        <w:t>总体目标的，在后续种业振兴相关项目安排上予以倾斜；</w:t>
      </w:r>
      <w:r>
        <w:rPr>
          <w:rFonts w:hint="eastAsia" w:ascii="仿宋_GB2312" w:hAnsi="仿宋_GB2312" w:eastAsia="仿宋_GB2312" w:cs="仿宋_GB2312"/>
          <w:color w:val="auto"/>
          <w:kern w:val="0"/>
          <w:sz w:val="32"/>
          <w:szCs w:val="32"/>
          <w:lang w:eastAsia="zh-CN"/>
        </w:rPr>
        <w:t>因主观不努力等因素，导致</w:t>
      </w:r>
      <w:r>
        <w:rPr>
          <w:rFonts w:hint="eastAsia" w:ascii="仿宋_GB2312" w:hAnsi="仿宋_GB2312" w:eastAsia="仿宋_GB2312" w:cs="仿宋_GB2312"/>
          <w:color w:val="auto"/>
          <w:kern w:val="0"/>
          <w:sz w:val="32"/>
          <w:szCs w:val="32"/>
        </w:rPr>
        <w:t>未达到</w:t>
      </w:r>
      <w:r>
        <w:rPr>
          <w:rFonts w:hint="eastAsia" w:ascii="仿宋_GB2312" w:hAnsi="仿宋_GB2312" w:eastAsia="仿宋_GB2312" w:cs="仿宋_GB2312"/>
          <w:color w:val="auto"/>
          <w:kern w:val="0"/>
          <w:sz w:val="32"/>
          <w:szCs w:val="32"/>
          <w:lang w:eastAsia="zh-CN"/>
        </w:rPr>
        <w:t>项目</w:t>
      </w:r>
      <w:r>
        <w:rPr>
          <w:rFonts w:hint="eastAsia" w:ascii="仿宋_GB2312" w:hAnsi="仿宋_GB2312" w:eastAsia="仿宋_GB2312" w:cs="仿宋_GB2312"/>
          <w:color w:val="auto"/>
          <w:kern w:val="0"/>
          <w:sz w:val="32"/>
          <w:szCs w:val="32"/>
        </w:rPr>
        <w:t>总体目标的或者无法按照计划顺利实施的，将对项目承担单位予以通报，并在后续种业振兴相关项目安排上予以限制。</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项目成果需由省农业农村厅进行登记、备案和发布。</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6.项目名称：叶菜类蔬菜新品种培育及示范推广</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（1）项目需求</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围绕菜心（苔）、小白菜、芥蓝等叶菜类蔬菜开展</w:t>
      </w:r>
      <w:r>
        <w:rPr>
          <w:rFonts w:hint="eastAsia" w:ascii="仿宋_GB2312" w:hAnsi="仿宋_GB2312" w:eastAsia="仿宋_GB2312" w:cs="仿宋_GB2312"/>
          <w:color w:val="auto"/>
          <w:kern w:val="0"/>
          <w:sz w:val="32"/>
          <w:szCs w:val="32"/>
          <w:lang w:eastAsia="zh-CN"/>
        </w:rPr>
        <w:t>突破性</w:t>
      </w:r>
      <w:r>
        <w:rPr>
          <w:rFonts w:hint="eastAsia" w:ascii="仿宋_GB2312" w:hAnsi="仿宋_GB2312" w:eastAsia="仿宋_GB2312" w:cs="仿宋_GB2312"/>
          <w:color w:val="auto"/>
          <w:kern w:val="0"/>
          <w:sz w:val="32"/>
          <w:szCs w:val="32"/>
        </w:rPr>
        <w:t>品种</w:t>
      </w:r>
      <w:r>
        <w:rPr>
          <w:rFonts w:hint="eastAsia" w:ascii="仿宋_GB2312" w:hAnsi="仿宋_GB2312" w:eastAsia="仿宋_GB2312" w:cs="仿宋_GB2312"/>
          <w:color w:val="auto"/>
          <w:kern w:val="0"/>
          <w:sz w:val="32"/>
          <w:szCs w:val="32"/>
          <w:lang w:eastAsia="zh-CN"/>
        </w:rPr>
        <w:t>培育</w:t>
      </w:r>
      <w:r>
        <w:rPr>
          <w:rFonts w:hint="eastAsia" w:ascii="仿宋_GB2312" w:hAnsi="仿宋_GB2312" w:eastAsia="仿宋_GB2312" w:cs="仿宋_GB2312"/>
          <w:color w:val="auto"/>
          <w:kern w:val="0"/>
          <w:sz w:val="32"/>
          <w:szCs w:val="32"/>
        </w:rPr>
        <w:t>，以优质、耐热、抗病为目标，利用分子标记辅助育种技术、单倍体育种技术和基因编辑等技术，结合常规育种方法，定向精准创新风味和营养品质优异的种质资源，培育风味好、抗病、耐热的华南特色叶菜类蔬菜新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（2）绩效目标</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第一年目标：</w:t>
      </w:r>
      <w:r>
        <w:rPr>
          <w:rFonts w:hint="eastAsia" w:ascii="仿宋_GB2312" w:hAnsi="仿宋_GB2312" w:eastAsia="仿宋_GB2312" w:cs="仿宋_GB2312"/>
          <w:color w:val="auto"/>
          <w:kern w:val="0"/>
          <w:sz w:val="32"/>
          <w:szCs w:val="32"/>
          <w:lang w:val="en-US" w:eastAsia="zh-CN"/>
        </w:rPr>
        <w:t>筛选包含目标性状的育种群体1个，创制包含目标性状的新材料5份以上。</w:t>
      </w:r>
    </w:p>
    <w:p>
      <w:pPr>
        <w:adjustRightInd w:val="0"/>
        <w:snapToGrid w:val="0"/>
        <w:spacing w:beforeLines="0" w:afterLines="0" w:line="590" w:lineRule="exact"/>
        <w:ind w:firstLine="643" w:firstLineChars="20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第二年目标：</w:t>
      </w:r>
      <w:r>
        <w:rPr>
          <w:rFonts w:hint="eastAsia" w:ascii="仿宋_GB2312" w:hAnsi="仿宋_GB2312" w:eastAsia="仿宋_GB2312" w:cs="仿宋_GB2312"/>
          <w:color w:val="auto"/>
          <w:kern w:val="0"/>
          <w:sz w:val="32"/>
          <w:szCs w:val="32"/>
          <w:lang w:val="en-US" w:eastAsia="zh-CN"/>
        </w:rPr>
        <w:t>筛选包含目标性状的育种群体2个，创制包含目标性状的新材料8份以上，育成新品系1个以上。</w:t>
      </w:r>
    </w:p>
    <w:p>
      <w:pPr>
        <w:adjustRightInd w:val="0"/>
        <w:snapToGrid w:val="0"/>
        <w:spacing w:beforeLines="0" w:afterLines="0" w:line="590" w:lineRule="exact"/>
        <w:ind w:firstLine="643" w:firstLineChars="200"/>
        <w:jc w:val="both"/>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第三年目标：</w:t>
      </w:r>
      <w:r>
        <w:rPr>
          <w:rFonts w:hint="eastAsia" w:ascii="仿宋_GB2312" w:hAnsi="仿宋_GB2312" w:eastAsia="仿宋_GB2312" w:cs="仿宋_GB2312"/>
          <w:color w:val="auto"/>
          <w:kern w:val="0"/>
          <w:sz w:val="32"/>
          <w:szCs w:val="32"/>
          <w:lang w:val="en-US" w:eastAsia="zh-CN"/>
        </w:rPr>
        <w:t>育成新品种1个以上，并通过省级品种现场鉴定或品种评定。</w:t>
      </w:r>
      <w:r>
        <w:rPr>
          <w:rFonts w:hint="default" w:ascii="仿宋_GB2312" w:hAnsi="仿宋_GB2312" w:eastAsia="仿宋_GB2312" w:cs="仿宋_GB2312"/>
          <w:color w:val="auto"/>
          <w:kern w:val="0"/>
          <w:sz w:val="32"/>
          <w:szCs w:val="32"/>
          <w:lang w:val="en-US" w:eastAsia="zh-CN"/>
        </w:rPr>
        <w:t>育成</w:t>
      </w:r>
      <w:r>
        <w:rPr>
          <w:rFonts w:hint="eastAsia" w:ascii="仿宋_GB2312" w:hAnsi="仿宋_GB2312" w:eastAsia="仿宋_GB2312" w:cs="仿宋_GB2312"/>
          <w:color w:val="auto"/>
          <w:kern w:val="0"/>
          <w:sz w:val="32"/>
          <w:szCs w:val="32"/>
          <w:lang w:val="en-US" w:eastAsia="zh-CN"/>
        </w:rPr>
        <w:t>的</w:t>
      </w:r>
      <w:r>
        <w:rPr>
          <w:rFonts w:hint="default" w:ascii="仿宋_GB2312" w:hAnsi="仿宋_GB2312" w:eastAsia="仿宋_GB2312" w:cs="仿宋_GB2312"/>
          <w:color w:val="auto"/>
          <w:kern w:val="0"/>
          <w:sz w:val="32"/>
          <w:szCs w:val="32"/>
          <w:lang w:val="en-US" w:eastAsia="zh-CN"/>
        </w:rPr>
        <w:t>品种有突破性进展，在保持品质、抗病性的基础上，</w:t>
      </w:r>
      <w:r>
        <w:rPr>
          <w:rFonts w:hint="eastAsia" w:ascii="仿宋_GB2312" w:hAnsi="仿宋_GB2312" w:eastAsia="仿宋_GB2312" w:cs="仿宋_GB2312"/>
          <w:color w:val="auto"/>
          <w:kern w:val="0"/>
          <w:sz w:val="32"/>
          <w:szCs w:val="32"/>
          <w:lang w:val="en-US" w:eastAsia="zh-CN"/>
        </w:rPr>
        <w:t>比对照品种</w:t>
      </w:r>
      <w:r>
        <w:rPr>
          <w:rFonts w:hint="default" w:ascii="仿宋_GB2312" w:hAnsi="仿宋_GB2312" w:eastAsia="仿宋_GB2312" w:cs="仿宋_GB2312"/>
          <w:color w:val="auto"/>
          <w:kern w:val="0"/>
          <w:sz w:val="32"/>
          <w:szCs w:val="32"/>
          <w:lang w:val="en-US" w:eastAsia="zh-CN"/>
        </w:rPr>
        <w:t>增产10%</w:t>
      </w:r>
      <w:r>
        <w:rPr>
          <w:rFonts w:hint="eastAsia" w:ascii="仿宋_GB2312" w:hAnsi="仿宋_GB2312" w:eastAsia="仿宋_GB2312" w:cs="仿宋_GB2312"/>
          <w:color w:val="auto"/>
          <w:kern w:val="0"/>
          <w:sz w:val="32"/>
          <w:szCs w:val="32"/>
          <w:lang w:eastAsia="zh-CN"/>
        </w:rPr>
        <w:t>以上</w:t>
      </w:r>
      <w:r>
        <w:rPr>
          <w:rFonts w:hint="default" w:ascii="仿宋_GB2312" w:hAnsi="仿宋_GB2312" w:eastAsia="仿宋_GB2312" w:cs="仿宋_GB2312"/>
          <w:color w:val="auto"/>
          <w:kern w:val="0"/>
          <w:sz w:val="32"/>
          <w:szCs w:val="32"/>
          <w:lang w:val="en-US" w:eastAsia="zh-CN"/>
        </w:rPr>
        <w:t>；或者保持产量、品质的基础上，耐热性、抗病性显著提升</w:t>
      </w:r>
      <w:r>
        <w:rPr>
          <w:rFonts w:hint="eastAsia" w:ascii="仿宋_GB2312" w:hAnsi="仿宋_GB2312" w:eastAsia="仿宋_GB2312" w:cs="仿宋_GB2312"/>
          <w:color w:val="auto"/>
          <w:kern w:val="0"/>
          <w:sz w:val="32"/>
          <w:szCs w:val="32"/>
          <w:lang w:val="en-US" w:eastAsia="zh-CN"/>
        </w:rPr>
        <w:t>。</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w:t>
      </w:r>
      <w:r>
        <w:rPr>
          <w:rFonts w:hint="default" w:ascii="仿宋_GB2312" w:hAnsi="仿宋_GB2312" w:eastAsia="仿宋_GB2312" w:cs="仿宋_GB2312"/>
          <w:color w:val="auto"/>
          <w:kern w:val="0"/>
          <w:sz w:val="32"/>
          <w:szCs w:val="32"/>
          <w:lang w:val="en-US" w:eastAsia="zh-CN"/>
        </w:rPr>
        <w:t>（审定）品种。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（3）申报对象及条件</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①由省级及中央驻粤涉农科研机构、高等院校以及企业申报。</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②申报对象具有较完善的项目和财务管理制度，信用记录良好。</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③申报对象是企业的，应</w:t>
      </w:r>
      <w:r>
        <w:rPr>
          <w:rFonts w:hint="eastAsia" w:ascii="仿宋_GB2312" w:hAnsi="仿宋_GB2312" w:eastAsia="仿宋_GB2312" w:cs="仿宋_GB2312"/>
          <w:color w:val="auto"/>
          <w:kern w:val="0"/>
          <w:sz w:val="32"/>
          <w:szCs w:val="32"/>
          <w:lang w:eastAsia="zh-CN"/>
        </w:rPr>
        <w:t>具有农作物种子生产经营许可证，</w:t>
      </w:r>
      <w:r>
        <w:rPr>
          <w:rFonts w:hint="eastAsia" w:ascii="仿宋_GB2312" w:hAnsi="仿宋_GB2312" w:eastAsia="仿宋_GB2312" w:cs="仿宋_GB2312"/>
          <w:color w:val="auto"/>
          <w:kern w:val="0"/>
          <w:sz w:val="32"/>
          <w:szCs w:val="32"/>
        </w:rPr>
        <w:t>具备开展品种培育、品种试验、良种繁育等基础设施条件。</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（4）实施周期和资金额度</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eastAsia="zh-CN"/>
        </w:rPr>
        <w:t>原则上</w:t>
      </w:r>
      <w:r>
        <w:rPr>
          <w:rFonts w:hint="eastAsia" w:ascii="仿宋_GB2312" w:hAnsi="仿宋_GB2312" w:eastAsia="仿宋_GB2312" w:cs="仿宋_GB2312"/>
          <w:color w:val="auto"/>
          <w:kern w:val="0"/>
          <w:sz w:val="32"/>
          <w:szCs w:val="32"/>
        </w:rPr>
        <w:t>项目实施周期为3年。项目</w:t>
      </w:r>
      <w:r>
        <w:rPr>
          <w:rFonts w:hint="eastAsia" w:ascii="仿宋_GB2312" w:hAnsi="仿宋_GB2312" w:eastAsia="仿宋_GB2312" w:cs="仿宋_GB2312"/>
          <w:color w:val="auto"/>
          <w:kern w:val="0"/>
          <w:sz w:val="32"/>
          <w:szCs w:val="32"/>
          <w:lang w:eastAsia="zh-CN"/>
        </w:rPr>
        <w:t>申报</w:t>
      </w:r>
      <w:r>
        <w:rPr>
          <w:rFonts w:hint="eastAsia" w:ascii="仿宋_GB2312" w:hAnsi="仿宋_GB2312" w:eastAsia="仿宋_GB2312" w:cs="仿宋_GB2312"/>
          <w:color w:val="auto"/>
          <w:kern w:val="0"/>
          <w:sz w:val="32"/>
          <w:szCs w:val="32"/>
        </w:rPr>
        <w:t>单位根据实际需求自行测算项目需求金额，2022年资金额度原则上不超过100万元，在申报书中提供资金测算过程及测算依据。最终资金补助金额以我单位测算核实为准。</w:t>
      </w:r>
      <w:r>
        <w:rPr>
          <w:rFonts w:hint="eastAsia" w:ascii="仿宋_GB2312" w:hAnsi="仿宋_GB2312" w:eastAsia="仿宋_GB2312" w:cs="仿宋_GB2312"/>
          <w:color w:val="auto"/>
          <w:kern w:val="0"/>
          <w:sz w:val="32"/>
          <w:szCs w:val="32"/>
          <w:lang w:eastAsia="zh-CN"/>
        </w:rPr>
        <w:t>项目预算金额测算是否详细、合理将纳入评审标准。</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5</w:t>
      </w:r>
      <w:r>
        <w:rPr>
          <w:rFonts w:hint="eastAsia" w:ascii="仿宋_GB2312" w:hAnsi="仿宋_GB2312" w:eastAsia="仿宋_GB2312" w:cs="仿宋_GB2312"/>
          <w:b/>
          <w:bCs/>
          <w:color w:val="auto"/>
          <w:kern w:val="0"/>
          <w:sz w:val="32"/>
          <w:szCs w:val="32"/>
          <w:lang w:eastAsia="zh-CN"/>
        </w:rPr>
        <w:t>）考核要求</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rPr>
        <w:t>省农业农村厅根据项目榜单制定的年度计划和目标，</w:t>
      </w:r>
      <w:r>
        <w:rPr>
          <w:rFonts w:hint="eastAsia" w:ascii="仿宋_GB2312" w:hAnsi="仿宋_GB2312" w:eastAsia="仿宋_GB2312" w:cs="仿宋_GB2312"/>
          <w:color w:val="auto"/>
          <w:kern w:val="0"/>
          <w:sz w:val="32"/>
          <w:szCs w:val="32"/>
          <w:lang w:eastAsia="zh-CN"/>
        </w:rPr>
        <w:t>适时</w:t>
      </w:r>
      <w:r>
        <w:rPr>
          <w:rFonts w:hint="eastAsia" w:ascii="仿宋_GB2312" w:hAnsi="仿宋_GB2312" w:eastAsia="仿宋_GB2312" w:cs="仿宋_GB2312"/>
          <w:color w:val="auto"/>
          <w:kern w:val="0"/>
          <w:sz w:val="32"/>
          <w:szCs w:val="32"/>
        </w:rPr>
        <w:t>组织专家对</w:t>
      </w:r>
      <w:r>
        <w:rPr>
          <w:rFonts w:hint="eastAsia" w:ascii="仿宋_GB2312" w:hAnsi="仿宋_GB2312" w:eastAsia="仿宋_GB2312" w:cs="仿宋_GB2312"/>
          <w:color w:val="auto"/>
          <w:kern w:val="0"/>
          <w:sz w:val="32"/>
          <w:szCs w:val="32"/>
          <w:lang w:eastAsia="zh-CN"/>
        </w:rPr>
        <w:t>项目年度目标完成情况进行考核，一年后按“三进二”考核淘汰，两年后按“二进一”考核淘汰。后续年度资金将根据上一年度资金使用情况叠加安排。</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待项目持续支持3年后，由省农业农村厅组织开展项目总体绩效考核，达到项目总体目标的，在后续种业振兴相关项目安排上予以倾斜；因主观不努力等因素，导致未达到项目总体目标的或者无法按照计划顺利实施的，将对项目承担单位予以通报，并在后续种业振兴相关项目安排上予以限制。</w:t>
      </w:r>
    </w:p>
    <w:p>
      <w:pPr>
        <w:numPr>
          <w:ilvl w:val="0"/>
          <w:numId w:val="0"/>
        </w:num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项目成果需由省农业农村厅进行登记、备案和发布。</w:t>
      </w:r>
    </w:p>
    <w:p>
      <w:pPr>
        <w:adjustRightInd w:val="0"/>
        <w:snapToGrid w:val="0"/>
        <w:spacing w:beforeLines="0" w:afterLines="0" w:line="590" w:lineRule="exact"/>
        <w:ind w:firstLine="640" w:firstLineChars="200"/>
        <w:rPr>
          <w:rFonts w:hint="eastAsia" w:ascii="仿宋_GB2312" w:hAnsi="仿宋_GB2312" w:eastAsia="仿宋_GB2312" w:cs="仿宋_GB2312"/>
          <w:b w:val="0"/>
          <w:bCs w:val="0"/>
          <w:color w:val="auto"/>
          <w:kern w:val="0"/>
          <w:sz w:val="32"/>
          <w:szCs w:val="32"/>
          <w:lang w:val="en-US" w:eastAsia="zh-CN"/>
        </w:rPr>
      </w:pPr>
      <w:r>
        <w:rPr>
          <w:rFonts w:hint="eastAsia" w:ascii="仿宋_GB2312" w:hAnsi="仿宋_GB2312" w:eastAsia="仿宋_GB2312" w:cs="仿宋_GB2312"/>
          <w:b w:val="0"/>
          <w:bCs w:val="0"/>
          <w:color w:val="auto"/>
          <w:kern w:val="0"/>
          <w:sz w:val="32"/>
          <w:szCs w:val="32"/>
          <w:lang w:val="en-US" w:eastAsia="zh-CN"/>
        </w:rPr>
        <w:br w:type="page"/>
      </w:r>
    </w:p>
    <w:p>
      <w:pPr>
        <w:pStyle w:val="11"/>
        <w:keepNext w:val="0"/>
        <w:keepLines w:val="0"/>
        <w:widowControl w:val="0"/>
        <w:numPr>
          <w:ilvl w:val="0"/>
          <w:numId w:val="0"/>
        </w:numPr>
        <w:pBdr>
          <w:top w:val="none" w:color="auto" w:sz="0" w:space="0"/>
          <w:left w:val="none" w:color="auto" w:sz="0" w:space="0"/>
          <w:bottom w:val="none" w:color="auto" w:sz="0" w:space="0"/>
          <w:right w:val="none" w:color="auto" w:sz="0" w:space="0"/>
        </w:pBdr>
        <w:shd w:val="clear" w:color="auto" w:fill="auto"/>
        <w:adjustRightInd w:val="0"/>
        <w:snapToGrid w:val="0"/>
        <w:spacing w:before="0" w:beforeLines="0" w:beforeAutospacing="0" w:after="0" w:afterLines="0" w:afterAutospacing="0" w:line="590" w:lineRule="exact"/>
        <w:ind w:firstLine="0" w:firstLineChars="0"/>
        <w:jc w:val="both"/>
        <w:textAlignment w:val="auto"/>
        <w:rPr>
          <w:rFonts w:hint="eastAsia" w:ascii="黑体" w:hAnsi="黑体" w:eastAsia="黑体" w:cs="黑体"/>
          <w:b w:val="0"/>
          <w:bCs w:val="0"/>
          <w:snapToGrid w:val="0"/>
          <w:color w:val="auto"/>
          <w:spacing w:val="0"/>
          <w:kern w:val="0"/>
          <w:sz w:val="32"/>
          <w:szCs w:val="32"/>
          <w:lang w:val="en-US" w:eastAsia="zh-CN" w:bidi="ar-SA"/>
        </w:rPr>
      </w:pPr>
      <w:r>
        <w:rPr>
          <w:rFonts w:hint="eastAsia" w:ascii="黑体" w:hAnsi="黑体" w:eastAsia="黑体" w:cs="黑体"/>
          <w:b w:val="0"/>
          <w:bCs w:val="0"/>
          <w:color w:val="auto"/>
          <w:sz w:val="32"/>
          <w:szCs w:val="32"/>
          <w:lang w:val="en-US" w:eastAsia="zh-CN"/>
        </w:rPr>
        <w:t>附件2</w:t>
      </w:r>
    </w:p>
    <w:p>
      <w:pPr>
        <w:keepNext w:val="0"/>
        <w:keepLines w:val="0"/>
        <w:widowControl w:val="0"/>
        <w:adjustRightInd w:val="0"/>
        <w:snapToGrid w:val="0"/>
        <w:spacing w:beforeLines="0" w:afterLines="0" w:line="590" w:lineRule="exact"/>
        <w:ind w:firstLine="640" w:firstLineChars="200"/>
        <w:jc w:val="both"/>
        <w:outlineLvl w:val="9"/>
        <w:rPr>
          <w:rFonts w:hint="eastAsia" w:ascii="仿宋_GB2312" w:hAnsi="仿宋_GB2312" w:eastAsia="仿宋_GB2312" w:cs="仿宋_GB2312"/>
          <w:b w:val="0"/>
          <w:bCs w:val="0"/>
          <w:snapToGrid w:val="0"/>
          <w:color w:val="auto"/>
          <w:spacing w:val="0"/>
          <w:kern w:val="0"/>
          <w:sz w:val="32"/>
          <w:szCs w:val="32"/>
          <w:lang w:val="en-US" w:eastAsia="zh-CN" w:bidi="ar-SA"/>
        </w:rPr>
      </w:pPr>
    </w:p>
    <w:p>
      <w:pPr>
        <w:keepNext w:val="0"/>
        <w:keepLines w:val="0"/>
        <w:widowControl w:val="0"/>
        <w:adjustRightInd w:val="0"/>
        <w:snapToGrid w:val="0"/>
        <w:spacing w:beforeLines="0" w:afterLines="0" w:line="590" w:lineRule="exact"/>
        <w:ind w:firstLine="0" w:firstLineChars="0"/>
        <w:jc w:val="center"/>
        <w:outlineLvl w:val="9"/>
        <w:rPr>
          <w:rFonts w:hint="eastAsia" w:ascii="方正小标宋简体" w:hAnsi="方正小标宋简体" w:eastAsia="方正小标宋简体" w:cs="方正小标宋简体"/>
          <w:b w:val="0"/>
          <w:bCs w:val="0"/>
          <w:snapToGrid w:val="0"/>
          <w:color w:val="auto"/>
          <w:spacing w:val="0"/>
          <w:kern w:val="0"/>
          <w:sz w:val="44"/>
          <w:szCs w:val="44"/>
          <w:lang w:val="en-US" w:eastAsia="zh-CN" w:bidi="ar-SA"/>
        </w:rPr>
      </w:pPr>
      <w:r>
        <w:rPr>
          <w:rFonts w:hint="eastAsia" w:ascii="方正小标宋简体" w:hAnsi="方正小标宋简体" w:eastAsia="方正小标宋简体" w:cs="方正小标宋简体"/>
          <w:b w:val="0"/>
          <w:bCs w:val="0"/>
          <w:snapToGrid w:val="0"/>
          <w:color w:val="auto"/>
          <w:spacing w:val="0"/>
          <w:kern w:val="0"/>
          <w:sz w:val="44"/>
          <w:szCs w:val="44"/>
          <w:lang w:val="en-US" w:eastAsia="zh-CN" w:bidi="ar-SA"/>
        </w:rPr>
        <w:t>2022-2023年省级种业振兴行动品种培育项目</w:t>
      </w:r>
    </w:p>
    <w:p>
      <w:pPr>
        <w:keepNext w:val="0"/>
        <w:keepLines w:val="0"/>
        <w:widowControl w:val="0"/>
        <w:adjustRightInd w:val="0"/>
        <w:snapToGrid w:val="0"/>
        <w:spacing w:beforeLines="0" w:afterLines="0" w:line="590" w:lineRule="exact"/>
        <w:ind w:firstLine="0" w:firstLineChars="0"/>
        <w:jc w:val="center"/>
        <w:outlineLvl w:val="9"/>
        <w:rPr>
          <w:rFonts w:hint="eastAsia" w:ascii="方正小标宋简体" w:hAnsi="方正小标宋简体" w:eastAsia="方正小标宋简体" w:cs="方正小标宋简体"/>
          <w:b w:val="0"/>
          <w:bCs w:val="0"/>
          <w:snapToGrid w:val="0"/>
          <w:color w:val="auto"/>
          <w:spacing w:val="0"/>
          <w:kern w:val="0"/>
          <w:sz w:val="44"/>
          <w:szCs w:val="44"/>
          <w:lang w:val="en-US" w:eastAsia="zh-CN" w:bidi="ar-SA"/>
        </w:rPr>
      </w:pPr>
      <w:r>
        <w:rPr>
          <w:rFonts w:hint="eastAsia" w:ascii="方正小标宋简体" w:hAnsi="方正小标宋简体" w:eastAsia="方正小标宋简体" w:cs="方正小标宋简体"/>
          <w:b w:val="0"/>
          <w:bCs w:val="0"/>
          <w:snapToGrid w:val="0"/>
          <w:color w:val="auto"/>
          <w:spacing w:val="0"/>
          <w:kern w:val="0"/>
          <w:sz w:val="44"/>
          <w:szCs w:val="44"/>
          <w:lang w:val="en-US" w:eastAsia="zh-CN" w:bidi="ar-SA"/>
        </w:rPr>
        <w:t>申报指南</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90" w:lineRule="exact"/>
        <w:ind w:right="0" w:rightChars="0" w:firstLine="643" w:firstLineChars="200"/>
        <w:jc w:val="both"/>
        <w:textAlignment w:val="auto"/>
        <w:outlineLvl w:val="9"/>
        <w:rPr>
          <w:rFonts w:hint="eastAsia" w:ascii="仿宋_GB2312" w:hAnsi="仿宋_GB2312" w:eastAsia="仿宋_GB2312" w:cs="仿宋_GB2312"/>
          <w:b/>
          <w:bCs/>
          <w:color w:val="auto"/>
          <w:kern w:val="0"/>
          <w:sz w:val="32"/>
          <w:szCs w:val="32"/>
          <w:lang w:val="en-US" w:eastAsia="zh-CN" w:bidi="ar-SA"/>
        </w:rPr>
      </w:pPr>
    </w:p>
    <w:p>
      <w:pPr>
        <w:adjustRightInd w:val="0"/>
        <w:snapToGrid w:val="0"/>
        <w:spacing w:beforeLines="0" w:afterLines="0" w:line="590" w:lineRule="exact"/>
        <w:ind w:firstLine="640" w:firstLineChars="200"/>
        <w:jc w:val="both"/>
        <w:rPr>
          <w:rFonts w:hint="eastAsia" w:ascii="黑体" w:hAnsi="黑体" w:eastAsia="黑体" w:cs="黑体"/>
          <w:color w:val="auto"/>
          <w:kern w:val="0"/>
          <w:sz w:val="32"/>
          <w:szCs w:val="32"/>
          <w:lang w:val="en-US" w:eastAsia="zh-CN"/>
        </w:rPr>
      </w:pPr>
      <w:r>
        <w:rPr>
          <w:rFonts w:hint="eastAsia" w:ascii="黑体" w:hAnsi="黑体" w:eastAsia="黑体" w:cs="黑体"/>
          <w:color w:val="auto"/>
          <w:kern w:val="0"/>
          <w:sz w:val="32"/>
          <w:szCs w:val="32"/>
          <w:lang w:val="en-US" w:eastAsia="zh-CN"/>
        </w:rPr>
        <w:t>一、农作物品种培育</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1.粮油糖作物品种培育</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1.1 水稻品种培育</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val="en-US" w:eastAsia="zh-CN"/>
        </w:rPr>
        <w:t>围绕杂交稻、常规稻、航天诱变稻、耐盐碱稻、旱稻、节水稻开展品种培育，以高产、优质、抗逆等为目标，利用分子标记辅助选择、航天育种和基因组</w:t>
      </w:r>
      <w:r>
        <w:rPr>
          <w:rFonts w:hint="eastAsia" w:ascii="仿宋_GB2312" w:hAnsi="仿宋_GB2312" w:eastAsia="仿宋_GB2312" w:cs="仿宋_GB2312"/>
          <w:color w:val="auto"/>
          <w:kern w:val="0"/>
          <w:sz w:val="32"/>
          <w:szCs w:val="32"/>
          <w:lang w:eastAsia="zh-CN"/>
        </w:rPr>
        <w:t>选择等现代前沿育种技术，结合常规育种手段，开展优异种质资源创制，定向精准改良品种，培育适宜普通水田种植的杂交稻、常规稻新品种，适宜旱地、盐碱地、节水栽培等特定条件种植的旱稻、耐盐碱及节水稻新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（2）绩效目标</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杂交稻：</w:t>
      </w:r>
      <w:r>
        <w:rPr>
          <w:rFonts w:hint="eastAsia" w:ascii="仿宋_GB2312" w:hAnsi="仿宋_GB2312" w:eastAsia="仿宋_GB2312" w:cs="仿宋_GB2312"/>
          <w:color w:val="auto"/>
          <w:kern w:val="0"/>
          <w:sz w:val="32"/>
          <w:szCs w:val="32"/>
          <w:lang w:eastAsia="zh-CN"/>
        </w:rPr>
        <w:t>育成杂交稻新品种</w:t>
      </w:r>
      <w:r>
        <w:rPr>
          <w:rFonts w:hint="eastAsia" w:ascii="仿宋_GB2312" w:hAnsi="仿宋_GB2312" w:eastAsia="仿宋_GB2312" w:cs="仿宋_GB2312"/>
          <w:color w:val="auto"/>
          <w:kern w:val="0"/>
          <w:sz w:val="32"/>
          <w:szCs w:val="32"/>
          <w:lang w:val="en-US" w:eastAsia="zh-CN"/>
        </w:rPr>
        <w:t>1个以上，并进入国家（含广东的熟组）或省品种区域试验。</w:t>
      </w:r>
      <w:r>
        <w:rPr>
          <w:rFonts w:hint="eastAsia" w:ascii="仿宋_GB2312" w:hAnsi="仿宋_GB2312" w:eastAsia="仿宋_GB2312" w:cs="仿宋_GB2312"/>
          <w:color w:val="auto"/>
          <w:kern w:val="0"/>
          <w:sz w:val="32"/>
          <w:szCs w:val="32"/>
          <w:lang w:eastAsia="zh-CN"/>
        </w:rPr>
        <w:t>育成的品种有突破性进展，在保持品质、抗性的基础上，</w:t>
      </w:r>
      <w:r>
        <w:rPr>
          <w:rFonts w:hint="eastAsia" w:ascii="仿宋_GB2312" w:hAnsi="仿宋_GB2312" w:eastAsia="仿宋_GB2312" w:cs="仿宋_GB2312"/>
          <w:color w:val="auto"/>
          <w:kern w:val="0"/>
          <w:sz w:val="32"/>
          <w:szCs w:val="32"/>
          <w:lang w:val="en-US" w:eastAsia="zh-CN"/>
        </w:rPr>
        <w:t>区试产量比对照种</w:t>
      </w:r>
      <w:r>
        <w:rPr>
          <w:rFonts w:hint="default" w:ascii="仿宋_GB2312" w:hAnsi="仿宋_GB2312" w:eastAsia="仿宋_GB2312" w:cs="仿宋_GB2312"/>
          <w:color w:val="auto"/>
          <w:kern w:val="0"/>
          <w:sz w:val="32"/>
          <w:szCs w:val="32"/>
          <w:lang w:val="en-US" w:eastAsia="zh-CN"/>
        </w:rPr>
        <w:t>增产10%</w:t>
      </w:r>
      <w:r>
        <w:rPr>
          <w:rFonts w:hint="eastAsia" w:ascii="仿宋_GB2312" w:hAnsi="仿宋_GB2312" w:eastAsia="仿宋_GB2312" w:cs="仿宋_GB2312"/>
          <w:color w:val="auto"/>
          <w:kern w:val="0"/>
          <w:sz w:val="32"/>
          <w:szCs w:val="32"/>
          <w:lang w:eastAsia="zh-CN"/>
        </w:rPr>
        <w:t>以上或增产达极显著水平；或在保持产量、品质的基础上，抗性显著提升。</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eastAsia="zh-CN"/>
        </w:rPr>
        <w:t>常规稻：</w:t>
      </w:r>
      <w:r>
        <w:rPr>
          <w:rFonts w:hint="eastAsia" w:ascii="仿宋_GB2312" w:hAnsi="仿宋_GB2312" w:eastAsia="仿宋_GB2312" w:cs="仿宋_GB2312"/>
          <w:color w:val="auto"/>
          <w:kern w:val="0"/>
          <w:sz w:val="32"/>
          <w:szCs w:val="32"/>
          <w:lang w:eastAsia="zh-CN"/>
        </w:rPr>
        <w:t>育成常规稻新品种</w:t>
      </w:r>
      <w:r>
        <w:rPr>
          <w:rFonts w:hint="eastAsia" w:ascii="仿宋_GB2312" w:hAnsi="仿宋_GB2312" w:eastAsia="仿宋_GB2312" w:cs="仿宋_GB2312"/>
          <w:color w:val="auto"/>
          <w:kern w:val="0"/>
          <w:sz w:val="32"/>
          <w:szCs w:val="32"/>
          <w:lang w:val="en-US" w:eastAsia="zh-CN"/>
        </w:rPr>
        <w:t>1个以上，并进入国家（含广东的熟组）或省品种区域试验。</w:t>
      </w:r>
      <w:r>
        <w:rPr>
          <w:rFonts w:hint="eastAsia" w:ascii="仿宋_GB2312" w:hAnsi="仿宋_GB2312" w:eastAsia="仿宋_GB2312" w:cs="仿宋_GB2312"/>
          <w:color w:val="auto"/>
          <w:kern w:val="0"/>
          <w:sz w:val="32"/>
          <w:szCs w:val="32"/>
          <w:lang w:eastAsia="zh-CN"/>
        </w:rPr>
        <w:t>育成的品种有突破性进展，在保持品质、抗性的基础上，</w:t>
      </w:r>
      <w:r>
        <w:rPr>
          <w:rFonts w:hint="eastAsia" w:ascii="仿宋_GB2312" w:hAnsi="仿宋_GB2312" w:eastAsia="仿宋_GB2312" w:cs="仿宋_GB2312"/>
          <w:color w:val="auto"/>
          <w:kern w:val="0"/>
          <w:sz w:val="32"/>
          <w:szCs w:val="32"/>
          <w:lang w:val="en-US" w:eastAsia="zh-CN"/>
        </w:rPr>
        <w:t>区试产量比对照种</w:t>
      </w:r>
      <w:r>
        <w:rPr>
          <w:rFonts w:hint="default" w:ascii="仿宋_GB2312" w:hAnsi="仿宋_GB2312" w:eastAsia="仿宋_GB2312" w:cs="仿宋_GB2312"/>
          <w:color w:val="auto"/>
          <w:kern w:val="0"/>
          <w:sz w:val="32"/>
          <w:szCs w:val="32"/>
          <w:lang w:val="en-US" w:eastAsia="zh-CN"/>
        </w:rPr>
        <w:t>增产10%</w:t>
      </w:r>
      <w:r>
        <w:rPr>
          <w:rFonts w:hint="eastAsia" w:ascii="仿宋_GB2312" w:hAnsi="仿宋_GB2312" w:eastAsia="仿宋_GB2312" w:cs="仿宋_GB2312"/>
          <w:color w:val="auto"/>
          <w:kern w:val="0"/>
          <w:sz w:val="32"/>
          <w:szCs w:val="32"/>
          <w:lang w:eastAsia="zh-CN"/>
        </w:rPr>
        <w:t>以上或增产达极显著水平；或在保持产量、品质的基础上，抗性显著提升。</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b/>
          <w:bCs/>
          <w:color w:val="auto"/>
          <w:kern w:val="0"/>
          <w:sz w:val="32"/>
          <w:szCs w:val="32"/>
          <w:lang w:val="en-US" w:eastAsia="zh-CN"/>
        </w:rPr>
        <w:t>航天诱变稻</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color w:val="auto"/>
          <w:kern w:val="0"/>
          <w:sz w:val="32"/>
          <w:szCs w:val="32"/>
          <w:lang w:eastAsia="zh-CN"/>
        </w:rPr>
        <w:t>育成</w:t>
      </w:r>
      <w:r>
        <w:rPr>
          <w:rFonts w:hint="eastAsia" w:ascii="仿宋_GB2312" w:hAnsi="仿宋_GB2312" w:eastAsia="仿宋_GB2312" w:cs="仿宋_GB2312"/>
          <w:color w:val="auto"/>
          <w:kern w:val="0"/>
          <w:sz w:val="32"/>
          <w:szCs w:val="32"/>
          <w:lang w:val="en-US" w:eastAsia="zh-CN"/>
        </w:rPr>
        <w:t>航天诱变稻</w:t>
      </w:r>
      <w:r>
        <w:rPr>
          <w:rFonts w:hint="eastAsia" w:ascii="仿宋_GB2312" w:hAnsi="仿宋_GB2312" w:eastAsia="仿宋_GB2312" w:cs="仿宋_GB2312"/>
          <w:color w:val="auto"/>
          <w:kern w:val="0"/>
          <w:sz w:val="32"/>
          <w:szCs w:val="32"/>
          <w:lang w:eastAsia="zh-CN"/>
        </w:rPr>
        <w:t>新品种</w:t>
      </w:r>
      <w:r>
        <w:rPr>
          <w:rFonts w:hint="eastAsia" w:ascii="仿宋_GB2312" w:hAnsi="仿宋_GB2312" w:eastAsia="仿宋_GB2312" w:cs="仿宋_GB2312"/>
          <w:color w:val="auto"/>
          <w:kern w:val="0"/>
          <w:sz w:val="32"/>
          <w:szCs w:val="32"/>
          <w:lang w:val="en-US" w:eastAsia="zh-CN"/>
        </w:rPr>
        <w:t>1个以上，并进入国家（含广东的熟组）或省品种区域试验。</w:t>
      </w:r>
      <w:r>
        <w:rPr>
          <w:rFonts w:hint="eastAsia" w:ascii="仿宋_GB2312" w:hAnsi="仿宋_GB2312" w:eastAsia="仿宋_GB2312" w:cs="仿宋_GB2312"/>
          <w:color w:val="auto"/>
          <w:kern w:val="0"/>
          <w:sz w:val="32"/>
          <w:szCs w:val="32"/>
          <w:lang w:eastAsia="zh-CN"/>
        </w:rPr>
        <w:t>育成的品种有突破性进展，在保持品质、抗性的基础上，</w:t>
      </w:r>
      <w:r>
        <w:rPr>
          <w:rFonts w:hint="eastAsia" w:ascii="仿宋_GB2312" w:hAnsi="仿宋_GB2312" w:eastAsia="仿宋_GB2312" w:cs="仿宋_GB2312"/>
          <w:color w:val="auto"/>
          <w:kern w:val="0"/>
          <w:sz w:val="32"/>
          <w:szCs w:val="32"/>
          <w:lang w:val="en-US" w:eastAsia="zh-CN"/>
        </w:rPr>
        <w:t>区试产量比同熟期对照种</w:t>
      </w:r>
      <w:r>
        <w:rPr>
          <w:rFonts w:hint="default" w:ascii="仿宋_GB2312" w:hAnsi="仿宋_GB2312" w:eastAsia="仿宋_GB2312" w:cs="仿宋_GB2312"/>
          <w:color w:val="auto"/>
          <w:kern w:val="0"/>
          <w:sz w:val="32"/>
          <w:szCs w:val="32"/>
          <w:lang w:val="en-US" w:eastAsia="zh-CN"/>
        </w:rPr>
        <w:t>增产10%</w:t>
      </w:r>
      <w:r>
        <w:rPr>
          <w:rFonts w:hint="eastAsia" w:ascii="仿宋_GB2312" w:hAnsi="仿宋_GB2312" w:eastAsia="仿宋_GB2312" w:cs="仿宋_GB2312"/>
          <w:color w:val="auto"/>
          <w:kern w:val="0"/>
          <w:sz w:val="32"/>
          <w:szCs w:val="32"/>
          <w:lang w:eastAsia="zh-CN"/>
        </w:rPr>
        <w:t>以上或增产达极显著水平。</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b/>
          <w:bCs/>
          <w:color w:val="auto"/>
          <w:kern w:val="0"/>
          <w:sz w:val="32"/>
          <w:szCs w:val="32"/>
          <w:lang w:val="en-US" w:eastAsia="zh-CN"/>
        </w:rPr>
        <w:t>耐盐碱水稻：</w:t>
      </w:r>
      <w:r>
        <w:rPr>
          <w:rFonts w:hint="eastAsia" w:ascii="仿宋_GB2312" w:hAnsi="仿宋_GB2312" w:eastAsia="仿宋_GB2312" w:cs="仿宋_GB2312"/>
          <w:color w:val="auto"/>
          <w:kern w:val="0"/>
          <w:sz w:val="32"/>
          <w:szCs w:val="32"/>
          <w:lang w:eastAsia="zh-CN"/>
        </w:rPr>
        <w:t>育成耐盐碱稻新品种</w:t>
      </w:r>
      <w:r>
        <w:rPr>
          <w:rFonts w:hint="eastAsia" w:ascii="仿宋_GB2312" w:hAnsi="仿宋_GB2312" w:eastAsia="仿宋_GB2312" w:cs="仿宋_GB2312"/>
          <w:color w:val="auto"/>
          <w:kern w:val="0"/>
          <w:sz w:val="32"/>
          <w:szCs w:val="32"/>
          <w:lang w:val="en-US" w:eastAsia="zh-CN"/>
        </w:rPr>
        <w:t>1个以上，并进入省品种区域试验。</w:t>
      </w:r>
      <w:r>
        <w:rPr>
          <w:rFonts w:hint="eastAsia" w:ascii="仿宋_GB2312" w:hAnsi="仿宋_GB2312" w:eastAsia="仿宋_GB2312" w:cs="仿宋_GB2312"/>
          <w:color w:val="auto"/>
          <w:kern w:val="0"/>
          <w:sz w:val="32"/>
          <w:szCs w:val="32"/>
          <w:lang w:eastAsia="zh-CN"/>
        </w:rPr>
        <w:t>育成的品种有突破性进展，在保持品质、耐盐碱（耐盐碱度达0.3%-0.6%）的基础上，区试产量比对照品种增产10%以上</w:t>
      </w:r>
      <w:r>
        <w:rPr>
          <w:rFonts w:hint="eastAsia" w:ascii="仿宋_GB2312" w:hAnsi="仿宋_GB2312" w:eastAsia="仿宋_GB2312" w:cs="仿宋_GB2312"/>
          <w:color w:val="auto"/>
          <w:kern w:val="0"/>
          <w:sz w:val="32"/>
          <w:szCs w:val="32"/>
          <w:lang w:val="en-US" w:eastAsia="zh-CN"/>
        </w:rPr>
        <w:t>。</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b/>
          <w:bCs/>
          <w:color w:val="auto"/>
          <w:kern w:val="0"/>
          <w:sz w:val="32"/>
          <w:szCs w:val="32"/>
          <w:lang w:val="en-US" w:eastAsia="zh-CN"/>
        </w:rPr>
        <w:t>旱稻：</w:t>
      </w:r>
      <w:r>
        <w:rPr>
          <w:rFonts w:hint="eastAsia" w:ascii="仿宋_GB2312" w:hAnsi="仿宋_GB2312" w:eastAsia="仿宋_GB2312" w:cs="仿宋_GB2312"/>
          <w:color w:val="auto"/>
          <w:kern w:val="0"/>
          <w:sz w:val="32"/>
          <w:szCs w:val="32"/>
          <w:lang w:eastAsia="zh-CN"/>
        </w:rPr>
        <w:t>培育出适宜雨养旱地、山地种植、宜机的优质稳产旱稻新品种</w:t>
      </w:r>
      <w:r>
        <w:rPr>
          <w:rFonts w:hint="eastAsia" w:ascii="仿宋_GB2312" w:hAnsi="仿宋_GB2312" w:eastAsia="仿宋_GB2312" w:cs="仿宋_GB2312"/>
          <w:color w:val="auto"/>
          <w:kern w:val="0"/>
          <w:sz w:val="32"/>
          <w:szCs w:val="32"/>
          <w:lang w:val="en-US" w:eastAsia="zh-CN"/>
        </w:rPr>
        <w:t>1个以上</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并进入省品种区域试验。</w:t>
      </w:r>
      <w:r>
        <w:rPr>
          <w:rFonts w:hint="eastAsia" w:ascii="仿宋_GB2312" w:hAnsi="仿宋_GB2312" w:eastAsia="仿宋_GB2312" w:cs="仿宋_GB2312"/>
          <w:color w:val="auto"/>
          <w:kern w:val="0"/>
          <w:sz w:val="32"/>
          <w:szCs w:val="32"/>
          <w:lang w:eastAsia="zh-CN"/>
        </w:rPr>
        <w:t>育成的品种有突破性进展，区试产量比对照品种增产10%以上。</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b/>
          <w:bCs/>
          <w:color w:val="auto"/>
          <w:kern w:val="0"/>
          <w:sz w:val="32"/>
          <w:szCs w:val="32"/>
          <w:lang w:val="en-US" w:eastAsia="zh-CN"/>
        </w:rPr>
        <w:t>节水稻：</w:t>
      </w:r>
      <w:r>
        <w:rPr>
          <w:rFonts w:hint="eastAsia" w:ascii="仿宋_GB2312" w:hAnsi="仿宋_GB2312" w:eastAsia="仿宋_GB2312" w:cs="仿宋_GB2312"/>
          <w:color w:val="auto"/>
          <w:kern w:val="0"/>
          <w:sz w:val="32"/>
          <w:szCs w:val="32"/>
          <w:lang w:eastAsia="zh-CN"/>
        </w:rPr>
        <w:t>育成节水稻新品种</w:t>
      </w:r>
      <w:r>
        <w:rPr>
          <w:rFonts w:hint="eastAsia" w:ascii="仿宋_GB2312" w:hAnsi="仿宋_GB2312" w:eastAsia="仿宋_GB2312" w:cs="仿宋_GB2312"/>
          <w:color w:val="auto"/>
          <w:kern w:val="0"/>
          <w:sz w:val="32"/>
          <w:szCs w:val="32"/>
          <w:lang w:val="en-US" w:eastAsia="zh-CN"/>
        </w:rPr>
        <w:t>1个以上，并进入省品种区域试验。</w:t>
      </w:r>
      <w:r>
        <w:rPr>
          <w:rFonts w:hint="eastAsia" w:ascii="仿宋_GB2312" w:hAnsi="仿宋_GB2312" w:eastAsia="仿宋_GB2312" w:cs="仿宋_GB2312"/>
          <w:color w:val="auto"/>
          <w:kern w:val="0"/>
          <w:sz w:val="32"/>
          <w:szCs w:val="32"/>
          <w:lang w:eastAsia="zh-CN"/>
        </w:rPr>
        <w:t>育成的品种有突破性进展，在保持品质、产量的基础上，比对照品种节水20%以上；或保持品质、抗性、节水特性基础上，区试产量比对照品种增产10%以上。</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3</w:t>
      </w:r>
      <w:r>
        <w:rPr>
          <w:rFonts w:hint="eastAsia" w:ascii="仿宋_GB2312" w:hAnsi="仿宋_GB2312" w:eastAsia="仿宋_GB2312" w:cs="仿宋_GB2312"/>
          <w:b/>
          <w:bCs/>
          <w:color w:val="auto"/>
          <w:kern w:val="0"/>
          <w:sz w:val="32"/>
          <w:szCs w:val="32"/>
          <w:lang w:eastAsia="zh-CN"/>
        </w:rPr>
        <w:t>）申报对象及条件</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①由省级及中央驻粤涉农科研机构、高等院校、企业申报。</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②申报对象具有较完善的项目和财务管理制度，信用记录良好。</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③申报对象是企业的，应具有农作物种子生产经营许可证，具备开展品种培育、品种试验、良种繁育等基础设施条件。</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jc w:val="both"/>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color w:val="auto"/>
          <w:kern w:val="0"/>
          <w:sz w:val="32"/>
          <w:szCs w:val="32"/>
          <w:lang w:eastAsia="zh-CN"/>
        </w:rPr>
        <w:t>原则上</w:t>
      </w:r>
      <w:r>
        <w:rPr>
          <w:rFonts w:hint="eastAsia" w:ascii="仿宋_GB2312" w:hAnsi="仿宋_GB2312" w:eastAsia="仿宋_GB2312" w:cs="仿宋_GB2312"/>
          <w:color w:val="auto"/>
          <w:kern w:val="0"/>
          <w:sz w:val="32"/>
          <w:szCs w:val="32"/>
          <w:lang w:val="en-US" w:eastAsia="zh-CN"/>
        </w:rPr>
        <w:t>项目实施周期为3年。项目</w:t>
      </w:r>
      <w:r>
        <w:rPr>
          <w:rFonts w:hint="eastAsia" w:ascii="仿宋_GB2312" w:hAnsi="仿宋_GB2312" w:eastAsia="仿宋_GB2312" w:cs="仿宋_GB2312"/>
          <w:color w:val="auto"/>
          <w:kern w:val="0"/>
          <w:sz w:val="32"/>
          <w:szCs w:val="32"/>
          <w:lang w:eastAsia="zh-CN"/>
        </w:rPr>
        <w:t>申报单位需根据实际需求自行测算项目需求金额，</w:t>
      </w:r>
      <w:r>
        <w:rPr>
          <w:rFonts w:hint="eastAsia" w:ascii="仿宋_GB2312" w:hAnsi="仿宋_GB2312" w:eastAsia="仿宋_GB2312" w:cs="仿宋_GB2312"/>
          <w:color w:val="auto"/>
          <w:kern w:val="0"/>
          <w:sz w:val="32"/>
          <w:szCs w:val="32"/>
          <w:lang w:val="en-US" w:eastAsia="zh-CN"/>
        </w:rPr>
        <w:t>2022年度资金额度原则上不超过50万元，</w:t>
      </w:r>
      <w:r>
        <w:rPr>
          <w:rFonts w:hint="eastAsia" w:ascii="仿宋_GB2312" w:hAnsi="仿宋_GB2312" w:eastAsia="仿宋_GB2312" w:cs="仿宋_GB2312"/>
          <w:color w:val="auto"/>
          <w:kern w:val="0"/>
          <w:sz w:val="32"/>
          <w:szCs w:val="32"/>
          <w:lang w:eastAsia="zh-CN"/>
        </w:rPr>
        <w:t>在申报书中提供资金测算过程及测算依据。最终资金补助金额以我单位测算核实为准。项目预算金额测算是否详细、合理将纳入评审</w:t>
      </w:r>
      <w:r>
        <w:rPr>
          <w:rFonts w:hint="eastAsia" w:ascii="仿宋_GB2312" w:hAnsi="仿宋_GB2312" w:eastAsia="仿宋_GB2312" w:cs="仿宋_GB2312"/>
          <w:color w:val="auto"/>
          <w:kern w:val="0"/>
          <w:sz w:val="32"/>
          <w:szCs w:val="32"/>
          <w:lang w:val="en-US" w:eastAsia="zh-CN"/>
        </w:rPr>
        <w:t>标准。</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1.2 玉米品种培育</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开展鲜食玉米品种培育，以高产、优质、抗逆等为目标，利用分子标记辅助选择、基因组选择、倍性育种等现代前沿育种技术，结合常规育种手段，开展优异种质资源创制，定向精准改良品种，培育一批高产优质鲜食玉米新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育成鲜食玉米新品种1个以上，并通过国家或省级品种审定。育成的品种有突破性进展，在保持品质、抗性的基础上，区试产量比对照品种增产10%以上。</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90" w:lineRule="exact"/>
        <w:ind w:firstLine="643" w:firstLineChars="200"/>
        <w:jc w:val="both"/>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申报对象及条件</w:t>
      </w:r>
    </w:p>
    <w:p>
      <w:pPr>
        <w:adjustRightInd w:val="0"/>
        <w:snapToGrid w:val="0"/>
        <w:spacing w:beforeLines="0" w:afterLines="0" w:line="590" w:lineRule="exact"/>
        <w:ind w:firstLine="640" w:firstLineChars="200"/>
        <w:jc w:val="both"/>
        <w:rPr>
          <w:rFonts w:hint="eastAsia" w:ascii="仿宋_GB2312" w:hAnsi="仿宋_GB2312" w:eastAsia="仿宋_GB2312" w:cs="仿宋_GB2312"/>
          <w:b w:val="0"/>
          <w:bCs w:val="0"/>
          <w:color w:val="auto"/>
          <w:kern w:val="0"/>
          <w:sz w:val="32"/>
          <w:szCs w:val="32"/>
          <w:u w:val="none" w:color="auto"/>
          <w:lang w:eastAsia="zh-CN"/>
        </w:rPr>
      </w:pPr>
      <w:r>
        <w:rPr>
          <w:rFonts w:hint="eastAsia" w:ascii="仿宋_GB2312" w:hAnsi="仿宋_GB2312" w:eastAsia="仿宋_GB2312" w:cs="仿宋_GB2312"/>
          <w:color w:val="auto"/>
          <w:kern w:val="0"/>
          <w:sz w:val="32"/>
          <w:szCs w:val="32"/>
        </w:rPr>
        <w:t>①</w:t>
      </w:r>
      <w:r>
        <w:rPr>
          <w:rFonts w:hint="eastAsia" w:ascii="仿宋_GB2312" w:hAnsi="仿宋_GB2312" w:eastAsia="仿宋_GB2312" w:cs="仿宋_GB2312"/>
          <w:color w:val="auto"/>
          <w:kern w:val="0"/>
          <w:sz w:val="32"/>
          <w:szCs w:val="32"/>
          <w:lang w:eastAsia="zh-CN"/>
        </w:rPr>
        <w:t>由</w:t>
      </w:r>
      <w:r>
        <w:rPr>
          <w:rFonts w:hint="eastAsia" w:ascii="仿宋_GB2312" w:hAnsi="仿宋_GB2312" w:eastAsia="仿宋_GB2312" w:cs="仿宋_GB2312"/>
          <w:b w:val="0"/>
          <w:bCs w:val="0"/>
          <w:color w:val="auto"/>
          <w:kern w:val="0"/>
          <w:sz w:val="32"/>
          <w:szCs w:val="32"/>
          <w:u w:val="none" w:color="auto"/>
          <w:lang w:eastAsia="zh-CN"/>
        </w:rPr>
        <w:t>省级及中央驻粤涉农科研机构、高等院校、企业申报。</w:t>
      </w:r>
    </w:p>
    <w:p>
      <w:pPr>
        <w:keepNext w:val="0"/>
        <w:keepLines w:val="0"/>
        <w:pageBreakBefore w:val="0"/>
        <w:kinsoku/>
        <w:wordWrap/>
        <w:overflowPunct/>
        <w:topLinePunct w:val="0"/>
        <w:autoSpaceDE/>
        <w:autoSpaceDN/>
        <w:bidi w:val="0"/>
        <w:adjustRightInd w:val="0"/>
        <w:snapToGrid w:val="0"/>
        <w:spacing w:beforeLines="0" w:afterLines="0" w:line="590" w:lineRule="exact"/>
        <w:ind w:firstLine="640" w:firstLineChars="200"/>
        <w:jc w:val="both"/>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②申报对象具有较完善的项目和财务管理制度，信用记录良好。</w:t>
      </w:r>
    </w:p>
    <w:p>
      <w:pPr>
        <w:keepNext w:val="0"/>
        <w:keepLines w:val="0"/>
        <w:pageBreakBefore w:val="0"/>
        <w:kinsoku/>
        <w:wordWrap/>
        <w:overflowPunct/>
        <w:topLinePunct w:val="0"/>
        <w:autoSpaceDE/>
        <w:autoSpaceDN/>
        <w:bidi w:val="0"/>
        <w:adjustRightInd w:val="0"/>
        <w:snapToGrid w:val="0"/>
        <w:spacing w:beforeLines="0" w:afterLines="0" w:line="590" w:lineRule="exact"/>
        <w:ind w:firstLine="640" w:firstLineChars="200"/>
        <w:jc w:val="both"/>
        <w:textAlignment w:val="auto"/>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③申报</w:t>
      </w:r>
      <w:r>
        <w:rPr>
          <w:rFonts w:hint="eastAsia" w:ascii="仿宋_GB2312" w:hAnsi="仿宋_GB2312" w:eastAsia="仿宋_GB2312" w:cs="仿宋_GB2312"/>
          <w:color w:val="auto"/>
          <w:kern w:val="0"/>
          <w:sz w:val="32"/>
          <w:szCs w:val="32"/>
        </w:rPr>
        <w:t>对象</w:t>
      </w:r>
      <w:r>
        <w:rPr>
          <w:rFonts w:hint="eastAsia" w:ascii="仿宋_GB2312" w:hAnsi="仿宋_GB2312" w:eastAsia="仿宋_GB2312" w:cs="仿宋_GB2312"/>
          <w:color w:val="auto"/>
          <w:kern w:val="0"/>
          <w:sz w:val="32"/>
          <w:szCs w:val="32"/>
          <w:lang w:eastAsia="zh-CN"/>
        </w:rPr>
        <w:t>是企业的，应具有农作物种子生产经营许可证，具备开展品种培育、品种试验、良种繁育等基础设施条件。</w:t>
      </w:r>
    </w:p>
    <w:p>
      <w:pPr>
        <w:keepNext w:val="0"/>
        <w:keepLines w:val="0"/>
        <w:pageBreakBefore w:val="0"/>
        <w:numPr>
          <w:ilvl w:val="0"/>
          <w:numId w:val="0"/>
        </w:numPr>
        <w:kinsoku/>
        <w:wordWrap/>
        <w:overflowPunct/>
        <w:topLinePunct w:val="0"/>
        <w:autoSpaceDE/>
        <w:autoSpaceDN/>
        <w:bidi w:val="0"/>
        <w:adjustRightInd w:val="0"/>
        <w:snapToGrid w:val="0"/>
        <w:spacing w:beforeLines="0" w:afterLines="0" w:line="590" w:lineRule="exact"/>
        <w:ind w:firstLine="643" w:firstLineChars="200"/>
        <w:jc w:val="both"/>
        <w:textAlignment w:val="auto"/>
        <w:rPr>
          <w:rFonts w:hint="eastAsia" w:ascii="仿宋_GB2312" w:hAnsi="仿宋_GB2312" w:eastAsia="仿宋_GB2312" w:cs="仿宋_GB2312"/>
          <w:b/>
          <w:bCs/>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eastAsia="zh-CN"/>
        </w:rPr>
        <w:t>原则上</w:t>
      </w:r>
      <w:r>
        <w:rPr>
          <w:rFonts w:hint="eastAsia" w:ascii="仿宋_GB2312" w:hAnsi="仿宋_GB2312" w:eastAsia="仿宋_GB2312" w:cs="仿宋_GB2312"/>
          <w:color w:val="auto"/>
          <w:kern w:val="0"/>
          <w:sz w:val="32"/>
          <w:szCs w:val="32"/>
          <w:lang w:val="en-US" w:eastAsia="zh-CN" w:bidi="ar-SA"/>
        </w:rPr>
        <w:t>项目实施周期为3年</w:t>
      </w:r>
      <w:r>
        <w:rPr>
          <w:rFonts w:hint="eastAsia" w:ascii="仿宋_GB2312" w:hAnsi="仿宋_GB2312" w:eastAsia="仿宋_GB2312" w:cs="仿宋_GB2312"/>
          <w:color w:val="auto"/>
          <w:kern w:val="0"/>
          <w:sz w:val="32"/>
          <w:szCs w:val="32"/>
          <w:shd w:val="clear" w:color="auto" w:fill="auto"/>
          <w:lang w:val="en-US" w:eastAsia="zh-CN" w:bidi="ar-SA"/>
        </w:rPr>
        <w:t>。项目</w:t>
      </w:r>
      <w:r>
        <w:rPr>
          <w:rFonts w:hint="eastAsia" w:ascii="仿宋_GB2312" w:hAnsi="仿宋_GB2312" w:eastAsia="仿宋_GB2312" w:cs="仿宋_GB2312"/>
          <w:color w:val="auto"/>
          <w:kern w:val="0"/>
          <w:sz w:val="32"/>
          <w:szCs w:val="32"/>
          <w:lang w:eastAsia="zh-CN"/>
        </w:rPr>
        <w:t>申报单位需根据实际需求</w:t>
      </w:r>
      <w:r>
        <w:rPr>
          <w:rFonts w:hint="eastAsia" w:ascii="仿宋_GB2312" w:hAnsi="仿宋_GB2312" w:eastAsia="仿宋_GB2312" w:cs="仿宋_GB2312"/>
          <w:color w:val="auto"/>
          <w:kern w:val="0"/>
          <w:sz w:val="32"/>
          <w:szCs w:val="32"/>
        </w:rPr>
        <w:t>自行测算</w:t>
      </w:r>
      <w:r>
        <w:rPr>
          <w:rFonts w:hint="eastAsia" w:ascii="仿宋_GB2312" w:hAnsi="仿宋_GB2312" w:eastAsia="仿宋_GB2312" w:cs="仿宋_GB2312"/>
          <w:color w:val="auto"/>
          <w:kern w:val="0"/>
          <w:sz w:val="32"/>
          <w:szCs w:val="32"/>
          <w:lang w:val="en-US" w:eastAsia="zh-CN"/>
        </w:rPr>
        <w:t>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1.3 薯类品种培育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开展甘薯、马铃薯品种培育，以高产、优质、抗逆等为目标，利用分子标记辅助选择、基因组选择、辐射育种等现代前沿育种技术，结合常规育种手段，开展优异种质资源创制，定向精准改良品种，培育一批高产优质甘薯、马铃薯新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3" w:firstLineChars="200"/>
        <w:jc w:val="both"/>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甘薯：</w:t>
      </w:r>
      <w:r>
        <w:rPr>
          <w:rFonts w:hint="eastAsia" w:ascii="仿宋_GB2312" w:hAnsi="仿宋_GB2312" w:eastAsia="仿宋_GB2312" w:cs="仿宋_GB2312"/>
          <w:color w:val="auto"/>
          <w:kern w:val="0"/>
          <w:sz w:val="32"/>
          <w:szCs w:val="32"/>
          <w:lang w:val="en-US" w:eastAsia="zh-CN"/>
        </w:rPr>
        <w:t>育成甘薯新品种1个以上，并通过国家品种登记。育成的品种有突破性进展，在保持品质、抗性的基础上，比对照品种增产10%以上。</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主栽的已登记（审定）品种。</w:t>
      </w:r>
    </w:p>
    <w:p>
      <w:pPr>
        <w:adjustRightInd w:val="0"/>
        <w:snapToGrid w:val="0"/>
        <w:spacing w:beforeLines="0" w:afterLines="0" w:line="590" w:lineRule="exact"/>
        <w:ind w:firstLine="643" w:firstLineChars="200"/>
        <w:jc w:val="both"/>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马铃薯：</w:t>
      </w:r>
      <w:r>
        <w:rPr>
          <w:rFonts w:hint="eastAsia" w:ascii="仿宋_GB2312" w:hAnsi="仿宋_GB2312" w:eastAsia="仿宋_GB2312" w:cs="仿宋_GB2312"/>
          <w:color w:val="auto"/>
          <w:kern w:val="0"/>
          <w:sz w:val="32"/>
          <w:szCs w:val="32"/>
          <w:lang w:val="en-US" w:eastAsia="zh-CN"/>
        </w:rPr>
        <w:t>育成马铃薯新品种1个以上，并通过国家品种登记。育成的品种有突破性进展，在保持品质、抗性的基础上，比对照品种叶黄素含量提升50%以上，或熟期提早5-10天。</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主栽的已登记（审定）品种。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③申报对象是企业的，</w:t>
      </w:r>
      <w:r>
        <w:rPr>
          <w:rFonts w:hint="eastAsia" w:ascii="仿宋_GB2312" w:hAnsi="仿宋_GB2312" w:eastAsia="仿宋_GB2312" w:cs="仿宋_GB2312"/>
          <w:color w:val="auto"/>
          <w:kern w:val="0"/>
          <w:sz w:val="32"/>
          <w:szCs w:val="32"/>
          <w:lang w:eastAsia="zh-CN"/>
        </w:rPr>
        <w:t>应具有农作物种子生产经营许可证，</w:t>
      </w:r>
      <w:r>
        <w:rPr>
          <w:rFonts w:hint="eastAsia" w:ascii="仿宋_GB2312" w:hAnsi="仿宋_GB2312" w:eastAsia="仿宋_GB2312" w:cs="仿宋_GB2312"/>
          <w:color w:val="auto"/>
          <w:kern w:val="0"/>
          <w:sz w:val="32"/>
          <w:szCs w:val="32"/>
          <w:lang w:val="en-US" w:eastAsia="zh-CN"/>
        </w:rPr>
        <w:t>具备开展品种培育、品种试验、良种繁育等基础设施条件。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1.4 大豆品种培育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开展大豆品种培育，以高产、优质、抗逆等为目标，利用分子标记辅助选择、基因组选择、基因编辑等现代前沿育种技术，结合有性杂交、回交等常规育种手段，开展优异种质资源创制，定向精准改良品种，培育一批高产优质大豆新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育成大豆新品种1个以上，并进入国家或省品种区域试验。育成的品种有突破性进展，在保持品质、抗性的基础上，区试产量比对照品种增产10%以上。</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③申报对象是企业的，</w:t>
      </w:r>
      <w:r>
        <w:rPr>
          <w:rFonts w:hint="eastAsia" w:ascii="仿宋_GB2312" w:hAnsi="仿宋_GB2312" w:eastAsia="仿宋_GB2312" w:cs="仿宋_GB2312"/>
          <w:color w:val="auto"/>
          <w:kern w:val="0"/>
          <w:sz w:val="32"/>
          <w:szCs w:val="32"/>
          <w:lang w:eastAsia="zh-CN"/>
        </w:rPr>
        <w:t>应具有农作物种子生产经营许可证，</w:t>
      </w:r>
      <w:r>
        <w:rPr>
          <w:rFonts w:hint="eastAsia" w:ascii="仿宋_GB2312" w:hAnsi="仿宋_GB2312" w:eastAsia="仿宋_GB2312" w:cs="仿宋_GB2312"/>
          <w:color w:val="auto"/>
          <w:kern w:val="0"/>
          <w:sz w:val="32"/>
          <w:szCs w:val="32"/>
          <w:lang w:val="en-US" w:eastAsia="zh-CN"/>
        </w:rPr>
        <w:t>具备开展品种培育、品种试验、良种繁育等基础设施条件。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1.5 花生品种培育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开展花生品种培育，以高产、高油等为目标，利用分子标记辅助选择、基因组选择等现代前沿育种技术，结合常规育种手段，开展优异种质资源创制，定向精准改良品种，培育一批高产高油花生新品种。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育成花生新品种1个以上，并通过国家品种登记。育成的品种有突破性进展，在保持品质、抗性的基础上，比对照品种增产10%以上。</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主栽的已登记（审定）品种。</w:t>
      </w:r>
      <w:r>
        <w:rPr>
          <w:rFonts w:hint="eastAsia" w:ascii="仿宋_GB2312" w:hAnsi="仿宋_GB2312" w:eastAsia="仿宋_GB2312" w:cs="仿宋_GB2312"/>
          <w:color w:val="auto"/>
          <w:kern w:val="0"/>
          <w:sz w:val="32"/>
          <w:szCs w:val="32"/>
          <w:lang w:val="en-US" w:eastAsia="zh-CN"/>
        </w:rPr>
        <w:t xml:space="preserve">  </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③申报对象是企业的，</w:t>
      </w:r>
      <w:r>
        <w:rPr>
          <w:rFonts w:hint="eastAsia" w:ascii="仿宋_GB2312" w:hAnsi="仿宋_GB2312" w:eastAsia="仿宋_GB2312" w:cs="仿宋_GB2312"/>
          <w:color w:val="auto"/>
          <w:kern w:val="0"/>
          <w:sz w:val="32"/>
          <w:szCs w:val="32"/>
          <w:lang w:eastAsia="zh-CN"/>
        </w:rPr>
        <w:t>应具有农作物种子生产经营许可证，</w:t>
      </w:r>
      <w:r>
        <w:rPr>
          <w:rFonts w:hint="eastAsia" w:ascii="仿宋_GB2312" w:hAnsi="仿宋_GB2312" w:eastAsia="仿宋_GB2312" w:cs="仿宋_GB2312"/>
          <w:color w:val="auto"/>
          <w:kern w:val="0"/>
          <w:sz w:val="32"/>
          <w:szCs w:val="32"/>
          <w:lang w:val="en-US" w:eastAsia="zh-CN"/>
        </w:rPr>
        <w:t>具备开展品种培育、品种试验、良种繁育等基础设施条件。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1.6 甘蔗品种培育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开展甘蔗品种培育，以高产、高糖等为目标，利用分子标记辅助选择、基因组选择等现代前沿育种技术，结合常规育种手段，开展优异种质资源创制，定向精准改良品种，培育一批高产高糖甘蔗新品种。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育成甘蔗新品种1个以上，并通过国家品种登记。育成的品种有突破性进展，在保持高产、强宿根的基础上，比对照品种增产5%以上，含糖量提高10%以上，适宜机械化。</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主栽的已登记（审定）品种。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③申报对象是企业的，</w:t>
      </w:r>
      <w:r>
        <w:rPr>
          <w:rFonts w:hint="eastAsia" w:ascii="仿宋_GB2312" w:hAnsi="仿宋_GB2312" w:eastAsia="仿宋_GB2312" w:cs="仿宋_GB2312"/>
          <w:color w:val="auto"/>
          <w:kern w:val="0"/>
          <w:sz w:val="32"/>
          <w:szCs w:val="32"/>
          <w:lang w:eastAsia="zh-CN"/>
        </w:rPr>
        <w:t>应具有农作物种子生产经营许可证，</w:t>
      </w:r>
      <w:r>
        <w:rPr>
          <w:rFonts w:hint="eastAsia" w:ascii="仿宋_GB2312" w:hAnsi="仿宋_GB2312" w:eastAsia="仿宋_GB2312" w:cs="仿宋_GB2312"/>
          <w:color w:val="auto"/>
          <w:kern w:val="0"/>
          <w:sz w:val="32"/>
          <w:szCs w:val="32"/>
          <w:lang w:val="en-US" w:eastAsia="zh-CN"/>
        </w:rPr>
        <w:t>具备开展品种培育、品种试验、良种繁育等基础设施条件。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2.蔬菜品种培育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开展瓜类、叶菜类、茄果类、豆类等蔬菜品种培育，以优质、高产、抗病、抗逆、耐贮运、宜加工等为目标，利用分子标记辅助选择、诱变育种、基因组选择和倍性育种等现代前沿育种技术，结合常规育种手段，定向精准创制优异新种质和改良品种，培育产量高、口感好、风味佳、抗性强、耐贮运的绿色高效蔬菜新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3" w:firstLineChars="200"/>
        <w:jc w:val="both"/>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瓜类：</w:t>
      </w:r>
      <w:r>
        <w:rPr>
          <w:rFonts w:hint="eastAsia" w:ascii="仿宋_GB2312" w:hAnsi="仿宋_GB2312" w:eastAsia="仿宋_GB2312" w:cs="仿宋_GB2312"/>
          <w:color w:val="auto"/>
          <w:kern w:val="0"/>
          <w:sz w:val="32"/>
          <w:szCs w:val="32"/>
          <w:lang w:val="en-US" w:eastAsia="zh-CN"/>
        </w:rPr>
        <w:t>育成瓜类新品种1个以上，并通过省级品种现场鉴定或品种评定。育成的品种有突破性进展，在保持品质、抗性的基础上，比对照品种增产10%以上。</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评定（审定、登记）</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jc w:val="both"/>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叶菜类：</w:t>
      </w:r>
      <w:r>
        <w:rPr>
          <w:rFonts w:hint="eastAsia" w:ascii="仿宋_GB2312" w:hAnsi="仿宋_GB2312" w:eastAsia="仿宋_GB2312" w:cs="仿宋_GB2312"/>
          <w:color w:val="auto"/>
          <w:kern w:val="0"/>
          <w:sz w:val="32"/>
          <w:szCs w:val="32"/>
          <w:lang w:val="en-US" w:eastAsia="zh-CN"/>
        </w:rPr>
        <w:t>育成叶菜类新品种1个以上，并通过省级品种现场鉴定或品种评定。育成的品种有突破性进展，在保持品质、抗性的基础上，比对照品种增产10%以上。</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评定（审定、登记）</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jc w:val="both"/>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茄果类：</w:t>
      </w:r>
      <w:r>
        <w:rPr>
          <w:rFonts w:hint="eastAsia" w:ascii="仿宋_GB2312" w:hAnsi="仿宋_GB2312" w:eastAsia="仿宋_GB2312" w:cs="仿宋_GB2312"/>
          <w:color w:val="auto"/>
          <w:kern w:val="0"/>
          <w:sz w:val="32"/>
          <w:szCs w:val="32"/>
          <w:lang w:val="en-US" w:eastAsia="zh-CN"/>
        </w:rPr>
        <w:t>育成茄果类新品种1个以上，并通过省级品种现场鉴定或品种评定。育成的品种有突破性进展，在保持品质、抗性的基础上，比对照品种增产10%以上。</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评定（审定、登记）</w:t>
      </w:r>
      <w:r>
        <w:rPr>
          <w:rFonts w:hint="default" w:ascii="仿宋_GB2312" w:hAnsi="仿宋_GB2312" w:eastAsia="仿宋_GB2312" w:cs="仿宋_GB2312"/>
          <w:color w:val="auto"/>
          <w:kern w:val="0"/>
          <w:sz w:val="32"/>
          <w:szCs w:val="32"/>
          <w:lang w:val="en-US" w:eastAsia="zh-CN"/>
        </w:rPr>
        <w:t>品种</w:t>
      </w:r>
      <w:r>
        <w:rPr>
          <w:rFonts w:hint="eastAsia" w:ascii="仿宋_GB2312" w:hAnsi="仿宋_GB2312" w:eastAsia="仿宋_GB2312" w:cs="仿宋_GB2312"/>
          <w:color w:val="auto"/>
          <w:kern w:val="0"/>
          <w:sz w:val="32"/>
          <w:szCs w:val="32"/>
          <w:lang w:val="en-US" w:eastAsia="zh-CN"/>
        </w:rPr>
        <w:t>。</w:t>
      </w:r>
    </w:p>
    <w:p>
      <w:pPr>
        <w:adjustRightInd w:val="0"/>
        <w:snapToGrid w:val="0"/>
        <w:spacing w:beforeLines="0" w:afterLines="0" w:line="590" w:lineRule="exact"/>
        <w:ind w:firstLine="643" w:firstLineChars="200"/>
        <w:jc w:val="both"/>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豆类：</w:t>
      </w:r>
      <w:r>
        <w:rPr>
          <w:rFonts w:hint="eastAsia" w:ascii="仿宋_GB2312" w:hAnsi="仿宋_GB2312" w:eastAsia="仿宋_GB2312" w:cs="仿宋_GB2312"/>
          <w:color w:val="auto"/>
          <w:kern w:val="0"/>
          <w:sz w:val="32"/>
          <w:szCs w:val="32"/>
          <w:lang w:val="en-US" w:eastAsia="zh-CN"/>
        </w:rPr>
        <w:t>育成豆类新品种1个以上，并通过省级品种现场鉴定或品种评定。育成的品种有突破性进展，在保持品质、抗性的基础上，比对照品种增产10%以上。</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评定（审定、登记）</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③申报对象是企业的，</w:t>
      </w:r>
      <w:r>
        <w:rPr>
          <w:rFonts w:hint="eastAsia" w:ascii="仿宋_GB2312" w:hAnsi="仿宋_GB2312" w:eastAsia="仿宋_GB2312" w:cs="仿宋_GB2312"/>
          <w:color w:val="auto"/>
          <w:kern w:val="0"/>
          <w:sz w:val="32"/>
          <w:szCs w:val="32"/>
          <w:lang w:eastAsia="zh-CN"/>
        </w:rPr>
        <w:t>应具有农作物种子生产经营许可证，</w:t>
      </w:r>
      <w:r>
        <w:rPr>
          <w:rFonts w:hint="eastAsia" w:ascii="仿宋_GB2312" w:hAnsi="仿宋_GB2312" w:eastAsia="仿宋_GB2312" w:cs="仿宋_GB2312"/>
          <w:color w:val="auto"/>
          <w:kern w:val="0"/>
          <w:sz w:val="32"/>
          <w:szCs w:val="32"/>
          <w:lang w:val="en-US" w:eastAsia="zh-CN"/>
        </w:rPr>
        <w:t>具备开展品种培育、品种试验、良种繁育等基础设施条件。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3.果桑茶品种培育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3.1果树品种培育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围绕荔枝、香蕉、柑橘、龙眼、菠萝、火龙果、芒果、番木瓜、番石榴、李、黄皮、桃等开展品种培育，以风味佳、抗逆强、不同熟期（特早熟或特晚熟）、丰产稳产、适宜加工等为目标，利用分子标记辅助选择、细胞工程育种、诱变育种和倍性育种等现代前沿育种技术，结合常规育种手段，定向精准创制优异新种质和改良品种，培育风味佳、熟期错开、丰产稳产和抗逆果树新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荔枝：</w:t>
      </w:r>
      <w:r>
        <w:rPr>
          <w:rFonts w:hint="eastAsia" w:ascii="仿宋_GB2312" w:hAnsi="仿宋_GB2312" w:eastAsia="仿宋_GB2312" w:cs="仿宋_GB2312"/>
          <w:color w:val="auto"/>
          <w:kern w:val="0"/>
          <w:sz w:val="32"/>
          <w:szCs w:val="32"/>
          <w:lang w:val="en-US" w:eastAsia="zh-CN"/>
        </w:rPr>
        <w:t>育成荔枝新品种1个以上，并通过省级品种现场鉴定或品种评定。育成的品种在成熟期上有突破性进展，比对照品种成熟期提早7天以上，可溶性固形物17%以上，品质优、丰产稳产性能好；或者特晚熟、品质显著提升、耐贮性强、香味浓郁、可食率高，能缓解产业上早熟、特晚熟品种缺乏问题，竞争力显著提高。</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香蕉：</w:t>
      </w:r>
      <w:r>
        <w:rPr>
          <w:rFonts w:hint="eastAsia" w:ascii="仿宋_GB2312" w:hAnsi="仿宋_GB2312" w:eastAsia="仿宋_GB2312" w:cs="仿宋_GB2312"/>
          <w:color w:val="auto"/>
          <w:kern w:val="0"/>
          <w:sz w:val="32"/>
          <w:szCs w:val="32"/>
          <w:lang w:val="en-US" w:eastAsia="zh-CN"/>
        </w:rPr>
        <w:t>育成香蕉新品种1个以上，并通过国家品种登记。育成的品种有突破性进展，与对照品种相比，在保持产量和品质的基础上，高抗香蕉枯萎病（田间感病率低于10%），生育期不延长；或者在保持产量和抗性的基础上，加工性能明显提升。</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登记（或获得植物新品种权）</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柑橘：</w:t>
      </w:r>
      <w:r>
        <w:rPr>
          <w:rFonts w:hint="eastAsia" w:ascii="仿宋_GB2312" w:hAnsi="仿宋_GB2312" w:eastAsia="仿宋_GB2312" w:cs="仿宋_GB2312"/>
          <w:color w:val="auto"/>
          <w:kern w:val="0"/>
          <w:sz w:val="32"/>
          <w:szCs w:val="32"/>
          <w:lang w:val="en-US" w:eastAsia="zh-CN"/>
        </w:rPr>
        <w:t>育成柑橘新品种1个以上，并通过国家品种登记。育成的品种有突破性进展，与对照品种相比，在保持产量和抗性的基础上，外观好、低酸（比对照低30%以上）、成熟期提早或推迟20天以上。</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登记（审定）</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龙眼：</w:t>
      </w:r>
      <w:r>
        <w:rPr>
          <w:rFonts w:hint="eastAsia" w:ascii="仿宋_GB2312" w:hAnsi="仿宋_GB2312" w:eastAsia="仿宋_GB2312" w:cs="仿宋_GB2312"/>
          <w:color w:val="auto"/>
          <w:kern w:val="0"/>
          <w:sz w:val="32"/>
          <w:szCs w:val="32"/>
          <w:lang w:val="en-US" w:eastAsia="zh-CN"/>
        </w:rPr>
        <w:t>育成龙眼新品种1个以上，并通过省级品种现场鉴定或品种评定。育成的品种有突破性进展，在保持产量和品质的基础上，比对照品种早熟10-15天，或者风味独特、香味浓郁，解决当前主栽培品种单一的产业问题，市场竞争力显著提高。</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菠萝：</w:t>
      </w:r>
      <w:r>
        <w:rPr>
          <w:rFonts w:hint="eastAsia" w:ascii="仿宋_GB2312" w:hAnsi="仿宋_GB2312" w:eastAsia="仿宋_GB2312" w:cs="仿宋_GB2312"/>
          <w:color w:val="auto"/>
          <w:kern w:val="0"/>
          <w:sz w:val="32"/>
          <w:szCs w:val="32"/>
          <w:lang w:val="en-US" w:eastAsia="zh-CN"/>
        </w:rPr>
        <w:t>育成菠萝新品种1个以上，并通过省级品种现场鉴定或品种评定。育成的品种有突破性进展，与对照品种相比，总糖含量提高15%以上，总酸含量降低20%以上，抗逆性更强或产量提高10%以上，口感好、风味佳，市场竞争力显著提高。</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火龙果：</w:t>
      </w:r>
      <w:r>
        <w:rPr>
          <w:rFonts w:hint="eastAsia" w:ascii="仿宋_GB2312" w:hAnsi="仿宋_GB2312" w:eastAsia="仿宋_GB2312" w:cs="仿宋_GB2312"/>
          <w:color w:val="auto"/>
          <w:kern w:val="0"/>
          <w:sz w:val="32"/>
          <w:szCs w:val="32"/>
          <w:lang w:val="en-US" w:eastAsia="zh-CN"/>
        </w:rPr>
        <w:t>育成火龙果新品种1个以上，并通过省级品种现场鉴定或品种评定。育成的品种有突破性进展，与对照品种相比，在保持品质的基础上，增产10%以上、自交亲和、果实颜色特异、抗逆性或耐贮运性显著提高。</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芒果：</w:t>
      </w:r>
      <w:r>
        <w:rPr>
          <w:rFonts w:hint="eastAsia" w:ascii="仿宋_GB2312" w:hAnsi="仿宋_GB2312" w:eastAsia="仿宋_GB2312" w:cs="仿宋_GB2312"/>
          <w:color w:val="auto"/>
          <w:kern w:val="0"/>
          <w:sz w:val="32"/>
          <w:szCs w:val="32"/>
          <w:lang w:val="en-US" w:eastAsia="zh-CN"/>
        </w:rPr>
        <w:t>育成芒果新品种1个以上，并通过省级品种现场鉴定或品种评定。育成的品种有突破性进展，与对照品种相比，在保持产量、品质、抗性等基础上，成熟期提早至4-6月或延迟至9-10月、适宜设施栽培。</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番木瓜：</w:t>
      </w:r>
      <w:r>
        <w:rPr>
          <w:rFonts w:hint="eastAsia" w:ascii="仿宋_GB2312" w:hAnsi="仿宋_GB2312" w:eastAsia="仿宋_GB2312" w:cs="仿宋_GB2312"/>
          <w:color w:val="auto"/>
          <w:kern w:val="0"/>
          <w:sz w:val="32"/>
          <w:szCs w:val="32"/>
          <w:lang w:val="en-US" w:eastAsia="zh-CN"/>
        </w:rPr>
        <w:t>育成番木瓜新品种1个以上，并通过省级品种现场鉴定或品种评定。育成的品种有突破性进展，在保持品质、抗性的基础上，比对照品种增产10%以上，在常温条件下耐贮藏性增加2天以上，并具有品质优、口感好、风味佳等优势，市场竞争力显著提高。</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番石榴：</w:t>
      </w:r>
      <w:r>
        <w:rPr>
          <w:rFonts w:hint="eastAsia" w:ascii="仿宋_GB2312" w:hAnsi="仿宋_GB2312" w:eastAsia="仿宋_GB2312" w:cs="仿宋_GB2312"/>
          <w:color w:val="auto"/>
          <w:kern w:val="0"/>
          <w:sz w:val="32"/>
          <w:szCs w:val="32"/>
          <w:lang w:val="en-US" w:eastAsia="zh-CN"/>
        </w:rPr>
        <w:t>育成番石榴新品种1个以上，并通过省级品种现场鉴定或品种评定。育成的品种有突破性进展，在保持品质、抗性的基础上，比对照品种增产5%以上，并具备少籽（无籽）、抗性强（抗枝枯病、根结线虫等主要病虫害）、颜色鲜艳、耐贮等优良性状。</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李：</w:t>
      </w:r>
      <w:r>
        <w:rPr>
          <w:rFonts w:hint="eastAsia" w:ascii="仿宋_GB2312" w:hAnsi="仿宋_GB2312" w:eastAsia="仿宋_GB2312" w:cs="仿宋_GB2312"/>
          <w:color w:val="auto"/>
          <w:kern w:val="0"/>
          <w:sz w:val="32"/>
          <w:szCs w:val="32"/>
          <w:lang w:val="en-US" w:eastAsia="zh-CN"/>
        </w:rPr>
        <w:t>育成李新品种1个以上，并通过省级品种现场鉴定或品种评定。育成的品种有突破性进展，在保持品质、抗性的基础上，比对照品种晚熟15天以上、单果重增加15%以上、裂果率减少20%以上。</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黄皮：</w:t>
      </w:r>
      <w:r>
        <w:rPr>
          <w:rFonts w:hint="eastAsia" w:ascii="仿宋_GB2312" w:hAnsi="仿宋_GB2312" w:eastAsia="仿宋_GB2312" w:cs="仿宋_GB2312"/>
          <w:color w:val="auto"/>
          <w:kern w:val="0"/>
          <w:sz w:val="32"/>
          <w:szCs w:val="32"/>
          <w:lang w:val="en-US" w:eastAsia="zh-CN"/>
        </w:rPr>
        <w:t>育成黄</w:t>
      </w:r>
      <w:r>
        <w:rPr>
          <w:rFonts w:hint="eastAsia" w:ascii="仿宋_GB2312" w:hAnsi="仿宋_GB2312" w:eastAsia="仿宋_GB2312" w:cs="仿宋_GB2312"/>
          <w:b w:val="0"/>
          <w:bCs w:val="0"/>
          <w:color w:val="auto"/>
          <w:kern w:val="0"/>
          <w:sz w:val="32"/>
          <w:szCs w:val="32"/>
          <w:lang w:val="en-US" w:eastAsia="zh-CN"/>
        </w:rPr>
        <w:t>皮</w:t>
      </w:r>
      <w:r>
        <w:rPr>
          <w:rFonts w:hint="eastAsia" w:ascii="仿宋_GB2312" w:hAnsi="仿宋_GB2312" w:eastAsia="仿宋_GB2312" w:cs="仿宋_GB2312"/>
          <w:color w:val="auto"/>
          <w:kern w:val="0"/>
          <w:sz w:val="32"/>
          <w:szCs w:val="32"/>
          <w:lang w:val="en-US" w:eastAsia="zh-CN"/>
        </w:rPr>
        <w:t>新品种1个以上，并通过省级品种现场鉴定或品种评定。育成的品种有突破性进展，在保持丰产、稳产的基础上，比对照品种早熟或晚熟6-10天，能缓解产业上主栽品种单一、成熟期过于集中的问题；或果大10%以上、可溶性固形物提高10%以上、酸度降低20%，品质明显提升，具有较强的市场竞争力。</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桃：</w:t>
      </w:r>
      <w:r>
        <w:rPr>
          <w:rFonts w:hint="eastAsia" w:ascii="仿宋_GB2312" w:hAnsi="仿宋_GB2312" w:eastAsia="仿宋_GB2312" w:cs="仿宋_GB2312"/>
          <w:color w:val="auto"/>
          <w:kern w:val="0"/>
          <w:sz w:val="32"/>
          <w:szCs w:val="32"/>
          <w:lang w:val="en-US" w:eastAsia="zh-CN"/>
        </w:rPr>
        <w:t>育成桃新品种1个以上，并通过国家品种登记。育成的品种有突破性进展，在保持产量和抗性的基础上，比对照品种需冷量低，在粤北及粤东北地区具有广适性，可溶性固形物增加10%以上。</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登记</w:t>
      </w:r>
      <w:r>
        <w:rPr>
          <w:rFonts w:hint="default" w:ascii="仿宋_GB2312" w:hAnsi="仿宋_GB2312" w:eastAsia="仿宋_GB2312" w:cs="仿宋_GB2312"/>
          <w:color w:val="auto"/>
          <w:kern w:val="0"/>
          <w:sz w:val="32"/>
          <w:szCs w:val="32"/>
          <w:lang w:val="en-US" w:eastAsia="zh-CN"/>
        </w:rPr>
        <w:t>品种</w:t>
      </w:r>
      <w:r>
        <w:rPr>
          <w:rFonts w:hint="eastAsia" w:ascii="仿宋_GB2312" w:hAnsi="仿宋_GB2312" w:eastAsia="仿宋_GB2312" w:cs="仿宋_GB2312"/>
          <w:color w:val="auto"/>
          <w:kern w:val="0"/>
          <w:sz w:val="32"/>
          <w:szCs w:val="32"/>
          <w:lang w:val="en-US" w:eastAsia="zh-CN"/>
        </w:rPr>
        <w:t>。</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③申报对象是企业的，</w:t>
      </w:r>
      <w:r>
        <w:rPr>
          <w:rFonts w:hint="eastAsia" w:ascii="仿宋_GB2312" w:hAnsi="仿宋_GB2312" w:eastAsia="仿宋_GB2312" w:cs="仿宋_GB2312"/>
          <w:color w:val="auto"/>
          <w:kern w:val="0"/>
          <w:sz w:val="32"/>
          <w:szCs w:val="32"/>
          <w:lang w:eastAsia="zh-CN"/>
        </w:rPr>
        <w:t>应具有农作物种子生产经营许可证，</w:t>
      </w:r>
      <w:r>
        <w:rPr>
          <w:rFonts w:hint="eastAsia" w:ascii="仿宋_GB2312" w:hAnsi="仿宋_GB2312" w:eastAsia="仿宋_GB2312" w:cs="仿宋_GB2312"/>
          <w:color w:val="auto"/>
          <w:kern w:val="0"/>
          <w:sz w:val="32"/>
          <w:szCs w:val="32"/>
          <w:lang w:val="en-US" w:eastAsia="zh-CN"/>
        </w:rPr>
        <w:t>具备开展品种培育、品种试验、良种繁育等基础设施条件。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3.2 桑树品种培育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开展桑树品种培育，以优质、高产、高抗性、高活性物质含量为目标，利用分子标记辅助选择、基因组选择和倍性育种等现代前沿育种技术，结合常规育种手段，定向精准创制优异新种质和改良品种，培育优质高产、或高抗性、或高活性物质含量的桑树新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0" w:firstLineChars="200"/>
        <w:jc w:val="both"/>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育成桑树新品种1个以上，并通过省级品种现场鉴定或品种评定。育成的品种有突破性进展，在保持品质和抗性的基础上，比对照品种桑叶、桑果或桑芽增产10%以上；或者在保持产量和品质的基础上，高抗桑树青枯病（田间感病率低于20%）；或者在保持产量的基础上，活性物质花色苷或生物碱含量提高10%以上。</w:t>
      </w:r>
      <w:r>
        <w:rPr>
          <w:rFonts w:hint="default" w:ascii="仿宋_GB2312" w:hAnsi="仿宋_GB2312" w:eastAsia="仿宋_GB2312" w:cs="仿宋_GB2312"/>
          <w:color w:val="auto"/>
          <w:kern w:val="0"/>
          <w:sz w:val="32"/>
          <w:szCs w:val="32"/>
          <w:lang w:val="en-US" w:eastAsia="zh-CN"/>
        </w:rPr>
        <w:t>所选</w:t>
      </w:r>
      <w:r>
        <w:rPr>
          <w:rFonts w:hint="eastAsia" w:ascii="仿宋_GB2312" w:hAnsi="仿宋_GB2312" w:eastAsia="仿宋_GB2312" w:cs="仿宋_GB2312"/>
          <w:color w:val="auto"/>
          <w:kern w:val="0"/>
          <w:sz w:val="32"/>
          <w:szCs w:val="32"/>
          <w:lang w:val="en-US" w:eastAsia="zh-CN"/>
        </w:rPr>
        <w:t>对照</w:t>
      </w:r>
      <w:r>
        <w:rPr>
          <w:rFonts w:hint="default" w:ascii="仿宋_GB2312" w:hAnsi="仿宋_GB2312" w:eastAsia="仿宋_GB2312" w:cs="仿宋_GB2312"/>
          <w:color w:val="auto"/>
          <w:kern w:val="0"/>
          <w:sz w:val="32"/>
          <w:szCs w:val="32"/>
          <w:lang w:val="en-US" w:eastAsia="zh-CN"/>
        </w:rPr>
        <w:t>品种必须是</w:t>
      </w:r>
      <w:r>
        <w:rPr>
          <w:rFonts w:hint="eastAsia" w:ascii="仿宋_GB2312" w:hAnsi="仿宋_GB2312" w:eastAsia="仿宋_GB2312" w:cs="仿宋_GB2312"/>
          <w:color w:val="auto"/>
          <w:kern w:val="0"/>
          <w:sz w:val="32"/>
          <w:szCs w:val="32"/>
          <w:lang w:val="en-US" w:eastAsia="zh-CN"/>
        </w:rPr>
        <w:t>当前</w:t>
      </w:r>
      <w:r>
        <w:rPr>
          <w:rFonts w:hint="default" w:ascii="仿宋_GB2312" w:hAnsi="仿宋_GB2312" w:eastAsia="仿宋_GB2312" w:cs="仿宋_GB2312"/>
          <w:color w:val="auto"/>
          <w:kern w:val="0"/>
          <w:sz w:val="32"/>
          <w:szCs w:val="32"/>
          <w:lang w:val="en-US" w:eastAsia="zh-CN"/>
        </w:rPr>
        <w:t>主栽的已</w:t>
      </w:r>
      <w:r>
        <w:rPr>
          <w:rFonts w:hint="eastAsia" w:ascii="仿宋_GB2312" w:hAnsi="仿宋_GB2312" w:eastAsia="仿宋_GB2312" w:cs="仿宋_GB2312"/>
          <w:color w:val="auto"/>
          <w:kern w:val="0"/>
          <w:sz w:val="32"/>
          <w:szCs w:val="32"/>
          <w:lang w:val="en-US" w:eastAsia="zh-CN"/>
        </w:rPr>
        <w:t>评定（审定）</w:t>
      </w:r>
      <w:r>
        <w:rPr>
          <w:rFonts w:hint="default" w:ascii="仿宋_GB2312" w:hAnsi="仿宋_GB2312" w:eastAsia="仿宋_GB2312" w:cs="仿宋_GB2312"/>
          <w:color w:val="auto"/>
          <w:kern w:val="0"/>
          <w:sz w:val="32"/>
          <w:szCs w:val="32"/>
          <w:lang w:val="en-US" w:eastAsia="zh-CN"/>
        </w:rPr>
        <w:t>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③申报对象是企业的，</w:t>
      </w:r>
      <w:r>
        <w:rPr>
          <w:rFonts w:hint="eastAsia" w:ascii="仿宋_GB2312" w:hAnsi="仿宋_GB2312" w:eastAsia="仿宋_GB2312" w:cs="仿宋_GB2312"/>
          <w:color w:val="auto"/>
          <w:kern w:val="0"/>
          <w:sz w:val="32"/>
          <w:szCs w:val="32"/>
          <w:lang w:eastAsia="zh-CN"/>
        </w:rPr>
        <w:t>应具有农作物种子生产经营许可证，</w:t>
      </w:r>
      <w:r>
        <w:rPr>
          <w:rFonts w:hint="eastAsia" w:ascii="仿宋_GB2312" w:hAnsi="仿宋_GB2312" w:eastAsia="仿宋_GB2312" w:cs="仿宋_GB2312"/>
          <w:color w:val="auto"/>
          <w:kern w:val="0"/>
          <w:sz w:val="32"/>
          <w:szCs w:val="32"/>
          <w:lang w:val="en-US" w:eastAsia="zh-CN"/>
        </w:rPr>
        <w:t>具备开展品种培育、品种试验、良种繁育等基础设施条件。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3.3 茶树品种培育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开展茶树品种培育，利用分子标记辅助育种、基因组选择等现代前沿育种技术，结合常规育种手段，开展广东主栽大叶种红茶茶树品种改良研究，突破大叶种红茶甜厚度优异但花香欠佳的问题，选育集甜润浓厚滋味与浓郁花香一体的优异大叶种红茶茶树新品种，同时开展配套种苗繁育技术研究，加快新品种的推广。</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育成茶树新品种1个以上，并通过国家品种登记。育成的品种有突破性进展，比对照品种花香味更浓郁，产量提高10%以上，市场竞争力显著提高。所选对照品种必须是当前主栽的已登记（审定）品种。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spacing w:val="-9"/>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w:t>
      </w:r>
      <w:r>
        <w:rPr>
          <w:rFonts w:hint="eastAsia" w:ascii="仿宋_GB2312" w:hAnsi="仿宋_GB2312" w:eastAsia="仿宋_GB2312" w:cs="仿宋_GB2312"/>
          <w:color w:val="auto"/>
          <w:spacing w:val="-9"/>
          <w:kern w:val="0"/>
          <w:sz w:val="32"/>
          <w:szCs w:val="32"/>
          <w:lang w:val="en-US" w:eastAsia="zh-CN"/>
        </w:rPr>
        <w:t>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③申报对象是企业的，</w:t>
      </w:r>
      <w:r>
        <w:rPr>
          <w:rFonts w:hint="eastAsia" w:ascii="仿宋_GB2312" w:hAnsi="仿宋_GB2312" w:eastAsia="仿宋_GB2312" w:cs="仿宋_GB2312"/>
          <w:color w:val="auto"/>
          <w:kern w:val="0"/>
          <w:sz w:val="32"/>
          <w:szCs w:val="32"/>
          <w:lang w:eastAsia="zh-CN"/>
        </w:rPr>
        <w:t>应具有农作物种子生产经营许可证，</w:t>
      </w:r>
      <w:r>
        <w:rPr>
          <w:rFonts w:hint="eastAsia" w:ascii="仿宋_GB2312" w:hAnsi="仿宋_GB2312" w:eastAsia="仿宋_GB2312" w:cs="仿宋_GB2312"/>
          <w:color w:val="auto"/>
          <w:kern w:val="0"/>
          <w:sz w:val="32"/>
          <w:szCs w:val="32"/>
          <w:lang w:val="en-US" w:eastAsia="zh-CN"/>
        </w:rPr>
        <w:t>具备开展品种培育、品种试验、良种繁育等基础设施条件。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4.花卉品种培育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开展兰花、朱顶红、菊花、红掌、姜花、观叶植物等花卉品种培育，以花期长、有香气、观赏性好等为目标，利用分子标记辅助选择、基因编辑等现代前沿育种技术，结合倍性育种、诱变育种、杂交育种等手段，定向精准创制优异新种质，培育市场竞争力强的花卉新品种，同时开展种苗繁育技术研究，加快新品种的推广。</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兰花：</w:t>
      </w:r>
      <w:r>
        <w:rPr>
          <w:rFonts w:hint="eastAsia" w:ascii="仿宋_GB2312" w:hAnsi="仿宋_GB2312" w:eastAsia="仿宋_GB2312" w:cs="仿宋_GB2312"/>
          <w:color w:val="auto"/>
          <w:kern w:val="0"/>
          <w:sz w:val="32"/>
          <w:szCs w:val="32"/>
          <w:lang w:val="en-US" w:eastAsia="zh-CN"/>
        </w:rPr>
        <w:t>育成兰花新品种1个以上，并通过省级品种评定。育成的品种有突破性进展，比对照品种盛花期延长1倍以上，或花朵数增加1/3以上，市场竞争力显著提高。所选对照品种必须是当前市场主流的已评定（审定）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朱顶红：</w:t>
      </w:r>
      <w:r>
        <w:rPr>
          <w:rFonts w:hint="eastAsia" w:ascii="仿宋_GB2312" w:hAnsi="仿宋_GB2312" w:eastAsia="仿宋_GB2312" w:cs="仿宋_GB2312"/>
          <w:color w:val="auto"/>
          <w:kern w:val="0"/>
          <w:sz w:val="32"/>
          <w:szCs w:val="32"/>
          <w:lang w:val="en-US" w:eastAsia="zh-CN"/>
        </w:rPr>
        <w:t>育成朱顶红新品种1个以上，并通过省级品种评定。育成的品种有突破性进展，与对照品种相比，在香气性状上显著加强，香味更加浓郁，萜类香气物质相对含量增加2倍以上，市场竞争力显著提高。所选对照品种必须是当前市场主流的已评定（审定）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菊花：</w:t>
      </w:r>
      <w:r>
        <w:rPr>
          <w:rFonts w:hint="eastAsia" w:ascii="仿宋_GB2312" w:hAnsi="仿宋_GB2312" w:eastAsia="仿宋_GB2312" w:cs="仿宋_GB2312"/>
          <w:color w:val="auto"/>
          <w:kern w:val="0"/>
          <w:sz w:val="32"/>
          <w:szCs w:val="32"/>
          <w:lang w:val="en-US" w:eastAsia="zh-CN"/>
        </w:rPr>
        <w:t>育成菊花新品种1个以上，并通过省级品种评定。育成的品种有突破性进展，与对照品种相比，花期延长50％以上，冬春优质花率提高50％以上，市场竞争力显著提高。所选对照品种必须是当前市场主流的已评定（审定）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红掌：</w:t>
      </w:r>
      <w:r>
        <w:rPr>
          <w:rFonts w:hint="eastAsia" w:ascii="仿宋_GB2312" w:hAnsi="仿宋_GB2312" w:eastAsia="仿宋_GB2312" w:cs="仿宋_GB2312"/>
          <w:color w:val="auto"/>
          <w:kern w:val="0"/>
          <w:sz w:val="32"/>
          <w:szCs w:val="32"/>
          <w:lang w:val="en-US" w:eastAsia="zh-CN"/>
        </w:rPr>
        <w:t>育成红掌新品种1个以上，并通过省级品种评定。育成的新品种有突破性进展，与对照品种相比，花期提早1个月，或有香味，市场竞争力显著提高。所选对照品种必须是当前市场主流的已评定（审定）品种。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姜花：</w:t>
      </w:r>
      <w:r>
        <w:rPr>
          <w:rFonts w:hint="eastAsia" w:ascii="仿宋_GB2312" w:hAnsi="仿宋_GB2312" w:eastAsia="仿宋_GB2312" w:cs="仿宋_GB2312"/>
          <w:color w:val="auto"/>
          <w:kern w:val="0"/>
          <w:sz w:val="32"/>
          <w:szCs w:val="32"/>
          <w:lang w:val="en-US" w:eastAsia="zh-CN"/>
        </w:rPr>
        <w:t>育成</w:t>
      </w:r>
      <w:r>
        <w:rPr>
          <w:rFonts w:hint="eastAsia" w:ascii="仿宋_GB2312" w:hAnsi="仿宋_GB2312" w:eastAsia="仿宋_GB2312" w:cs="仿宋_GB2312"/>
          <w:b w:val="0"/>
          <w:bCs w:val="0"/>
          <w:color w:val="auto"/>
          <w:kern w:val="0"/>
          <w:sz w:val="32"/>
          <w:szCs w:val="32"/>
          <w:lang w:val="en-US" w:eastAsia="zh-CN"/>
        </w:rPr>
        <w:t>姜花</w:t>
      </w:r>
      <w:r>
        <w:rPr>
          <w:rFonts w:hint="eastAsia" w:ascii="仿宋_GB2312" w:hAnsi="仿宋_GB2312" w:eastAsia="仿宋_GB2312" w:cs="仿宋_GB2312"/>
          <w:color w:val="auto"/>
          <w:kern w:val="0"/>
          <w:sz w:val="32"/>
          <w:szCs w:val="32"/>
          <w:lang w:val="en-US" w:eastAsia="zh-CN"/>
        </w:rPr>
        <w:t>新品种1个以上，并通过省级品种评定。育成的品种有突破性进展，与对照品种相比，植株高度明显降低，更适合做盆花，或花色更加丰富，市场竞争力显著提高。所选对照品种必须是当前市场主流的已评定（审定）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观叶植物：</w:t>
      </w:r>
      <w:r>
        <w:rPr>
          <w:rFonts w:hint="eastAsia" w:ascii="仿宋_GB2312" w:hAnsi="仿宋_GB2312" w:eastAsia="仿宋_GB2312" w:cs="仿宋_GB2312"/>
          <w:color w:val="auto"/>
          <w:kern w:val="0"/>
          <w:sz w:val="32"/>
          <w:szCs w:val="32"/>
          <w:lang w:val="en-US" w:eastAsia="zh-CN"/>
        </w:rPr>
        <w:t>育成观叶植物新品种1个以上，并通过省级品种评定。育成的品种有突破性进展，与对照品种相比，生长速度快、株型更紧凑、抗逆性强，市场竞争力显著提高。所选对照品种必须是当前市场主流的已评定（审定）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③申报对象是企业的，</w:t>
      </w:r>
      <w:r>
        <w:rPr>
          <w:rFonts w:hint="eastAsia" w:ascii="仿宋_GB2312" w:hAnsi="仿宋_GB2312" w:eastAsia="仿宋_GB2312" w:cs="仿宋_GB2312"/>
          <w:color w:val="auto"/>
          <w:kern w:val="0"/>
          <w:sz w:val="32"/>
          <w:szCs w:val="32"/>
          <w:lang w:eastAsia="zh-CN"/>
        </w:rPr>
        <w:t>应具有农作物种子生产经营许可证，</w:t>
      </w:r>
      <w:r>
        <w:rPr>
          <w:rFonts w:hint="eastAsia" w:ascii="仿宋_GB2312" w:hAnsi="仿宋_GB2312" w:eastAsia="仿宋_GB2312" w:cs="仿宋_GB2312"/>
          <w:color w:val="auto"/>
          <w:kern w:val="0"/>
          <w:sz w:val="32"/>
          <w:szCs w:val="32"/>
          <w:lang w:val="en-US" w:eastAsia="zh-CN"/>
        </w:rPr>
        <w:t>具备开展品种培育、品种试验、良种繁育等基础设施条件。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5.南药品种培育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开展广藿香、春砂仁、化橘红、广金钱草、广陈皮等南药品种培育，以药效成分含量高、产量高、抗性强等为目标，利用分子标记辅助选择等现代前沿育种技术，定向精准创制优异新种质，培育优质高产南药新品种，同时开展种子种苗繁育技术研究，加快新品种的推广。</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广藿香：</w:t>
      </w:r>
      <w:r>
        <w:rPr>
          <w:rFonts w:hint="eastAsia" w:ascii="仿宋_GB2312" w:hAnsi="仿宋_GB2312" w:eastAsia="仿宋_GB2312" w:cs="仿宋_GB2312"/>
          <w:color w:val="auto"/>
          <w:kern w:val="0"/>
          <w:sz w:val="32"/>
          <w:szCs w:val="32"/>
          <w:lang w:val="en-US" w:eastAsia="zh-CN"/>
        </w:rPr>
        <w:t>育成广藿香新品种1个以上，并通过省级品种现场鉴定或品种评定。育成的品种有突破性进展，与对照品种相比，在保持主要优良性状的基础上，广藿香酮含量提高20%以上，或挥发油含量提高15%以上，或增产15%以上，市场竞争力显著提高。所选对照品种必须是生产上主栽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春砂仁：</w:t>
      </w:r>
      <w:r>
        <w:rPr>
          <w:rFonts w:hint="eastAsia" w:ascii="仿宋_GB2312" w:hAnsi="仿宋_GB2312" w:eastAsia="仿宋_GB2312" w:cs="仿宋_GB2312"/>
          <w:color w:val="auto"/>
          <w:kern w:val="0"/>
          <w:sz w:val="32"/>
          <w:szCs w:val="32"/>
          <w:lang w:val="en-US" w:eastAsia="zh-CN"/>
        </w:rPr>
        <w:t>育成春砂仁新品种1个以上，并通过省级品种现场鉴定或品种评定。育成的品种有突破性进展，与对照品种相比，在保持主要优良性状的基础上，产量提升20%以上，挥发油、乙酸龙脑酯含量比《中国药典》（2020年版）规定的含量分别提高10%和80%以上。所选对照品种必须是生产上主栽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化橘红：</w:t>
      </w:r>
      <w:r>
        <w:rPr>
          <w:rFonts w:hint="eastAsia" w:ascii="仿宋_GB2312" w:hAnsi="仿宋_GB2312" w:eastAsia="仿宋_GB2312" w:cs="仿宋_GB2312"/>
          <w:color w:val="auto"/>
          <w:kern w:val="0"/>
          <w:sz w:val="32"/>
          <w:szCs w:val="32"/>
          <w:lang w:val="en-US" w:eastAsia="zh-CN"/>
        </w:rPr>
        <w:t>育成化橘红新品种1个以上，并通过省级品种现场鉴定或品种评定。育成的品种有突破性进展，与对照品种相比，在保持主要优良性状的基础上，胎柚皮苷含量提高20%以上，或总黄酮含量提高15%以上，或增产10%以上。所选对照品种必须是生产上主栽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广金钱草：</w:t>
      </w:r>
      <w:r>
        <w:rPr>
          <w:rFonts w:hint="eastAsia" w:ascii="仿宋_GB2312" w:hAnsi="仿宋_GB2312" w:eastAsia="仿宋_GB2312" w:cs="仿宋_GB2312"/>
          <w:color w:val="auto"/>
          <w:kern w:val="0"/>
          <w:sz w:val="32"/>
          <w:szCs w:val="32"/>
          <w:lang w:val="en-US" w:eastAsia="zh-CN"/>
        </w:rPr>
        <w:t>育成广金钱草新品种1个以上，并通过省级品种现场鉴定或品种评定。育成的品种有突破性进展，与对照品种相比，在保持主要优良性状的基础上，夏佛塔苷含量提高15%以上，可直立生长，易采收。所选对照品种必须是生产上主栽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茶枝柑（广陈皮）</w:t>
      </w:r>
      <w:r>
        <w:rPr>
          <w:rFonts w:hint="eastAsia" w:ascii="仿宋_GB2312" w:hAnsi="仿宋_GB2312" w:eastAsia="仿宋_GB2312" w:cs="仿宋_GB2312"/>
          <w:color w:val="auto"/>
          <w:kern w:val="0"/>
          <w:sz w:val="32"/>
          <w:szCs w:val="32"/>
          <w:lang w:val="en-US" w:eastAsia="zh-CN"/>
        </w:rPr>
        <w:t>：育成茶枝柑（广陈皮）新品种1个以上，并通过省级品种现场鉴定或品种评定。育成的品种有突破性进展，与对照品种相比，在保持主要优良农艺性状的基础上，药效成分显著提高（橙皮苷含量提高10%以上，或川陈皮素含量提高15%以上，或挥发油含量提高10%以上），单位面积的产量增加10%以上，市场竞争力显著提高。所选对照品种必须是生产上主栽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③申报对象是企业的，</w:t>
      </w:r>
      <w:r>
        <w:rPr>
          <w:rFonts w:hint="eastAsia" w:ascii="仿宋_GB2312" w:hAnsi="仿宋_GB2312" w:eastAsia="仿宋_GB2312" w:cs="仿宋_GB2312"/>
          <w:color w:val="auto"/>
          <w:kern w:val="0"/>
          <w:sz w:val="32"/>
          <w:szCs w:val="32"/>
          <w:lang w:eastAsia="zh-CN"/>
        </w:rPr>
        <w:t>应具有农作物种子生产经营许可证，</w:t>
      </w:r>
      <w:r>
        <w:rPr>
          <w:rFonts w:hint="eastAsia" w:ascii="仿宋_GB2312" w:hAnsi="仿宋_GB2312" w:eastAsia="仿宋_GB2312" w:cs="仿宋_GB2312"/>
          <w:color w:val="auto"/>
          <w:kern w:val="0"/>
          <w:sz w:val="32"/>
          <w:szCs w:val="32"/>
          <w:lang w:val="en-US" w:eastAsia="zh-CN"/>
        </w:rPr>
        <w:t>具备开展品种培育、品种试验、良种繁育等基础设施条件。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0" w:firstLineChars="200"/>
        <w:rPr>
          <w:rFonts w:hint="eastAsia" w:ascii="黑体" w:hAnsi="黑体" w:eastAsia="黑体" w:cs="黑体"/>
          <w:b w:val="0"/>
          <w:bCs w:val="0"/>
          <w:color w:val="auto"/>
          <w:kern w:val="0"/>
          <w:sz w:val="32"/>
          <w:szCs w:val="32"/>
          <w:lang w:val="en-US" w:eastAsia="zh-CN"/>
        </w:rPr>
      </w:pPr>
      <w:r>
        <w:rPr>
          <w:rFonts w:hint="eastAsia" w:ascii="黑体" w:hAnsi="黑体" w:eastAsia="黑体" w:cs="黑体"/>
          <w:b w:val="0"/>
          <w:bCs w:val="0"/>
          <w:color w:val="auto"/>
          <w:kern w:val="0"/>
          <w:sz w:val="32"/>
          <w:szCs w:val="32"/>
          <w:lang w:val="en-US" w:eastAsia="zh-CN"/>
        </w:rPr>
        <w:t>二、畜禽品种培育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瘦肉型生猪：</w:t>
      </w:r>
      <w:r>
        <w:rPr>
          <w:rFonts w:hint="eastAsia" w:ascii="仿宋_GB2312" w:hAnsi="仿宋_GB2312" w:eastAsia="仿宋_GB2312" w:cs="仿宋_GB2312"/>
          <w:color w:val="auto"/>
          <w:kern w:val="0"/>
          <w:sz w:val="32"/>
          <w:szCs w:val="32"/>
          <w:lang w:val="en-US" w:eastAsia="zh-CN"/>
        </w:rPr>
        <w:t>以杜洛克、长白等引进品种为基础育种素材，组建健康水平高、性能突出的专门化父系和母系瘦肉型猪育种核心群；构建全基因组选择参考群体和“表型-基因型”数据库，加快种猪全基因组选择等育种新技术应用推广；整合集成瘦肉型猪育种技术体系，开展大规模表型测定、大数据遗传评估，对瘦肉型猪专门化品系进行本土化选育提高；加强资源信息交流和成果推广应用，综合运用人工授精、体细胞克隆等技术手段，加快品系的推广应用，支撑全省生猪种业的领先优势做大做强，不断提升质量效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地方猪：</w:t>
      </w:r>
      <w:r>
        <w:rPr>
          <w:rFonts w:hint="eastAsia" w:ascii="仿宋_GB2312" w:hAnsi="仿宋_GB2312" w:eastAsia="仿宋_GB2312" w:cs="仿宋_GB2312"/>
          <w:color w:val="auto"/>
          <w:kern w:val="0"/>
          <w:sz w:val="32"/>
          <w:szCs w:val="32"/>
          <w:lang w:val="en-US" w:eastAsia="zh-CN"/>
        </w:rPr>
        <w:t>以地方猪种为主要育种素材，围绕优质猪肉市场需求，培育优质、高效新品种（新品系）；构建广东主要地方猪遗传资源保护群，开展种质资源遗传特性挖掘，解析其抗逆性、肉质等主要经济性状的遗传机制；按照国家核心育种场的要求组建地方猪核心育种群，应用地方猪数字化与全基因组选择技术，持续开展本品种选育；在全国范围内推广优质猪肉新品种（新品系），打造优质肉第一品牌，提升广东地方猪开发利用的全国影响力。</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白羽肉鸡：</w:t>
      </w:r>
      <w:r>
        <w:rPr>
          <w:rFonts w:hint="eastAsia" w:ascii="仿宋_GB2312" w:hAnsi="仿宋_GB2312" w:eastAsia="仿宋_GB2312" w:cs="仿宋_GB2312"/>
          <w:color w:val="auto"/>
          <w:kern w:val="0"/>
          <w:sz w:val="32"/>
          <w:szCs w:val="32"/>
          <w:lang w:val="en-US" w:eastAsia="zh-CN"/>
        </w:rPr>
        <w:t>采用智能化测定、大数据分析和基因组选择等技术，持续提高已有白羽肉鸡品种的生产性能，达到或接近国际同期水平；持续开展核心群禽白血病和鸡白痢等重大疫病净化，保障种群健康；通过扩繁基地建设，提高自主培育白羽肉鸡新品种的市场占有率。</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黄羽肉鸡：</w:t>
      </w:r>
      <w:r>
        <w:rPr>
          <w:rFonts w:hint="eastAsia" w:ascii="仿宋_GB2312" w:hAnsi="仿宋_GB2312" w:eastAsia="仿宋_GB2312" w:cs="仿宋_GB2312"/>
          <w:color w:val="auto"/>
          <w:kern w:val="0"/>
          <w:sz w:val="32"/>
          <w:szCs w:val="32"/>
          <w:lang w:val="en-US" w:eastAsia="zh-CN"/>
        </w:rPr>
        <w:t>收集黄羽肉鸡重要种质活体资源，建立基因组选择等现代育种技术，平衡黄羽肉鸡饲料转化率、肉品质和抗病等性状选择，培育特征明显的优质抗病黄羽肉鸡新品种（配套系）；持续开展核心群禽白血病和鸡白痢等重大疫病净化，保障优良黄羽肉鸡品种遗传潜能的充分发挥。</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羊：</w:t>
      </w:r>
      <w:r>
        <w:rPr>
          <w:rFonts w:hint="eastAsia" w:ascii="仿宋_GB2312" w:hAnsi="仿宋_GB2312" w:eastAsia="仿宋_GB2312" w:cs="仿宋_GB2312"/>
          <w:color w:val="auto"/>
          <w:kern w:val="0"/>
          <w:sz w:val="32"/>
          <w:szCs w:val="32"/>
          <w:lang w:val="en-US" w:eastAsia="zh-CN"/>
        </w:rPr>
        <w:t>开展雷州山羊生长速度和繁殖性能等重要经济性状的测定和选育，建立雷州山羊“表型-基因型”数字化育种体系；组建母羊600头，公羊40头以上的雷州山羊核心育种群，并进行提纯复壮；以雷州山羊为素材，培育适应华南地区养殖的快大、高繁的雷州山羊新品系。</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牛：</w:t>
      </w:r>
      <w:r>
        <w:rPr>
          <w:rFonts w:hint="eastAsia" w:ascii="仿宋_GB2312" w:hAnsi="仿宋_GB2312" w:eastAsia="仿宋_GB2312" w:cs="仿宋_GB2312"/>
          <w:color w:val="auto"/>
          <w:kern w:val="0"/>
          <w:sz w:val="32"/>
          <w:szCs w:val="32"/>
          <w:lang w:val="en-US" w:eastAsia="zh-CN"/>
        </w:rPr>
        <w:t>对我省地方牛种（雷琼牛、陆丰牛）生长及肉质等重要经济性状进行测定分析，构建纯种保种群，结合地方纯种特征特性及分子标记辅助育种（MAS）等现代分子选育种技术对其进行提纯复壮，组建核心育种群，并对生长、肥育调控等相关的育种配套技术进行研究集成，提高核心群组建成效；根据地方纯种生产特性，开展选育改良研究，筛选高生产力的杂交系，并进行示范、推广和应用。</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鹅：</w:t>
      </w:r>
      <w:r>
        <w:rPr>
          <w:rFonts w:hint="eastAsia" w:ascii="仿宋_GB2312" w:hAnsi="仿宋_GB2312" w:eastAsia="仿宋_GB2312" w:cs="仿宋_GB2312"/>
          <w:color w:val="auto"/>
          <w:kern w:val="0"/>
          <w:sz w:val="32"/>
          <w:szCs w:val="32"/>
          <w:lang w:val="en-US" w:eastAsia="zh-CN"/>
        </w:rPr>
        <w:t>以广东省主导地方鹅种资源为素材，利用智能化测定、大数据分析、分子标记辅助选择和基因组选择等技术，以繁殖强、生长快、肉质优为目标，挖掘并鉴定重要经济性状关键基因和分子标记，建立表型-基因型数据库，培育符合广东消费市场的优质、高效广东鹅新品种（配套系），提高全省鹅业良种覆盖率，支撑广东鹅业做强做大。</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鸭：</w:t>
      </w:r>
      <w:r>
        <w:rPr>
          <w:rFonts w:hint="eastAsia" w:ascii="仿宋_GB2312" w:hAnsi="仿宋_GB2312" w:eastAsia="仿宋_GB2312" w:cs="仿宋_GB2312"/>
          <w:color w:val="auto"/>
          <w:kern w:val="0"/>
          <w:sz w:val="32"/>
          <w:szCs w:val="32"/>
          <w:lang w:val="en-US" w:eastAsia="zh-CN"/>
        </w:rPr>
        <w:t>利用传统家禽育种技术与分子标记辅助选择相结合，开展中山麻鸭的复壮提纯，扩大保种群体，确保中山麻鸭保种判定至安全级；在保持中山麻鸭主要特征特性的基础上，力争培育具有大体型、生长快、饲料转化率高的新品种，并取得进展成效。</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肉鸽：</w:t>
      </w:r>
      <w:r>
        <w:rPr>
          <w:rFonts w:hint="eastAsia" w:ascii="仿宋_GB2312" w:hAnsi="仿宋_GB2312" w:eastAsia="仿宋_GB2312" w:cs="仿宋_GB2312"/>
          <w:color w:val="auto"/>
          <w:kern w:val="0"/>
          <w:sz w:val="32"/>
          <w:szCs w:val="32"/>
          <w:lang w:val="en-US" w:eastAsia="zh-CN"/>
        </w:rPr>
        <w:t>建设肉鸽种质资源活体和离体基因库，测定国家畜禽遗传资源目录中主要鸽品种性能；围绕生长效率和产蛋效率，选育性能突出的专门化品系，构建健康指数高的核心育种群；研究基于多组学的肉鸽高效生物育种技术，培育生长快与繁殖性能稳定且可自别雌雄的肉鸽新配套系并在全国推广，提升广东肉鸽的在全国的优势和影响力。</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蚕：</w:t>
      </w:r>
      <w:r>
        <w:rPr>
          <w:rFonts w:hint="eastAsia" w:ascii="仿宋_GB2312" w:hAnsi="仿宋_GB2312" w:eastAsia="仿宋_GB2312" w:cs="仿宋_GB2312"/>
          <w:color w:val="auto"/>
          <w:kern w:val="0"/>
          <w:sz w:val="32"/>
          <w:szCs w:val="32"/>
          <w:lang w:val="en-US" w:eastAsia="zh-CN"/>
        </w:rPr>
        <w:t>加强省级家蚕遗传资源保种场建设，开展家蚕种质资源的保护与测定，遴选符合未来育种目标的优异育种材料；提纯复壮广东现行品种的家蚕良种，加快推进现行蚕品种核心种源自主选育，构建蚕种良种繁育体系，培育具有南亚热带气候特性的丰产优质家蚕品种；创新培育出突破性或特殊用途的家蚕新品种，并示范与推广。</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蜂：</w:t>
      </w:r>
      <w:r>
        <w:rPr>
          <w:rFonts w:hint="eastAsia" w:ascii="仿宋_GB2312" w:hAnsi="仿宋_GB2312" w:eastAsia="仿宋_GB2312" w:cs="仿宋_GB2312"/>
          <w:color w:val="auto"/>
          <w:kern w:val="0"/>
          <w:sz w:val="32"/>
          <w:szCs w:val="32"/>
          <w:lang w:val="en-US" w:eastAsia="zh-CN"/>
        </w:rPr>
        <w:t>完善华南中蜂种质资源保护，加强基因库、保种档案和数据库建设，开展针对蜜蜂种质资源基因库大数据规范化、系统化管理；通过形态测定、生产性能等性状遗传评估，推进华南中蜂遗传改良选育，培育优质种群、优良品系，提高华南中蜂产量和维持强群能力。</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瘦肉型生猪：</w:t>
      </w:r>
      <w:r>
        <w:rPr>
          <w:rFonts w:hint="eastAsia" w:ascii="仿宋_GB2312" w:hAnsi="仿宋_GB2312" w:eastAsia="仿宋_GB2312" w:cs="仿宋_GB2312"/>
          <w:color w:val="auto"/>
          <w:kern w:val="0"/>
          <w:sz w:val="32"/>
          <w:szCs w:val="32"/>
          <w:lang w:val="en-US" w:eastAsia="zh-CN"/>
        </w:rPr>
        <w:t>建立瘦肉型猪育种技术体系1套，构建粤系种猪育种核心群2000头以上，培育瘦肉型猪专门化父系和母系各1个以上。主选性状年均遗传进展1％以上，至2025年，专门化父系育种核心群30-115千克饲料转化率达到2.45，专门化母系育种核心群产仔数和产活仔数分别达到甚至超过14.5头和13头。</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地方猪：</w:t>
      </w:r>
      <w:r>
        <w:rPr>
          <w:rFonts w:hint="eastAsia" w:ascii="仿宋_GB2312" w:hAnsi="仿宋_GB2312" w:eastAsia="仿宋_GB2312" w:cs="仿宋_GB2312"/>
          <w:color w:val="auto"/>
          <w:kern w:val="0"/>
          <w:sz w:val="32"/>
          <w:szCs w:val="32"/>
          <w:lang w:val="en-US" w:eastAsia="zh-CN"/>
        </w:rPr>
        <w:t>以广东小耳花猪、蓝塘猪、大花白猪、粤东黑猪等国家级地方猪种遗传资源为基础，创建国家核心育种场，组建本品种核心育种群母猪存栏600头以上并持续选育，总产仔数提高1头以上，母猪整体繁殖效率接近瘦肉型猪水平；对肉质好、抗逆性强等特色优势明显的省内地方猪品种培育专门化品系；基于省内地方猪肉质优良特性，培育肌内脂肪含量3.5%以上优质肉新品种1-2个，新品种母猪数量、血缘数均达到国家新品种审定要求；整合多品种基因组信息构建广东省地方猪数字化育种体系。</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白羽肉鸡：</w:t>
      </w:r>
      <w:r>
        <w:rPr>
          <w:rFonts w:hint="eastAsia" w:ascii="仿宋_GB2312" w:hAnsi="仿宋_GB2312" w:eastAsia="仿宋_GB2312" w:cs="仿宋_GB2312"/>
          <w:color w:val="auto"/>
          <w:kern w:val="0"/>
          <w:sz w:val="32"/>
          <w:szCs w:val="32"/>
          <w:lang w:val="en-US" w:eastAsia="zh-CN"/>
        </w:rPr>
        <w:t>建立企业为主体、企科深度融合的模式。专门化品系（3个）的主要生产性能，遗传进展提高10%以上。自主培育白羽肉鸡父母代种鸡66周龄入舍母鸡产合格蛋达到170枚，商品肉鸡40-42日龄体重2.7千克以上，饲料转化率1.60以下，成活率95%以上，种源性疾病禽白血病和鸡白痢的阳性率在0.1%以下，综合性能达到国际同期水平；商品肉鸡市场推广量达到5000万羽。</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黄羽肉鸡：</w:t>
      </w:r>
      <w:r>
        <w:rPr>
          <w:rFonts w:hint="eastAsia" w:ascii="仿宋_GB2312" w:hAnsi="仿宋_GB2312" w:eastAsia="仿宋_GB2312" w:cs="仿宋_GB2312"/>
          <w:color w:val="auto"/>
          <w:kern w:val="0"/>
          <w:sz w:val="32"/>
          <w:szCs w:val="32"/>
          <w:lang w:val="en-US" w:eastAsia="zh-CN"/>
        </w:rPr>
        <w:t>收集鉴定黄羽肉鸡重要种质活体资源4个以上，选育黄羽肉鸡专门化品系3个以上，搭建黄羽肉鸡全基因组选择育种系统1套，培育出肉品质好、抗病力强的优质黄羽肉鸡新配套系1个，商品鸡90日龄以上出栏体重变异系数小于10%，饲料转化率3.4以下，核心种群禽白血病和鸡白痢彻底净化，父母代年推广量达50万套。</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羊：</w:t>
      </w:r>
      <w:r>
        <w:rPr>
          <w:rFonts w:hint="eastAsia" w:ascii="仿宋_GB2312" w:hAnsi="仿宋_GB2312" w:eastAsia="仿宋_GB2312" w:cs="仿宋_GB2312"/>
          <w:color w:val="auto"/>
          <w:kern w:val="0"/>
          <w:sz w:val="32"/>
          <w:szCs w:val="32"/>
          <w:lang w:val="en-US" w:eastAsia="zh-CN"/>
        </w:rPr>
        <w:t>建成母羊300头、公羊30头以上的雷州山羊育种群，建立雷州山羊数字化育种体系1套，培育快大高繁的雷州山羊新种群1个。核心育种群肉用性能和繁殖性能分别提高20%及15%以上：六月龄体重达到公羊18.0千克以上，母羊14.4千克以上；经产母羊产羔率达到195.5%以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牛：</w:t>
      </w:r>
      <w:r>
        <w:rPr>
          <w:rFonts w:hint="eastAsia" w:ascii="仿宋_GB2312" w:hAnsi="仿宋_GB2312" w:eastAsia="仿宋_GB2312" w:cs="仿宋_GB2312"/>
          <w:color w:val="auto"/>
          <w:kern w:val="0"/>
          <w:sz w:val="32"/>
          <w:szCs w:val="32"/>
          <w:lang w:val="en-US" w:eastAsia="zh-CN"/>
        </w:rPr>
        <w:t>形成地方牛种生产性能分析报告1份；重点构建地方牛种核心育种群1个，存栏母牛150头、公牛15头以上；形成地方牛种选育改良模式1套，获得MAS标记3-5个；研制生长调控等育种配套技术1套；核心群个体初生重提高3%以上，成年体重提高5%以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鹅：</w:t>
      </w:r>
      <w:r>
        <w:rPr>
          <w:rFonts w:hint="eastAsia" w:ascii="仿宋_GB2312" w:hAnsi="仿宋_GB2312" w:eastAsia="仿宋_GB2312" w:cs="仿宋_GB2312"/>
          <w:color w:val="auto"/>
          <w:kern w:val="0"/>
          <w:sz w:val="32"/>
          <w:szCs w:val="32"/>
          <w:lang w:val="en-US" w:eastAsia="zh-CN"/>
        </w:rPr>
        <w:t>建立鹅表型-基因型数据库1个，选育广东地方鹅专门化品系3个，培育繁殖力高、体型大、生长快的广东鹅配套系1个；父母代母鹅年均产蛋50枚以上，受精率90%以上；商品肉鹅90-100日龄出栏重5-6公斤，料重比3.0-3.2；父母代年推广量达20万套。</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鸭：</w:t>
      </w:r>
      <w:r>
        <w:rPr>
          <w:rFonts w:hint="eastAsia" w:ascii="仿宋_GB2312" w:hAnsi="仿宋_GB2312" w:eastAsia="仿宋_GB2312" w:cs="仿宋_GB2312"/>
          <w:color w:val="auto"/>
          <w:kern w:val="0"/>
          <w:sz w:val="32"/>
          <w:szCs w:val="32"/>
          <w:lang w:val="en-US" w:eastAsia="zh-CN"/>
        </w:rPr>
        <w:t>恢复中山麻鸭体型外貌、品种性状，建立地方品种标准体系，生产性能显著提高，保种核心群数量超过2000只；培育中山麻鸭新品系2个，父系80-90日龄出栏重提高15-20%，料重比2.8-3.0，母系年均产蛋提高10%以上，受精率90%以上；各品系核心群数量超过2000只，家系数不少于40个。</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肉鸽：</w:t>
      </w:r>
      <w:r>
        <w:rPr>
          <w:rFonts w:hint="eastAsia" w:ascii="仿宋_GB2312" w:hAnsi="仿宋_GB2312" w:eastAsia="仿宋_GB2312" w:cs="仿宋_GB2312"/>
          <w:color w:val="auto"/>
          <w:kern w:val="0"/>
          <w:sz w:val="32"/>
          <w:szCs w:val="32"/>
          <w:lang w:val="en-US" w:eastAsia="zh-CN"/>
        </w:rPr>
        <w:t>建设肉鸽遗传资源基因库1个，完成2-3个鸽品种性能测定；制定鸽高效生物育种技术方案1个，选育针对生长和产蛋的专门化品系各1个以上，培育肉蛋兼用型的肉鸽新配套系1个，可自别雌雄，22天550克以上，母鸽年产蛋数40枚以上，父母代年推广量达20万套。</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蚕：</w:t>
      </w:r>
      <w:r>
        <w:rPr>
          <w:rFonts w:hint="eastAsia" w:ascii="仿宋_GB2312" w:hAnsi="仿宋_GB2312" w:eastAsia="仿宋_GB2312" w:cs="仿宋_GB2312"/>
          <w:color w:val="auto"/>
          <w:kern w:val="0"/>
          <w:sz w:val="32"/>
          <w:szCs w:val="32"/>
          <w:lang w:val="en-US" w:eastAsia="zh-CN"/>
        </w:rPr>
        <w:t>完成省级家蚕遗传资源保种场要求的家蚕种质资源评价，挖掘具有抗性或重大利用价值的优异育种材料2-4份；完成现行品种提纯复壮，实现核心种源自给率95%以上，新品系杂交种应用推广20-30万张/年；培育1-2个突破性家蚕新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蜂：</w:t>
      </w:r>
      <w:r>
        <w:rPr>
          <w:rFonts w:hint="eastAsia" w:ascii="仿宋_GB2312" w:hAnsi="仿宋_GB2312" w:eastAsia="仿宋_GB2312" w:cs="仿宋_GB2312"/>
          <w:color w:val="auto"/>
          <w:kern w:val="0"/>
          <w:sz w:val="32"/>
          <w:szCs w:val="32"/>
          <w:lang w:val="en-US" w:eastAsia="zh-CN"/>
        </w:rPr>
        <w:t>建成华南中蜂种质资源库1个，包含20个地理种群；开发种质资源分子鉴定新方法，进行优势种质资源的筛选、评价和培育；获得高产新品种1个，蜂群数量提高20%，提升蜂蜜年产量50斤/群至65斤/群，制定技术规范1-2个。</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①由省级及中央驻粤涉农科研机构、高等院校以及企业申报。优先选择科企联合实施品种培育项目。</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③申报对象是企业的，应具有种畜禽生产经营许可证，具备开展品种培育、性能测定、良种扩繁等基础设施条件。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100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0" w:firstLineChars="200"/>
        <w:rPr>
          <w:rFonts w:hint="eastAsia" w:ascii="黑体" w:hAnsi="黑体" w:eastAsia="黑体" w:cs="黑体"/>
          <w:b w:val="0"/>
          <w:bCs w:val="0"/>
          <w:color w:val="auto"/>
          <w:kern w:val="0"/>
          <w:sz w:val="32"/>
          <w:szCs w:val="32"/>
          <w:lang w:val="en-US" w:eastAsia="zh-CN"/>
        </w:rPr>
      </w:pPr>
      <w:r>
        <w:rPr>
          <w:rFonts w:hint="eastAsia" w:ascii="黑体" w:hAnsi="黑体" w:eastAsia="黑体" w:cs="黑体"/>
          <w:b w:val="0"/>
          <w:bCs w:val="0"/>
          <w:color w:val="auto"/>
          <w:kern w:val="0"/>
          <w:sz w:val="32"/>
          <w:szCs w:val="32"/>
          <w:lang w:val="en-US" w:eastAsia="zh-CN"/>
        </w:rPr>
        <w:t>三、水产品种培育</w:t>
      </w:r>
    </w:p>
    <w:p>
      <w:pPr>
        <w:adjustRightInd w:val="0"/>
        <w:snapToGrid w:val="0"/>
        <w:spacing w:beforeLines="0" w:afterLines="0" w:line="590" w:lineRule="exact"/>
        <w:ind w:firstLine="640" w:firstLineChars="200"/>
        <w:rPr>
          <w:rFonts w:hint="eastAsia" w:ascii="楷体_GB2312" w:hAnsi="楷体_GB2312" w:eastAsia="楷体_GB2312" w:cs="楷体_GB2312"/>
          <w:b w:val="0"/>
          <w:bCs w:val="0"/>
          <w:color w:val="auto"/>
          <w:kern w:val="0"/>
          <w:sz w:val="32"/>
          <w:szCs w:val="32"/>
          <w:lang w:val="en-US" w:eastAsia="zh-CN"/>
        </w:rPr>
      </w:pPr>
      <w:r>
        <w:rPr>
          <w:rFonts w:hint="eastAsia" w:ascii="楷体_GB2312" w:hAnsi="楷体_GB2312" w:eastAsia="楷体_GB2312" w:cs="楷体_GB2312"/>
          <w:b w:val="0"/>
          <w:bCs w:val="0"/>
          <w:color w:val="auto"/>
          <w:kern w:val="0"/>
          <w:sz w:val="32"/>
          <w:szCs w:val="32"/>
          <w:lang w:val="en-US" w:eastAsia="zh-CN"/>
        </w:rPr>
        <w:t>（一）建设内容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围绕南美白对虾、斑节对虾、罗氏沼虾等大宗养殖虾类，石斑鱼、卵形鲳鲹、花鲈、黄鳍棘鲷、四指马鲅、大黄鱼等重要海水养殖品种，罗非鱼、大口黑鲈、鳢、鳜、草鱼、大刺鳅、禾花鲤、中华鳖等重要淡水养殖品种开展品种培育，利用分子标记辅助育种、基因组选择、分子设计育种、基因编辑等前沿技术，创制速生、高产、抗病、抗逆、耐粗饲和易驯食等特异育种材料；开展绿色、高产、优质性状新品种高效制种和苗种生产技术研发，推广、示范良种良法。</w:t>
      </w:r>
    </w:p>
    <w:p>
      <w:pPr>
        <w:adjustRightInd w:val="0"/>
        <w:snapToGrid w:val="0"/>
        <w:spacing w:beforeLines="0" w:afterLines="0" w:line="590" w:lineRule="exact"/>
        <w:ind w:firstLine="640" w:firstLineChars="200"/>
        <w:rPr>
          <w:rFonts w:hint="eastAsia" w:ascii="楷体_GB2312" w:hAnsi="楷体_GB2312" w:eastAsia="楷体_GB2312" w:cs="楷体_GB2312"/>
          <w:b w:val="0"/>
          <w:bCs w:val="0"/>
          <w:color w:val="auto"/>
          <w:kern w:val="0"/>
          <w:sz w:val="32"/>
          <w:szCs w:val="32"/>
          <w:lang w:val="en-US" w:eastAsia="zh-CN"/>
        </w:rPr>
      </w:pPr>
      <w:r>
        <w:rPr>
          <w:rFonts w:hint="eastAsia" w:ascii="楷体_GB2312" w:hAnsi="楷体_GB2312" w:eastAsia="楷体_GB2312" w:cs="楷体_GB2312"/>
          <w:b w:val="0"/>
          <w:bCs w:val="0"/>
          <w:color w:val="auto"/>
          <w:kern w:val="0"/>
          <w:sz w:val="32"/>
          <w:szCs w:val="32"/>
          <w:lang w:val="en-US" w:eastAsia="zh-CN"/>
        </w:rPr>
        <w:t>（二）绩效目标</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1.大宗养殖虾类</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南美白对虾：</w:t>
      </w:r>
      <w:r>
        <w:rPr>
          <w:rFonts w:hint="eastAsia" w:ascii="仿宋_GB2312" w:hAnsi="仿宋_GB2312" w:eastAsia="仿宋_GB2312" w:cs="仿宋_GB2312"/>
          <w:color w:val="auto"/>
          <w:kern w:val="0"/>
          <w:sz w:val="32"/>
          <w:szCs w:val="32"/>
          <w:lang w:val="en-US" w:eastAsia="zh-CN"/>
        </w:rPr>
        <w:t>培育出适合我国不同养殖模式和养殖环境的高产、抗逆南美白对虾新品种1个以上，新育成的品种与申请时所选对照品种相比，生长速度提高15%以上，耐高碱度能力提升20%以上，养殖存活率提高10%以上。所选对照品种必须是已审定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斑节对虾：</w:t>
      </w:r>
      <w:r>
        <w:rPr>
          <w:rFonts w:hint="eastAsia" w:ascii="仿宋_GB2312" w:hAnsi="仿宋_GB2312" w:eastAsia="仿宋_GB2312" w:cs="仿宋_GB2312"/>
          <w:color w:val="auto"/>
          <w:kern w:val="0"/>
          <w:sz w:val="32"/>
          <w:szCs w:val="32"/>
          <w:lang w:val="en-US" w:eastAsia="zh-CN"/>
        </w:rPr>
        <w:t>开发斑节对虾分子育种芯片1套，培育满足不同养殖环境要求的高产、抗逆或耐粗饲料的斑节对虾新品种1个，新育成品种与申请时所选对照品种相比，养殖存活率提高10%以上。所选对照品种必须是已审定品种。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罗氏沼虾：</w:t>
      </w:r>
      <w:r>
        <w:rPr>
          <w:rFonts w:hint="eastAsia" w:ascii="仿宋_GB2312" w:hAnsi="仿宋_GB2312" w:eastAsia="仿宋_GB2312" w:cs="仿宋_GB2312"/>
          <w:color w:val="auto"/>
          <w:kern w:val="0"/>
          <w:sz w:val="32"/>
          <w:szCs w:val="32"/>
          <w:lang w:val="en-US" w:eastAsia="zh-CN"/>
        </w:rPr>
        <w:t xml:space="preserve">建立罗氏沼虾优质苗种培育技术规范1套；培育具有自主知识产权，抗逆性优良、适合华南地区养殖的罗氏沼虾新品种（系）1个，新育成品种与市场主导品系相比，苗种成活率提高15%以上。 </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2.海水养殖品种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卵形鲳鲹：</w:t>
      </w:r>
      <w:r>
        <w:rPr>
          <w:rFonts w:hint="eastAsia" w:ascii="仿宋_GB2312" w:hAnsi="仿宋_GB2312" w:eastAsia="仿宋_GB2312" w:cs="仿宋_GB2312"/>
          <w:color w:val="auto"/>
          <w:kern w:val="0"/>
          <w:sz w:val="32"/>
          <w:szCs w:val="32"/>
          <w:lang w:val="en-US" w:eastAsia="zh-CN"/>
        </w:rPr>
        <w:t>开发卵形鲳鲹分子育种SNP芯片1套，培育适合南海海域深远海养殖的速生新品种1个，新育成品种与市场主导品系相比，生长速度提高10%以上。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花鲈：</w:t>
      </w:r>
      <w:r>
        <w:rPr>
          <w:rFonts w:hint="eastAsia" w:ascii="仿宋_GB2312" w:hAnsi="仿宋_GB2312" w:eastAsia="仿宋_GB2312" w:cs="仿宋_GB2312"/>
          <w:color w:val="auto"/>
          <w:kern w:val="0"/>
          <w:sz w:val="32"/>
          <w:szCs w:val="32"/>
          <w:lang w:val="en-US" w:eastAsia="zh-CN"/>
        </w:rPr>
        <w:t>建立适宜华南地区的花鲈繁育技术体系，选育适宜华南地区养殖的花鲈快速生长、抗病力强的新品系1-2个，新育成品种与市场主导品系相比，生长速度和养殖存活率提高20%以上。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四指马鲅：</w:t>
      </w:r>
      <w:r>
        <w:rPr>
          <w:rFonts w:hint="eastAsia" w:ascii="仿宋_GB2312" w:hAnsi="仿宋_GB2312" w:eastAsia="仿宋_GB2312" w:cs="仿宋_GB2312"/>
          <w:color w:val="auto"/>
          <w:kern w:val="0"/>
          <w:sz w:val="32"/>
          <w:szCs w:val="32"/>
          <w:lang w:val="en-US" w:eastAsia="zh-CN"/>
        </w:rPr>
        <w:t>优化四指马鲅健康苗种规模化繁育技术体系1套，选育快长、耐应激和品质优良的四指马鲅新品系1-2个，新育成品种与市场主导品系相比，生长速度和养殖成活率提高20%以上。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石斑鱼：</w:t>
      </w:r>
      <w:r>
        <w:rPr>
          <w:rFonts w:hint="eastAsia" w:ascii="仿宋_GB2312" w:hAnsi="仿宋_GB2312" w:eastAsia="仿宋_GB2312" w:cs="仿宋_GB2312"/>
          <w:color w:val="auto"/>
          <w:kern w:val="0"/>
          <w:sz w:val="32"/>
          <w:szCs w:val="32"/>
          <w:lang w:val="en-US" w:eastAsia="zh-CN"/>
        </w:rPr>
        <w:t>在石斑鱼人工繁育的基础上，选育适宜华南地区养殖的石斑鱼改良品种1个以上；新育成品种与市场主导品系相比，生长速度和养殖成活率提高15%以上。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黄鳍棘鲷：</w:t>
      </w:r>
      <w:r>
        <w:rPr>
          <w:rFonts w:hint="eastAsia" w:ascii="仿宋_GB2312" w:hAnsi="仿宋_GB2312" w:eastAsia="仿宋_GB2312" w:cs="仿宋_GB2312"/>
          <w:color w:val="auto"/>
          <w:kern w:val="0"/>
          <w:sz w:val="32"/>
          <w:szCs w:val="32"/>
          <w:lang w:val="en-US" w:eastAsia="zh-CN"/>
        </w:rPr>
        <w:t>构建来源丰富的黄鳍棘鲷活体种质资源库1个，构建核心育种群体1-2个，培育黄鳍棘鲷快速生长新品种1个，新育成品种与市场主导品系相比，生长速度提高20%以上。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大黄鱼：</w:t>
      </w:r>
      <w:r>
        <w:rPr>
          <w:rFonts w:hint="eastAsia" w:ascii="仿宋_GB2312" w:hAnsi="仿宋_GB2312" w:eastAsia="仿宋_GB2312" w:cs="仿宋_GB2312"/>
          <w:color w:val="auto"/>
          <w:kern w:val="0"/>
          <w:sz w:val="32"/>
          <w:szCs w:val="32"/>
          <w:lang w:val="en-US" w:eastAsia="zh-CN"/>
        </w:rPr>
        <w:t>收集保藏南海海区特色大黄鱼野生活体种质资源1000尾以上，构建南海海区特色大黄鱼活体种质资源库1个，构建南海海区特色大黄鱼核心育种群体2-3个；培育南海海区特色大黄鱼优良新品系1-2个，新育成品种与市场主导品系相比，生长速度提高10%以上。</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3.淡水养殖品种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大口黑鲈：</w:t>
      </w:r>
      <w:r>
        <w:rPr>
          <w:rFonts w:hint="eastAsia" w:ascii="仿宋_GB2312" w:hAnsi="仿宋_GB2312" w:eastAsia="仿宋_GB2312" w:cs="仿宋_GB2312"/>
          <w:color w:val="auto"/>
          <w:kern w:val="0"/>
          <w:sz w:val="32"/>
          <w:szCs w:val="32"/>
          <w:lang w:val="en-US" w:eastAsia="zh-CN"/>
        </w:rPr>
        <w:t>培育出具有显著生长优势的大口黑鲈新品种1-2个，新育成品种与申请时所选对照品种相比，生长速度和养殖成活率提高10%以上。所选对照品种必须是已审定品种。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鳢：</w:t>
      </w:r>
      <w:r>
        <w:rPr>
          <w:rFonts w:hint="eastAsia" w:ascii="仿宋_GB2312" w:hAnsi="仿宋_GB2312" w:eastAsia="仿宋_GB2312" w:cs="仿宋_GB2312"/>
          <w:color w:val="auto"/>
          <w:kern w:val="0"/>
          <w:sz w:val="32"/>
          <w:szCs w:val="32"/>
          <w:lang w:val="en-US" w:eastAsia="zh-CN"/>
        </w:rPr>
        <w:t>建立鳢性别鉴定及性别控制技术1套，培育适合华中和华南地区养殖鳢新品种1个，年繁育单性苗种1亿尾以上。新育成品种与申请时所选对照品种相比，生长速度提高20%以上。所选对照品种必须是已审定品种。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鳜：</w:t>
      </w:r>
      <w:r>
        <w:rPr>
          <w:rFonts w:hint="eastAsia" w:ascii="仿宋_GB2312" w:hAnsi="仿宋_GB2312" w:eastAsia="仿宋_GB2312" w:cs="仿宋_GB2312"/>
          <w:color w:val="auto"/>
          <w:kern w:val="0"/>
          <w:sz w:val="32"/>
          <w:szCs w:val="32"/>
          <w:lang w:val="en-US" w:eastAsia="zh-CN"/>
        </w:rPr>
        <w:t>建立鳜全基因组选育技术并开发实用芯片1套，培育易驯食人工配合饲料的鳜新品种1个；新育成品种与申请时所选对照品种相比，饲料利用率提高10%以上。所选对照品种必须是已审定品种。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中华鳖：</w:t>
      </w:r>
      <w:r>
        <w:rPr>
          <w:rFonts w:hint="eastAsia" w:ascii="仿宋_GB2312" w:hAnsi="仿宋_GB2312" w:eastAsia="仿宋_GB2312" w:cs="仿宋_GB2312"/>
          <w:color w:val="auto"/>
          <w:kern w:val="0"/>
          <w:sz w:val="32"/>
          <w:szCs w:val="32"/>
          <w:lang w:val="en-US" w:eastAsia="zh-CN"/>
        </w:rPr>
        <w:t>建立中华鳖种质资源挖掘平台1个，培育优质速生中华鳖新品种（系）1个，研发良种良法技术1套。新育成品种与申请时所选对照品种相比，生长速度或者品质（裙边长度）提高10%以上。所选对照品种必须是已审定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罗非鱼：</w:t>
      </w:r>
      <w:r>
        <w:rPr>
          <w:rFonts w:hint="eastAsia" w:ascii="仿宋_GB2312" w:hAnsi="仿宋_GB2312" w:eastAsia="仿宋_GB2312" w:cs="仿宋_GB2312"/>
          <w:color w:val="auto"/>
          <w:kern w:val="0"/>
          <w:sz w:val="32"/>
          <w:szCs w:val="32"/>
          <w:lang w:val="en-US" w:eastAsia="zh-CN"/>
        </w:rPr>
        <w:t>培育抗链球菌病罗非鱼新品种（系）1个，池塘养殖模式下成活率比对照品种提高20%以上，新品种（系）市场占有率达10%以上，示范区良种覆盖率达60%以上。所选对照品种必须是已审定品种。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禾花鲤：</w:t>
      </w:r>
      <w:r>
        <w:rPr>
          <w:rFonts w:hint="eastAsia" w:ascii="仿宋_GB2312" w:hAnsi="仿宋_GB2312" w:eastAsia="仿宋_GB2312" w:cs="仿宋_GB2312"/>
          <w:color w:val="auto"/>
          <w:kern w:val="0"/>
          <w:sz w:val="32"/>
          <w:szCs w:val="32"/>
          <w:lang w:val="en-US" w:eastAsia="zh-CN"/>
        </w:rPr>
        <w:t>获得生长、软骨等性状关键基因或元件3-5个，培育优质速生软骨禾花鲤新品种1个，生长速度比禾花鲤“乳源1号”快10%以上；建立禾花鲤标准化养殖技术1套。</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草鱼：</w:t>
      </w:r>
      <w:r>
        <w:rPr>
          <w:rFonts w:hint="eastAsia" w:ascii="仿宋_GB2312" w:hAnsi="仿宋_GB2312" w:eastAsia="仿宋_GB2312" w:cs="仿宋_GB2312"/>
          <w:color w:val="auto"/>
          <w:kern w:val="0"/>
          <w:sz w:val="32"/>
          <w:szCs w:val="32"/>
          <w:lang w:val="en-US" w:eastAsia="zh-CN"/>
        </w:rPr>
        <w:t>开展生长快或品质优的草鱼品种选育与改良，获得生长快的草鱼F4代选育品系，生长速度比非选育群体提高20%以上；构建品质优（低脂-型优）的核心亲本种群1个；年生产销售性状优良的草鱼苗种5亿尾以上。</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大刺鳅：</w:t>
      </w:r>
      <w:r>
        <w:rPr>
          <w:rFonts w:hint="eastAsia" w:ascii="仿宋_GB2312" w:hAnsi="仿宋_GB2312" w:eastAsia="仿宋_GB2312" w:cs="仿宋_GB2312"/>
          <w:color w:val="auto"/>
          <w:kern w:val="0"/>
          <w:sz w:val="32"/>
          <w:szCs w:val="32"/>
          <w:lang w:val="en-US" w:eastAsia="zh-CN"/>
        </w:rPr>
        <w:t>开发性别连锁分子标记3-5个，建立良种繁育体系2-3个，培育适合华南地区养殖的新品种（系）1-2个，新育成品种（系）与市场主导养殖品系相比，生长速度提高20%-30%。</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③申报对象是企业的，应具有水域滩涂养殖证和水产种苗生产许可证，具备开展品种培育、品种测试、良种扩繁等基础设施条件。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100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0" w:firstLineChars="200"/>
        <w:rPr>
          <w:rFonts w:hint="eastAsia" w:ascii="黑体" w:hAnsi="黑体" w:eastAsia="黑体" w:cs="黑体"/>
          <w:b w:val="0"/>
          <w:bCs w:val="0"/>
          <w:color w:val="auto"/>
          <w:kern w:val="0"/>
          <w:sz w:val="32"/>
          <w:szCs w:val="32"/>
          <w:lang w:val="en-US" w:eastAsia="zh-CN"/>
        </w:rPr>
      </w:pPr>
      <w:r>
        <w:rPr>
          <w:rFonts w:hint="eastAsia" w:ascii="黑体" w:hAnsi="黑体" w:eastAsia="黑体" w:cs="黑体"/>
          <w:b w:val="0"/>
          <w:bCs w:val="0"/>
          <w:color w:val="auto"/>
          <w:kern w:val="0"/>
          <w:sz w:val="32"/>
          <w:szCs w:val="32"/>
          <w:lang w:val="en-US" w:eastAsia="zh-CN"/>
        </w:rPr>
        <w:t>四、农业微生物品种培育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1.食用菌品种培育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支持灵芝、草菇、金福菇、黑皮鸡枞等岭南特色中高温食用菌，以及金针菇、真姬菇等工厂化栽培食用菌开展品种培育。以高生物转化率、抗逆、有效成分高、耐储运等为目标，利用分子标记辅助选择、基因编辑等前沿生物育种技术，结合杂交育种、野生驯化等手段，创制优异新菌种，培育高效、优质食用菌新品种。</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灵芝：</w:t>
      </w:r>
      <w:r>
        <w:rPr>
          <w:rFonts w:hint="eastAsia" w:ascii="仿宋_GB2312" w:hAnsi="仿宋_GB2312" w:eastAsia="仿宋_GB2312" w:cs="仿宋_GB2312"/>
          <w:color w:val="auto"/>
          <w:kern w:val="0"/>
          <w:sz w:val="32"/>
          <w:szCs w:val="32"/>
          <w:lang w:val="en-US" w:eastAsia="zh-CN"/>
        </w:rPr>
        <w:t>育成灵芝新品种1个以上，并通过省级品种评定。育成的品种有突破性进展，与对照品种相比，在保持品质、抗性的基础上，产量增加</w:t>
      </w:r>
      <w:r>
        <w:rPr>
          <w:rFonts w:hint="default" w:ascii="仿宋_GB2312" w:hAnsi="仿宋_GB2312" w:eastAsia="仿宋_GB2312" w:cs="仿宋_GB2312"/>
          <w:color w:val="auto"/>
          <w:kern w:val="0"/>
          <w:sz w:val="32"/>
          <w:szCs w:val="32"/>
          <w:lang w:val="en-US" w:eastAsia="zh-CN"/>
        </w:rPr>
        <w:t>10%</w:t>
      </w:r>
      <w:r>
        <w:rPr>
          <w:rFonts w:hint="eastAsia" w:ascii="仿宋_GB2312" w:hAnsi="仿宋_GB2312" w:eastAsia="仿宋_GB2312" w:cs="仿宋_GB2312"/>
          <w:color w:val="auto"/>
          <w:kern w:val="0"/>
          <w:sz w:val="32"/>
          <w:szCs w:val="32"/>
          <w:lang w:val="en-US" w:eastAsia="zh-CN"/>
        </w:rPr>
        <w:t>以上，</w:t>
      </w:r>
      <w:r>
        <w:rPr>
          <w:rFonts w:hint="default" w:ascii="仿宋_GB2312" w:hAnsi="仿宋_GB2312" w:eastAsia="仿宋_GB2312" w:cs="仿宋_GB2312"/>
          <w:color w:val="auto"/>
          <w:kern w:val="0"/>
          <w:sz w:val="32"/>
          <w:szCs w:val="32"/>
          <w:lang w:val="en-US" w:eastAsia="zh-CN"/>
        </w:rPr>
        <w:t>灵芝多糖含量</w:t>
      </w:r>
      <w:r>
        <w:rPr>
          <w:rFonts w:hint="eastAsia" w:ascii="仿宋_GB2312" w:hAnsi="仿宋_GB2312" w:eastAsia="仿宋_GB2312" w:cs="仿宋_GB2312"/>
          <w:color w:val="auto"/>
          <w:kern w:val="0"/>
          <w:sz w:val="32"/>
          <w:szCs w:val="32"/>
          <w:lang w:val="en-US" w:eastAsia="zh-CN"/>
        </w:rPr>
        <w:t>提高</w:t>
      </w:r>
      <w:r>
        <w:rPr>
          <w:rFonts w:hint="default" w:ascii="仿宋_GB2312" w:hAnsi="仿宋_GB2312" w:eastAsia="仿宋_GB2312" w:cs="仿宋_GB2312"/>
          <w:color w:val="auto"/>
          <w:kern w:val="0"/>
          <w:sz w:val="32"/>
          <w:szCs w:val="32"/>
          <w:lang w:val="en-US" w:eastAsia="zh-CN"/>
        </w:rPr>
        <w:t>10%</w:t>
      </w:r>
      <w:r>
        <w:rPr>
          <w:rFonts w:hint="eastAsia" w:ascii="仿宋_GB2312" w:hAnsi="仿宋_GB2312" w:eastAsia="仿宋_GB2312" w:cs="仿宋_GB2312"/>
          <w:color w:val="auto"/>
          <w:kern w:val="0"/>
          <w:sz w:val="32"/>
          <w:szCs w:val="32"/>
          <w:lang w:val="en-US" w:eastAsia="zh-CN"/>
        </w:rPr>
        <w:t>以上。所选对照品种必须是生产上主栽品种。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草菇：</w:t>
      </w:r>
      <w:r>
        <w:rPr>
          <w:rFonts w:hint="eastAsia" w:ascii="仿宋_GB2312" w:hAnsi="仿宋_GB2312" w:eastAsia="仿宋_GB2312" w:cs="仿宋_GB2312"/>
          <w:color w:val="auto"/>
          <w:kern w:val="0"/>
          <w:sz w:val="32"/>
          <w:szCs w:val="32"/>
          <w:lang w:val="en-US" w:eastAsia="zh-CN"/>
        </w:rPr>
        <w:t>育成草菇新品种1个以上，并通过省级品种评定。育成的品种有突破性进展，与对照品种相比，在保持品质、抗性的基础上，产量增加5%以上，</w:t>
      </w:r>
      <w:r>
        <w:rPr>
          <w:rFonts w:hint="default" w:ascii="仿宋_GB2312" w:hAnsi="仿宋_GB2312" w:eastAsia="仿宋_GB2312" w:cs="仿宋_GB2312"/>
          <w:color w:val="auto"/>
          <w:kern w:val="0"/>
          <w:sz w:val="32"/>
          <w:szCs w:val="32"/>
          <w:lang w:val="en-US" w:eastAsia="zh-CN"/>
        </w:rPr>
        <w:t>鲜品储藏时间</w:t>
      </w:r>
      <w:r>
        <w:rPr>
          <w:rFonts w:hint="eastAsia" w:ascii="仿宋_GB2312" w:hAnsi="仿宋_GB2312" w:eastAsia="仿宋_GB2312" w:cs="仿宋_GB2312"/>
          <w:color w:val="auto"/>
          <w:kern w:val="0"/>
          <w:sz w:val="32"/>
          <w:szCs w:val="32"/>
          <w:lang w:val="en-US" w:eastAsia="zh-CN"/>
        </w:rPr>
        <w:t>延长1天以上。所选对照品种必须是生产上主栽品种。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金福菇：</w:t>
      </w:r>
      <w:r>
        <w:rPr>
          <w:rFonts w:hint="eastAsia" w:ascii="仿宋_GB2312" w:hAnsi="仿宋_GB2312" w:eastAsia="仿宋_GB2312" w:cs="仿宋_GB2312"/>
          <w:color w:val="auto"/>
          <w:kern w:val="0"/>
          <w:sz w:val="32"/>
          <w:szCs w:val="32"/>
          <w:lang w:val="en-US" w:eastAsia="zh-CN"/>
        </w:rPr>
        <w:t>育成</w:t>
      </w:r>
      <w:r>
        <w:rPr>
          <w:rFonts w:hint="eastAsia" w:ascii="仿宋_GB2312" w:hAnsi="仿宋_GB2312" w:eastAsia="仿宋_GB2312" w:cs="仿宋_GB2312"/>
          <w:b w:val="0"/>
          <w:bCs w:val="0"/>
          <w:color w:val="auto"/>
          <w:kern w:val="0"/>
          <w:sz w:val="32"/>
          <w:szCs w:val="32"/>
          <w:lang w:val="en-US" w:eastAsia="zh-CN"/>
        </w:rPr>
        <w:t>金福菇</w:t>
      </w:r>
      <w:r>
        <w:rPr>
          <w:rFonts w:hint="eastAsia" w:ascii="仿宋_GB2312" w:hAnsi="仿宋_GB2312" w:eastAsia="仿宋_GB2312" w:cs="仿宋_GB2312"/>
          <w:color w:val="auto"/>
          <w:kern w:val="0"/>
          <w:sz w:val="32"/>
          <w:szCs w:val="32"/>
          <w:lang w:val="en-US" w:eastAsia="zh-CN"/>
        </w:rPr>
        <w:t>新品种1个以上，并通过省级品种评定。育成的品种有突破性进展，与对照品种相比，在保持品质、抗性的基础上，</w:t>
      </w:r>
      <w:r>
        <w:rPr>
          <w:rFonts w:hint="default" w:ascii="仿宋_GB2312" w:hAnsi="仿宋_GB2312" w:eastAsia="仿宋_GB2312" w:cs="仿宋_GB2312"/>
          <w:color w:val="auto"/>
          <w:kern w:val="0"/>
          <w:sz w:val="32"/>
          <w:szCs w:val="32"/>
          <w:lang w:val="en-US" w:eastAsia="zh-CN"/>
        </w:rPr>
        <w:t>产量增加15%</w:t>
      </w:r>
      <w:r>
        <w:rPr>
          <w:rFonts w:hint="eastAsia" w:ascii="仿宋_GB2312" w:hAnsi="仿宋_GB2312" w:eastAsia="仿宋_GB2312" w:cs="仿宋_GB2312"/>
          <w:color w:val="auto"/>
          <w:kern w:val="0"/>
          <w:sz w:val="32"/>
          <w:szCs w:val="32"/>
          <w:lang w:val="en-US" w:eastAsia="zh-CN"/>
        </w:rPr>
        <w:t>以上</w:t>
      </w:r>
      <w:r>
        <w:rPr>
          <w:rFonts w:hint="default" w:ascii="仿宋_GB2312" w:hAnsi="仿宋_GB2312" w:eastAsia="仿宋_GB2312" w:cs="仿宋_GB2312"/>
          <w:color w:val="auto"/>
          <w:kern w:val="0"/>
          <w:sz w:val="32"/>
          <w:szCs w:val="32"/>
          <w:lang w:val="en-US" w:eastAsia="zh-CN"/>
        </w:rPr>
        <w:t>，鲜品储藏时间</w:t>
      </w:r>
      <w:r>
        <w:rPr>
          <w:rFonts w:hint="eastAsia" w:ascii="仿宋_GB2312" w:hAnsi="仿宋_GB2312" w:eastAsia="仿宋_GB2312" w:cs="仿宋_GB2312"/>
          <w:color w:val="auto"/>
          <w:kern w:val="0"/>
          <w:sz w:val="32"/>
          <w:szCs w:val="32"/>
          <w:lang w:val="en-US" w:eastAsia="zh-CN"/>
        </w:rPr>
        <w:t>延长3天以上。所选对照品种必须是生产上主栽品种。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黑皮鸡枞：</w:t>
      </w:r>
      <w:r>
        <w:rPr>
          <w:rFonts w:hint="eastAsia" w:ascii="仿宋_GB2312" w:hAnsi="仿宋_GB2312" w:eastAsia="仿宋_GB2312" w:cs="仿宋_GB2312"/>
          <w:color w:val="auto"/>
          <w:kern w:val="0"/>
          <w:sz w:val="32"/>
          <w:szCs w:val="32"/>
          <w:lang w:val="en-US" w:eastAsia="zh-CN"/>
        </w:rPr>
        <w:t>育成</w:t>
      </w:r>
      <w:r>
        <w:rPr>
          <w:rFonts w:hint="eastAsia" w:ascii="仿宋_GB2312" w:hAnsi="仿宋_GB2312" w:eastAsia="仿宋_GB2312" w:cs="仿宋_GB2312"/>
          <w:b w:val="0"/>
          <w:bCs w:val="0"/>
          <w:color w:val="auto"/>
          <w:kern w:val="0"/>
          <w:sz w:val="32"/>
          <w:szCs w:val="32"/>
          <w:lang w:val="en-US" w:eastAsia="zh-CN"/>
        </w:rPr>
        <w:t>黑皮鸡枞</w:t>
      </w:r>
      <w:r>
        <w:rPr>
          <w:rFonts w:hint="eastAsia" w:ascii="仿宋_GB2312" w:hAnsi="仿宋_GB2312" w:eastAsia="仿宋_GB2312" w:cs="仿宋_GB2312"/>
          <w:color w:val="auto"/>
          <w:kern w:val="0"/>
          <w:sz w:val="32"/>
          <w:szCs w:val="32"/>
          <w:lang w:val="en-US" w:eastAsia="zh-CN"/>
        </w:rPr>
        <w:t>新品种1个以上，并通过省级品种评定。育成的品种有突破性进展，与对照品种相比，在保持品质、抗性的基础上，产量增加15%以上。所选对照品种必须是生产上主栽品种。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金针菇：</w:t>
      </w:r>
      <w:r>
        <w:rPr>
          <w:rFonts w:hint="eastAsia" w:ascii="仿宋_GB2312" w:hAnsi="仿宋_GB2312" w:eastAsia="仿宋_GB2312" w:cs="仿宋_GB2312"/>
          <w:color w:val="auto"/>
          <w:kern w:val="0"/>
          <w:sz w:val="32"/>
          <w:szCs w:val="32"/>
          <w:lang w:val="en-US" w:eastAsia="zh-CN"/>
        </w:rPr>
        <w:t>育成</w:t>
      </w:r>
      <w:r>
        <w:rPr>
          <w:rFonts w:hint="eastAsia" w:ascii="仿宋_GB2312" w:hAnsi="仿宋_GB2312" w:eastAsia="仿宋_GB2312" w:cs="仿宋_GB2312"/>
          <w:b w:val="0"/>
          <w:bCs w:val="0"/>
          <w:color w:val="auto"/>
          <w:kern w:val="0"/>
          <w:sz w:val="32"/>
          <w:szCs w:val="32"/>
          <w:lang w:val="en-US" w:eastAsia="zh-CN"/>
        </w:rPr>
        <w:t>金针菇</w:t>
      </w:r>
      <w:r>
        <w:rPr>
          <w:rFonts w:hint="eastAsia" w:ascii="仿宋_GB2312" w:hAnsi="仿宋_GB2312" w:eastAsia="仿宋_GB2312" w:cs="仿宋_GB2312"/>
          <w:color w:val="auto"/>
          <w:kern w:val="0"/>
          <w:sz w:val="32"/>
          <w:szCs w:val="32"/>
          <w:lang w:val="en-US" w:eastAsia="zh-CN"/>
        </w:rPr>
        <w:t>新品种1个以上，并通过省级品种评定。育成的品种有突破性进展，与对照品种相比，在保持品质、抗性的基础上，产量增加5%以上，鲜品储藏时间延长3天以上。所选对照品种必须是生产上主栽品种。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真姬菇：</w:t>
      </w:r>
      <w:r>
        <w:rPr>
          <w:rFonts w:hint="eastAsia" w:ascii="仿宋_GB2312" w:hAnsi="仿宋_GB2312" w:eastAsia="仿宋_GB2312" w:cs="仿宋_GB2312"/>
          <w:color w:val="auto"/>
          <w:kern w:val="0"/>
          <w:sz w:val="32"/>
          <w:szCs w:val="32"/>
          <w:lang w:val="en-US" w:eastAsia="zh-CN"/>
        </w:rPr>
        <w:t>育成</w:t>
      </w:r>
      <w:r>
        <w:rPr>
          <w:rFonts w:hint="eastAsia" w:ascii="仿宋_GB2312" w:hAnsi="仿宋_GB2312" w:eastAsia="仿宋_GB2312" w:cs="仿宋_GB2312"/>
          <w:b w:val="0"/>
          <w:bCs w:val="0"/>
          <w:color w:val="auto"/>
          <w:kern w:val="0"/>
          <w:sz w:val="32"/>
          <w:szCs w:val="32"/>
          <w:lang w:val="en-US" w:eastAsia="zh-CN"/>
        </w:rPr>
        <w:t>真姬菇</w:t>
      </w:r>
      <w:r>
        <w:rPr>
          <w:rFonts w:hint="eastAsia" w:ascii="仿宋_GB2312" w:hAnsi="仿宋_GB2312" w:eastAsia="仿宋_GB2312" w:cs="仿宋_GB2312"/>
          <w:color w:val="auto"/>
          <w:kern w:val="0"/>
          <w:sz w:val="32"/>
          <w:szCs w:val="32"/>
          <w:lang w:val="en-US" w:eastAsia="zh-CN"/>
        </w:rPr>
        <w:t>新品种1个以上，并通过省级品种评定。育成的品种有突破性进展，与对照品种相比，在保持品质、抗性的基础上，产量增加5%以上，鲜品储藏时间延长3天以上。所选对照品种必须是生产上主栽品种。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eastAsia="zh-CN" w:bidi="ar"/>
        </w:rPr>
        <w:t>③申报对象是企业的，应具备开展</w:t>
      </w:r>
      <w:r>
        <w:rPr>
          <w:rFonts w:hint="eastAsia" w:ascii="仿宋_GB2312" w:hAnsi="仿宋_GB2312" w:eastAsia="仿宋_GB2312" w:cs="仿宋_GB2312"/>
          <w:color w:val="auto"/>
          <w:kern w:val="0"/>
          <w:sz w:val="32"/>
          <w:szCs w:val="32"/>
          <w:lang w:val="en-US" w:eastAsia="zh-CN"/>
        </w:rPr>
        <w:t>品种培育</w:t>
      </w:r>
      <w:r>
        <w:rPr>
          <w:rFonts w:hint="eastAsia" w:ascii="仿宋_GB2312" w:hAnsi="仿宋_GB2312" w:eastAsia="仿宋_GB2312" w:cs="仿宋_GB2312"/>
          <w:color w:val="auto"/>
          <w:kern w:val="0"/>
          <w:sz w:val="32"/>
          <w:szCs w:val="32"/>
          <w:lang w:bidi="ar"/>
        </w:rPr>
        <w:t>、</w:t>
      </w:r>
      <w:r>
        <w:rPr>
          <w:rFonts w:hint="eastAsia" w:ascii="仿宋_GB2312" w:hAnsi="仿宋_GB2312" w:eastAsia="仿宋_GB2312" w:cs="仿宋_GB2312"/>
          <w:color w:val="auto"/>
          <w:kern w:val="0"/>
          <w:sz w:val="32"/>
          <w:szCs w:val="32"/>
          <w:lang w:eastAsia="zh-CN" w:bidi="ar"/>
        </w:rPr>
        <w:t>品种试验</w:t>
      </w:r>
      <w:r>
        <w:rPr>
          <w:rFonts w:hint="eastAsia" w:ascii="仿宋_GB2312" w:hAnsi="仿宋_GB2312" w:eastAsia="仿宋_GB2312" w:cs="仿宋_GB2312"/>
          <w:color w:val="auto"/>
          <w:kern w:val="0"/>
          <w:sz w:val="32"/>
          <w:szCs w:val="32"/>
          <w:lang w:bidi="ar"/>
        </w:rPr>
        <w:t>、</w:t>
      </w:r>
      <w:r>
        <w:rPr>
          <w:rFonts w:hint="eastAsia" w:ascii="仿宋_GB2312" w:hAnsi="仿宋_GB2312" w:eastAsia="仿宋_GB2312" w:cs="仿宋_GB2312"/>
          <w:color w:val="auto"/>
          <w:kern w:val="0"/>
          <w:sz w:val="32"/>
          <w:szCs w:val="32"/>
          <w:lang w:val="en-US" w:eastAsia="zh-CN"/>
        </w:rPr>
        <w:t>菌种繁育</w:t>
      </w:r>
      <w:r>
        <w:rPr>
          <w:rFonts w:hint="eastAsia" w:ascii="仿宋_GB2312" w:hAnsi="仿宋_GB2312" w:eastAsia="仿宋_GB2312" w:cs="仿宋_GB2312"/>
          <w:color w:val="auto"/>
          <w:kern w:val="0"/>
          <w:sz w:val="32"/>
          <w:szCs w:val="32"/>
          <w:lang w:bidi="ar"/>
        </w:rPr>
        <w:t>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2.酸奶发酵专用菌种挖掘培育</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以感官风味和健康功效为关键指标，从传统发酵乳制品等来源中挖掘酸奶发酵专用菌株，分离筛选具有自主知识产权的无抗生素抗性、安全高效的嗜热链球菌、德氏乳杆菌保加利亚亚种及益生菌菌株；对专用菌株进行基因组、转录组和代谢组研究，从分子水平揭示专用菌株的生物转化作用及菌株的相互作用，阐明风味形成和健康功效的形成机理；建立专用菌株保种复壮的关键技术集成，获得高效稳定的直投式发酵剂制备技术，并进行产业化推广和应用。</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挖掘具有自主知识产权的高效酸奶发酵专用菌株5株以上；创制专用酸奶直投式发酵剂2-3组，发酵性能较目前已知菌株提高10%以上；至少3个菌株、1组发酵剂实现产业化应用，达到或改善目前主流产品的口感和风味。</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w:t>
      </w:r>
      <w:r>
        <w:rPr>
          <w:rFonts w:hint="eastAsia" w:ascii="仿宋_GB2312" w:hAnsi="仿宋_GB2312" w:eastAsia="仿宋_GB2312" w:cs="仿宋_GB2312"/>
          <w:color w:val="auto"/>
          <w:kern w:val="0"/>
          <w:sz w:val="32"/>
          <w:szCs w:val="32"/>
          <w:lang w:eastAsia="zh-CN"/>
        </w:rPr>
        <w:t>应</w:t>
      </w:r>
      <w:r>
        <w:rPr>
          <w:rFonts w:hint="eastAsia" w:ascii="仿宋_GB2312" w:hAnsi="仿宋_GB2312" w:eastAsia="仿宋_GB2312" w:cs="仿宋_GB2312"/>
          <w:color w:val="auto"/>
          <w:kern w:val="0"/>
          <w:sz w:val="32"/>
          <w:szCs w:val="32"/>
          <w:lang w:val="en-US" w:eastAsia="zh-CN"/>
        </w:rPr>
        <w:t>在乳酸菌研究方面具有良好的工作基础，具备乳酸菌筛选等基础设施条件。</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（4）实施周期和资金额度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3.塑料降解微生物菌种挖掘利用</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以聚酯类、聚烯烃类塑料的高效降解和资源化利用为目标，利用培养组学和多组学技术鉴定高效塑料降解核心微生物组及演化规律，挖掘塑料降解重要菌株（群）及关键酶元件；利用高通量鉴定技术、网络分析、泛基因组分析构建塑料降解菌种（群）资源库和遗传基因库；解析关键酶催化塑料降解的分子机制；利用酶工程、人工智能等手段，通过理性设计和定向进化提高塑料解聚酶的活性和热稳定性，创制高效的塑料解聚酶及表达菌株；构建人工合成塑料降解微生物菌群，实现塑料高效降解和资源化利用。</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获取塑料降解相关微生物菌种（群）200株（个）以上，挖掘塑料解聚关键酶元件10种以上，阐明2种以上新型塑料解聚酶催化机制；创制高活性塑料解聚酶5-10种，酶蛋白高效表达工程菌株5-10株；针对不同塑料类型，开发高效塑料降解人工合成微生物菌群2种以上，塑料降解效率比现有方法提高20%以上，1种以上人工合成菌群实现规模化测试应用。</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spacing w:val="-9"/>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w:t>
      </w:r>
      <w:r>
        <w:rPr>
          <w:rFonts w:hint="eastAsia" w:ascii="仿宋_GB2312" w:hAnsi="仿宋_GB2312" w:eastAsia="仿宋_GB2312" w:cs="仿宋_GB2312"/>
          <w:color w:val="auto"/>
          <w:spacing w:val="-9"/>
          <w:kern w:val="0"/>
          <w:sz w:val="32"/>
          <w:szCs w:val="32"/>
          <w:lang w:val="en-US" w:eastAsia="zh-CN"/>
        </w:rPr>
        <w:t>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③申报对象应具有微生物学、合成生物学、酶工程等相关研究经验，具有专业人才队伍。</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（4）项目资金额度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4.高效羽毛降解菌种挖掘利用</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（1）建设内容</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针对废弃羽毛等农业有机固体废弃物高效利用等问题，筛选高效角蛋白降解微生物及关键酶基因资源，定向改造角蛋白酶的热稳定性，创制高活性的高温角蛋白酶，构建废弃羽毛综合利用平台；根据不同应用场景及需求，创制精准、高效、多功能角蛋白降解菌。</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（2）绩效目标</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发掘能高效降解羽毛的微生物菌种100株以上，48小时羽毛蛋白降解率达到80%以上，获得关键的降解酶功能基因10个。精准创制高效羽毛降解菌3株以上，48小时羽毛蛋白降解效率100%，且实现至少1株降解菌应用于产业化。</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（3）申报对象及条件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①由省级及中央驻粤涉农科研机构、高等院校、企业申报。</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②申报对象具有较完善的项目和财务管理制度，信用记录良好。</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③申报对象需在羽毛降解方面有较好的技术积累，并具有自主知识产权种质资源，在废弃羽毛产业化利用方面具有良好工作基础。</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（4）项目资金额度</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3年。项目申报单位需根据实际需求自行测算项目需求金额，2022年度资金额度原则上不超过50万元，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3" w:firstLineChars="200"/>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（5）考核要求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项目申报时制定的年度计划和目标，组织开展年度绩效考核，依据考核结果，对下一年度项目资金安排实施动态调整。待项目持续支持3年后，由省农业农村厅组织开展项目总体绩效考核，达到项目总体目标的，在后续种业振兴项目安排上予以倾斜；因主观不努力等因素，导致未达到项目总体目标的或者无法实施完成的，将对项目承担单位予以通报，并在后续种业振兴项目安排上予以限制。</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项目成果需由省农业农村厅进行登记、备案和发布。</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90" w:lineRule="exact"/>
        <w:ind w:firstLine="640" w:firstLineChars="200"/>
        <w:jc w:val="both"/>
        <w:textAlignment w:val="auto"/>
        <w:rPr>
          <w:rFonts w:hint="eastAsia" w:ascii="仿宋_GB2312" w:hAnsi="仿宋_GB2312" w:eastAsia="仿宋_GB2312" w:cs="仿宋_GB2312"/>
          <w:snapToGrid w:val="0"/>
          <w:color w:val="auto"/>
          <w:spacing w:val="0"/>
          <w:kern w:val="0"/>
          <w:sz w:val="32"/>
          <w:szCs w:val="32"/>
          <w:lang w:eastAsia="zh-CN"/>
        </w:rPr>
      </w:pP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90" w:lineRule="exact"/>
        <w:ind w:firstLine="640" w:firstLineChars="200"/>
        <w:jc w:val="both"/>
        <w:textAlignment w:val="auto"/>
        <w:rPr>
          <w:rFonts w:hint="eastAsia" w:ascii="仿宋_GB2312" w:hAnsi="仿宋_GB2312" w:eastAsia="仿宋_GB2312" w:cs="仿宋_GB2312"/>
          <w:snapToGrid w:val="0"/>
          <w:color w:val="auto"/>
          <w:spacing w:val="0"/>
          <w:kern w:val="0"/>
          <w:sz w:val="32"/>
          <w:szCs w:val="32"/>
          <w:lang w:eastAsia="zh-CN"/>
        </w:rPr>
        <w:sectPr>
          <w:pgSz w:w="11906" w:h="16838"/>
          <w:pgMar w:top="1871" w:right="1531" w:bottom="1871" w:left="1531" w:header="851" w:footer="1417" w:gutter="0"/>
          <w:pgNumType w:fmt="decimal"/>
          <w:cols w:space="0" w:num="1"/>
          <w:titlePg/>
          <w:rtlGutter w:val="0"/>
          <w:docGrid w:type="lines" w:linePitch="595" w:charSpace="0"/>
        </w:sectPr>
      </w:pP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90" w:lineRule="exact"/>
        <w:ind w:firstLine="0" w:firstLineChars="0"/>
        <w:jc w:val="both"/>
        <w:textAlignment w:val="auto"/>
        <w:rPr>
          <w:rFonts w:hint="eastAsia" w:ascii="黑体" w:hAnsi="黑体" w:eastAsia="黑体" w:cs="黑体"/>
          <w:snapToGrid w:val="0"/>
          <w:color w:val="auto"/>
          <w:spacing w:val="0"/>
          <w:kern w:val="0"/>
          <w:sz w:val="32"/>
          <w:szCs w:val="32"/>
          <w:lang w:eastAsia="zh-CN"/>
        </w:rPr>
      </w:pPr>
      <w:r>
        <w:rPr>
          <w:rFonts w:hint="eastAsia" w:ascii="黑体" w:hAnsi="黑体" w:eastAsia="黑体" w:cs="黑体"/>
          <w:snapToGrid w:val="0"/>
          <w:color w:val="auto"/>
          <w:spacing w:val="0"/>
          <w:kern w:val="0"/>
          <w:sz w:val="32"/>
          <w:szCs w:val="32"/>
          <w:lang w:eastAsia="zh-CN"/>
        </w:rPr>
        <w:t>附件</w:t>
      </w:r>
      <w:r>
        <w:rPr>
          <w:rFonts w:hint="eastAsia" w:ascii="黑体" w:hAnsi="黑体" w:eastAsia="黑体" w:cs="黑体"/>
          <w:snapToGrid w:val="0"/>
          <w:color w:val="auto"/>
          <w:spacing w:val="0"/>
          <w:kern w:val="0"/>
          <w:sz w:val="32"/>
          <w:szCs w:val="32"/>
          <w:lang w:val="en-US" w:eastAsia="zh-CN"/>
        </w:rPr>
        <w:t>3</w:t>
      </w:r>
    </w:p>
    <w:p>
      <w:pPr>
        <w:numPr>
          <w:ilvl w:val="3"/>
          <w:numId w:val="0"/>
        </w:numPr>
        <w:adjustRightInd w:val="0"/>
        <w:snapToGrid w:val="0"/>
        <w:spacing w:line="590" w:lineRule="exact"/>
        <w:ind w:left="0" w:leftChars="0" w:firstLine="640" w:firstLineChars="200"/>
        <w:jc w:val="both"/>
        <w:outlineLvl w:val="9"/>
        <w:rPr>
          <w:rFonts w:hint="eastAsia" w:ascii="仿宋_GB2312" w:hAnsi="仿宋_GB2312" w:eastAsia="仿宋_GB2312" w:cs="仿宋_GB2312"/>
          <w:snapToGrid/>
          <w:color w:val="auto"/>
          <w:kern w:val="0"/>
          <w:sz w:val="32"/>
          <w:szCs w:val="32"/>
          <w:u w:val="none"/>
          <w:lang w:val="en-US" w:eastAsia="zh-CN" w:bidi="ar"/>
        </w:rPr>
      </w:pPr>
    </w:p>
    <w:p>
      <w:pPr>
        <w:numPr>
          <w:ilvl w:val="3"/>
          <w:numId w:val="0"/>
        </w:numPr>
        <w:adjustRightInd w:val="0"/>
        <w:snapToGrid w:val="0"/>
        <w:spacing w:line="590" w:lineRule="exact"/>
        <w:ind w:left="0" w:leftChars="0" w:firstLine="0" w:firstLineChars="0"/>
        <w:jc w:val="center"/>
        <w:outlineLvl w:val="9"/>
        <w:rPr>
          <w:rFonts w:hint="eastAsia" w:ascii="方正小标宋简体" w:hAnsi="方正小标宋简体" w:eastAsia="方正小标宋简体" w:cs="方正小标宋简体"/>
          <w:b w:val="0"/>
          <w:bCs w:val="0"/>
          <w:snapToGrid/>
          <w:color w:val="auto"/>
          <w:kern w:val="0"/>
          <w:sz w:val="44"/>
          <w:szCs w:val="44"/>
          <w:u w:val="none"/>
          <w:lang w:val="en-US" w:eastAsia="zh-CN" w:bidi="ar"/>
        </w:rPr>
      </w:pPr>
      <w:r>
        <w:rPr>
          <w:rFonts w:hint="eastAsia" w:ascii="方正小标宋简体" w:hAnsi="方正小标宋简体" w:eastAsia="方正小标宋简体" w:cs="方正小标宋简体"/>
          <w:b w:val="0"/>
          <w:bCs w:val="0"/>
          <w:snapToGrid/>
          <w:color w:val="auto"/>
          <w:kern w:val="0"/>
          <w:sz w:val="44"/>
          <w:szCs w:val="44"/>
          <w:u w:val="none"/>
          <w:lang w:val="en-US" w:eastAsia="zh-CN" w:bidi="ar"/>
        </w:rPr>
        <w:t>2022-2023年省级种业振兴行动种业创新园</w:t>
      </w:r>
    </w:p>
    <w:p>
      <w:pPr>
        <w:numPr>
          <w:ilvl w:val="3"/>
          <w:numId w:val="0"/>
        </w:numPr>
        <w:adjustRightInd w:val="0"/>
        <w:snapToGrid w:val="0"/>
        <w:spacing w:line="590" w:lineRule="exact"/>
        <w:ind w:left="0" w:leftChars="0" w:firstLine="0" w:firstLineChars="0"/>
        <w:jc w:val="center"/>
        <w:outlineLvl w:val="9"/>
        <w:rPr>
          <w:rFonts w:hint="eastAsia" w:ascii="方正小标宋简体" w:hAnsi="方正小标宋简体" w:eastAsia="方正小标宋简体" w:cs="方正小标宋简体"/>
          <w:b w:val="0"/>
          <w:bCs w:val="0"/>
          <w:snapToGrid/>
          <w:color w:val="auto"/>
          <w:kern w:val="0"/>
          <w:sz w:val="44"/>
          <w:szCs w:val="44"/>
          <w:u w:val="none"/>
          <w:lang w:val="en-US" w:eastAsia="zh-CN" w:bidi="ar"/>
        </w:rPr>
      </w:pPr>
      <w:r>
        <w:rPr>
          <w:rFonts w:hint="eastAsia" w:ascii="方正小标宋简体" w:hAnsi="方正小标宋简体" w:eastAsia="方正小标宋简体" w:cs="方正小标宋简体"/>
          <w:b w:val="0"/>
          <w:bCs w:val="0"/>
          <w:snapToGrid/>
          <w:color w:val="auto"/>
          <w:kern w:val="0"/>
          <w:sz w:val="44"/>
          <w:szCs w:val="44"/>
          <w:u w:val="none"/>
          <w:lang w:val="en-US" w:eastAsia="zh-CN" w:bidi="ar"/>
        </w:rPr>
        <w:t>项目申报指南</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p>
    <w:p>
      <w:pPr>
        <w:adjustRightInd w:val="0"/>
        <w:snapToGrid w:val="0"/>
        <w:spacing w:beforeLines="0" w:afterLines="0" w:line="590" w:lineRule="exact"/>
        <w:ind w:firstLine="640" w:firstLineChars="200"/>
        <w:rPr>
          <w:rFonts w:hint="eastAsia" w:ascii="黑体" w:hAnsi="黑体" w:eastAsia="黑体" w:cs="黑体"/>
          <w:color w:val="auto"/>
          <w:kern w:val="0"/>
          <w:sz w:val="32"/>
          <w:szCs w:val="32"/>
          <w:lang w:val="en-US" w:eastAsia="zh-CN"/>
        </w:rPr>
      </w:pPr>
      <w:r>
        <w:rPr>
          <w:rFonts w:hint="eastAsia" w:ascii="黑体" w:hAnsi="黑体" w:eastAsia="黑体" w:cs="黑体"/>
          <w:color w:val="auto"/>
          <w:kern w:val="0"/>
          <w:sz w:val="32"/>
          <w:szCs w:val="32"/>
          <w:lang w:val="en-US" w:eastAsia="zh-CN"/>
        </w:rPr>
        <w:t>一、建设目标</w:t>
      </w:r>
    </w:p>
    <w:p>
      <w:pPr>
        <w:adjustRightInd w:val="0"/>
        <w:snapToGrid w:val="0"/>
        <w:spacing w:beforeLines="0" w:afterLines="0" w:line="590" w:lineRule="exact"/>
        <w:ind w:firstLine="640" w:firstLineChars="20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val="0"/>
          <w:bCs w:val="0"/>
          <w:color w:val="auto"/>
          <w:kern w:val="0"/>
          <w:sz w:val="32"/>
          <w:szCs w:val="32"/>
          <w:lang w:val="en-US" w:eastAsia="zh-CN" w:bidi="ar-SA"/>
        </w:rPr>
        <w:t>按照“一个种质资源圃、一个主导品种、一个龙头企业、一个科研团队”的建设要求，</w:t>
      </w:r>
      <w:r>
        <w:rPr>
          <w:rFonts w:hint="default" w:ascii="仿宋_GB2312" w:hAnsi="仿宋_GB2312" w:eastAsia="仿宋_GB2312" w:cs="仿宋_GB2312"/>
          <w:color w:val="auto"/>
          <w:kern w:val="0"/>
          <w:sz w:val="32"/>
          <w:szCs w:val="32"/>
          <w:lang w:val="en-US" w:eastAsia="zh-CN"/>
        </w:rPr>
        <w:t>围绕一个品种、一个园区，突出种业创新全链条关键环节，汇聚种质资源、人才团队、科研平台、示范基地等要素资源，全方位开展种质资源保护、鉴定评价、功能基因挖掘、遗传材料创制、种源关键技术攻关和突破性新品种（配套系）培育等，打造一批特色鲜明、功能完备、富有活力的重要农作物</w:t>
      </w:r>
      <w:r>
        <w:rPr>
          <w:rFonts w:hint="eastAsia" w:ascii="仿宋_GB2312" w:hAnsi="仿宋_GB2312" w:eastAsia="仿宋_GB2312" w:cs="仿宋_GB2312"/>
          <w:color w:val="auto"/>
          <w:kern w:val="0"/>
          <w:sz w:val="32"/>
          <w:szCs w:val="32"/>
          <w:lang w:val="en-US" w:eastAsia="zh-CN"/>
        </w:rPr>
        <w:t>（含南药）</w:t>
      </w:r>
      <w:r>
        <w:rPr>
          <w:rFonts w:hint="default" w:ascii="仿宋_GB2312" w:hAnsi="仿宋_GB2312" w:eastAsia="仿宋_GB2312" w:cs="仿宋_GB2312"/>
          <w:color w:val="auto"/>
          <w:kern w:val="0"/>
          <w:sz w:val="32"/>
          <w:szCs w:val="32"/>
          <w:lang w:val="en-US" w:eastAsia="zh-CN"/>
        </w:rPr>
        <w:t>、畜禽、水产、农业微生物种业研发集聚区，形成政府引导、市场运作、企业实施、共享发展的种业创新园，建立种业创新的公共服务平台，解决我省重大品种的种源自主创新问题，加速种业创新发展成果转化落地，推动产业化推广应用，全面提升我省现代种业发展水平，推动种业高质量发展。</w:t>
      </w:r>
    </w:p>
    <w:p>
      <w:pPr>
        <w:adjustRightInd w:val="0"/>
        <w:snapToGrid w:val="0"/>
        <w:spacing w:beforeLines="0" w:afterLines="0" w:line="590" w:lineRule="exact"/>
        <w:ind w:firstLine="640" w:firstLineChars="200"/>
        <w:rPr>
          <w:rFonts w:hint="eastAsia" w:ascii="黑体" w:hAnsi="黑体" w:eastAsia="黑体" w:cs="黑体"/>
          <w:color w:val="auto"/>
          <w:kern w:val="0"/>
          <w:sz w:val="32"/>
          <w:szCs w:val="32"/>
          <w:lang w:val="en-US" w:eastAsia="zh-CN"/>
        </w:rPr>
      </w:pPr>
      <w:r>
        <w:rPr>
          <w:rFonts w:hint="eastAsia" w:ascii="黑体" w:hAnsi="黑体" w:eastAsia="黑体" w:cs="黑体"/>
          <w:color w:val="auto"/>
          <w:kern w:val="0"/>
          <w:sz w:val="32"/>
          <w:szCs w:val="32"/>
          <w:lang w:val="en-US" w:eastAsia="zh-CN"/>
        </w:rPr>
        <w:t>二、建设规模</w:t>
      </w:r>
    </w:p>
    <w:p>
      <w:pPr>
        <w:numPr>
          <w:ilvl w:val="0"/>
          <w:numId w:val="0"/>
        </w:numPr>
        <w:adjustRightInd w:val="0"/>
        <w:snapToGrid w:val="0"/>
        <w:spacing w:beforeLines="0" w:afterLines="0" w:line="590" w:lineRule="exact"/>
        <w:ind w:firstLine="640" w:firstLineChars="20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种业</w:t>
      </w:r>
      <w:r>
        <w:rPr>
          <w:rFonts w:hint="default" w:ascii="仿宋_GB2312" w:hAnsi="仿宋_GB2312" w:eastAsia="仿宋_GB2312" w:cs="仿宋_GB2312"/>
          <w:color w:val="auto"/>
          <w:kern w:val="0"/>
          <w:sz w:val="32"/>
          <w:szCs w:val="32"/>
          <w:lang w:val="en-US" w:eastAsia="zh-CN"/>
        </w:rPr>
        <w:t>创新园</w:t>
      </w:r>
      <w:r>
        <w:rPr>
          <w:rFonts w:hint="eastAsia" w:ascii="仿宋_GB2312" w:hAnsi="仿宋_GB2312" w:eastAsia="仿宋_GB2312" w:cs="仿宋_GB2312"/>
          <w:color w:val="auto"/>
          <w:kern w:val="0"/>
          <w:sz w:val="32"/>
          <w:szCs w:val="32"/>
          <w:lang w:val="en-US" w:eastAsia="zh-CN"/>
        </w:rPr>
        <w:t>建设</w:t>
      </w:r>
      <w:r>
        <w:rPr>
          <w:rFonts w:hint="default" w:ascii="仿宋_GB2312" w:hAnsi="仿宋_GB2312" w:eastAsia="仿宋_GB2312" w:cs="仿宋_GB2312"/>
          <w:color w:val="auto"/>
          <w:kern w:val="0"/>
          <w:sz w:val="32"/>
          <w:szCs w:val="32"/>
          <w:lang w:val="en-US" w:eastAsia="zh-CN"/>
        </w:rPr>
        <w:t>要达到一定的连片规模，园区建设应包括科研区、种质资源圃（库）、试验区、示范区等。</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default" w:ascii="仿宋_GB2312" w:hAnsi="仿宋_GB2312" w:eastAsia="仿宋_GB2312" w:cs="仿宋_GB2312"/>
          <w:color w:val="auto"/>
          <w:kern w:val="0"/>
          <w:sz w:val="32"/>
          <w:szCs w:val="32"/>
          <w:lang w:val="en-US" w:eastAsia="zh-CN"/>
        </w:rPr>
        <w:t>①农作物种业创新园应达到连片规模</w:t>
      </w:r>
      <w:r>
        <w:rPr>
          <w:rFonts w:hint="eastAsia" w:ascii="仿宋_GB2312" w:hAnsi="仿宋_GB2312" w:eastAsia="仿宋_GB2312" w:cs="仿宋_GB2312"/>
          <w:color w:val="auto"/>
          <w:kern w:val="0"/>
          <w:sz w:val="32"/>
          <w:szCs w:val="32"/>
          <w:lang w:val="en-US" w:eastAsia="zh-CN"/>
        </w:rPr>
        <w:t>200</w:t>
      </w:r>
      <w:r>
        <w:rPr>
          <w:rFonts w:hint="default" w:ascii="仿宋_GB2312" w:hAnsi="仿宋_GB2312" w:eastAsia="仿宋_GB2312" w:cs="仿宋_GB2312"/>
          <w:color w:val="auto"/>
          <w:kern w:val="0"/>
          <w:sz w:val="32"/>
          <w:szCs w:val="32"/>
          <w:lang w:val="en-US" w:eastAsia="zh-CN"/>
        </w:rPr>
        <w:t>亩以上。</w:t>
      </w:r>
    </w:p>
    <w:p>
      <w:pPr>
        <w:adjustRightInd w:val="0"/>
        <w:snapToGrid w:val="0"/>
        <w:spacing w:beforeLines="0" w:afterLines="0" w:line="590" w:lineRule="exact"/>
        <w:ind w:firstLine="640" w:firstLineChars="200"/>
        <w:rPr>
          <w:rFonts w:hint="default" w:ascii="仿宋_GB2312" w:hAnsi="仿宋_GB2312" w:eastAsia="仿宋_GB2312" w:cs="仿宋_GB2312"/>
          <w:color w:val="auto"/>
          <w:kern w:val="0"/>
          <w:sz w:val="32"/>
          <w:szCs w:val="32"/>
          <w:lang w:val="en-US" w:eastAsia="zh-CN"/>
        </w:rPr>
      </w:pPr>
      <w:r>
        <w:rPr>
          <w:rFonts w:hint="default" w:ascii="仿宋_GB2312" w:hAnsi="仿宋_GB2312" w:eastAsia="仿宋_GB2312" w:cs="仿宋_GB2312"/>
          <w:color w:val="auto"/>
          <w:kern w:val="0"/>
          <w:sz w:val="32"/>
          <w:szCs w:val="32"/>
          <w:lang w:val="en-US" w:eastAsia="zh-CN"/>
        </w:rPr>
        <w:t>②畜禽种业创新园应达到200亩以上的规模。考虑动物生物安全防控要求，三区一库布局可扩大至同一县（市、区）境内。</w:t>
      </w:r>
    </w:p>
    <w:p>
      <w:pPr>
        <w:adjustRightInd w:val="0"/>
        <w:snapToGrid w:val="0"/>
        <w:spacing w:beforeLines="0" w:afterLines="0" w:line="590" w:lineRule="exact"/>
        <w:ind w:firstLine="640" w:firstLineChars="200"/>
        <w:rPr>
          <w:rFonts w:hint="default" w:ascii="仿宋_GB2312" w:hAnsi="仿宋_GB2312" w:eastAsia="仿宋_GB2312" w:cs="仿宋_GB2312"/>
          <w:color w:val="auto"/>
          <w:kern w:val="0"/>
          <w:sz w:val="32"/>
          <w:szCs w:val="32"/>
          <w:lang w:val="en-US" w:eastAsia="zh-CN"/>
        </w:rPr>
      </w:pPr>
      <w:r>
        <w:rPr>
          <w:rFonts w:hint="default" w:ascii="仿宋_GB2312" w:hAnsi="仿宋_GB2312" w:eastAsia="仿宋_GB2312" w:cs="仿宋_GB2312"/>
          <w:color w:val="auto"/>
          <w:kern w:val="0"/>
          <w:sz w:val="32"/>
          <w:szCs w:val="32"/>
          <w:lang w:val="en-US" w:eastAsia="zh-CN"/>
        </w:rPr>
        <w:t>③水产种业创新园应达到连片规模200亩以上。</w:t>
      </w:r>
    </w:p>
    <w:p>
      <w:pPr>
        <w:adjustRightInd w:val="0"/>
        <w:snapToGrid w:val="0"/>
        <w:spacing w:beforeLines="0" w:afterLines="0" w:line="590" w:lineRule="exact"/>
        <w:ind w:firstLine="640" w:firstLineChars="200"/>
        <w:rPr>
          <w:rFonts w:hint="default" w:ascii="仿宋_GB2312" w:hAnsi="仿宋_GB2312" w:eastAsia="仿宋_GB2312" w:cs="仿宋_GB2312"/>
          <w:color w:val="auto"/>
          <w:kern w:val="0"/>
          <w:sz w:val="32"/>
          <w:szCs w:val="32"/>
          <w:lang w:val="en-US" w:eastAsia="zh-CN"/>
        </w:rPr>
      </w:pPr>
      <w:r>
        <w:rPr>
          <w:rFonts w:hint="default" w:ascii="仿宋_GB2312" w:hAnsi="仿宋_GB2312" w:eastAsia="仿宋_GB2312" w:cs="仿宋_GB2312"/>
          <w:color w:val="auto"/>
          <w:kern w:val="0"/>
          <w:sz w:val="32"/>
          <w:szCs w:val="32"/>
          <w:lang w:val="en-US" w:eastAsia="zh-CN"/>
        </w:rPr>
        <w:t>④食用菌种业创新园应达到连片规模100亩以上。</w:t>
      </w:r>
    </w:p>
    <w:p>
      <w:pPr>
        <w:adjustRightInd w:val="0"/>
        <w:snapToGrid w:val="0"/>
        <w:spacing w:beforeLines="0" w:afterLines="0" w:line="590" w:lineRule="exact"/>
        <w:ind w:firstLine="640" w:firstLineChars="200"/>
        <w:rPr>
          <w:rFonts w:hint="eastAsia" w:ascii="黑体" w:hAnsi="黑体" w:eastAsia="黑体" w:cs="黑体"/>
          <w:color w:val="auto"/>
          <w:kern w:val="0"/>
          <w:sz w:val="32"/>
          <w:szCs w:val="32"/>
          <w:lang w:val="en-US" w:eastAsia="zh-CN"/>
        </w:rPr>
      </w:pPr>
      <w:r>
        <w:rPr>
          <w:rFonts w:hint="eastAsia" w:ascii="黑体" w:hAnsi="黑体" w:eastAsia="黑体" w:cs="黑体"/>
          <w:color w:val="auto"/>
          <w:kern w:val="0"/>
          <w:sz w:val="32"/>
          <w:szCs w:val="32"/>
          <w:lang w:val="en-US" w:eastAsia="zh-CN"/>
        </w:rPr>
        <w:t>三、建设任务</w:t>
      </w:r>
    </w:p>
    <w:p>
      <w:pPr>
        <w:adjustRightInd w:val="0"/>
        <w:snapToGrid w:val="0"/>
        <w:spacing w:beforeLines="0" w:afterLines="0" w:line="590" w:lineRule="exact"/>
        <w:ind w:firstLine="640" w:firstLineChars="20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围绕1个优势特色品种，按照资源禀赋优越、品种优势突出、种业链条完整、资源要素集聚的原则，突出种业创新园的资源保护与利用、育种技术创新、新品种培育、成果转化和示范推广等主体功能。重点建设任务包括：</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一是建设种质资源保护和利用的引领区。</w:t>
      </w:r>
      <w:r>
        <w:rPr>
          <w:rFonts w:hint="eastAsia" w:ascii="仿宋_GB2312" w:hAnsi="仿宋_GB2312" w:eastAsia="仿宋_GB2312" w:cs="仿宋_GB2312"/>
          <w:color w:val="auto"/>
          <w:kern w:val="0"/>
          <w:sz w:val="32"/>
          <w:szCs w:val="32"/>
          <w:lang w:val="en-US" w:eastAsia="zh-CN"/>
        </w:rPr>
        <w:t>建设优势品种种质资源保护圃（库）、保种场（区），开展珍稀、特有资源和地方品种抢救性收集、优异资源引进；建设种质资源鉴评平台，开展种质资源精准鉴评和重要功能基因挖掘，创制一批优异种质和基因资源，加快优异种质资源深度挖掘利用。</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二是建设现代育种技术和装备的集成区。</w:t>
      </w:r>
      <w:r>
        <w:rPr>
          <w:rFonts w:hint="eastAsia" w:ascii="仿宋_GB2312" w:hAnsi="仿宋_GB2312" w:eastAsia="仿宋_GB2312" w:cs="仿宋_GB2312"/>
          <w:color w:val="auto"/>
          <w:kern w:val="0"/>
          <w:sz w:val="32"/>
          <w:szCs w:val="32"/>
          <w:lang w:val="en-US" w:eastAsia="zh-CN"/>
        </w:rPr>
        <w:t>围绕种业发展关键环节和突出问题，在关键领域和环节下功夫，利用现代育种技术和设备，持续开展品种创新和育种技术创新研究，形成一批具有自主知识产权的标志性成果，打造育种技术先进、高效育种设备配套加速应用的集聚地。</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三是建设育种联合攻关的样板区。</w:t>
      </w:r>
      <w:r>
        <w:rPr>
          <w:rFonts w:hint="eastAsia" w:ascii="仿宋_GB2312" w:hAnsi="仿宋_GB2312" w:eastAsia="仿宋_GB2312" w:cs="仿宋_GB2312"/>
          <w:color w:val="auto"/>
          <w:kern w:val="0"/>
          <w:sz w:val="32"/>
          <w:szCs w:val="32"/>
          <w:lang w:val="en-US" w:eastAsia="zh-CN"/>
        </w:rPr>
        <w:t>探索育种联合攻关新机制，集聚种业创新链全要素，加快突破性品种联合育种攻关，建立规模化、协同化、智能化育种体系，打造</w:t>
      </w:r>
      <w:r>
        <w:rPr>
          <w:rFonts w:hint="eastAsia" w:ascii="仿宋_GB2312" w:hAnsi="仿宋_GB2312" w:eastAsia="仿宋_GB2312" w:cs="仿宋_GB2312"/>
          <w:color w:val="auto"/>
          <w:kern w:val="0"/>
          <w:sz w:val="32"/>
          <w:szCs w:val="32"/>
          <w:lang w:val="en-US" w:eastAsia="zh-Hans"/>
        </w:rPr>
        <w:t>新品种</w:t>
      </w:r>
      <w:r>
        <w:rPr>
          <w:rFonts w:hint="default" w:ascii="仿宋_GB2312" w:hAnsi="仿宋_GB2312" w:eastAsia="仿宋_GB2312" w:cs="仿宋_GB2312"/>
          <w:color w:val="auto"/>
          <w:kern w:val="0"/>
          <w:sz w:val="32"/>
          <w:szCs w:val="32"/>
          <w:lang w:val="en-US" w:eastAsia="zh-Hans"/>
        </w:rPr>
        <w:t>（</w:t>
      </w:r>
      <w:r>
        <w:rPr>
          <w:rFonts w:hint="eastAsia" w:ascii="仿宋_GB2312" w:hAnsi="仿宋_GB2312" w:eastAsia="仿宋_GB2312" w:cs="仿宋_GB2312"/>
          <w:color w:val="auto"/>
          <w:kern w:val="0"/>
          <w:sz w:val="32"/>
          <w:szCs w:val="32"/>
          <w:lang w:val="en-US" w:eastAsia="zh-Hans"/>
        </w:rPr>
        <w:t>配套系</w:t>
      </w:r>
      <w:r>
        <w:rPr>
          <w:rFonts w:hint="default" w:ascii="仿宋_GB2312" w:hAnsi="仿宋_GB2312" w:eastAsia="仿宋_GB2312" w:cs="仿宋_GB2312"/>
          <w:color w:val="auto"/>
          <w:kern w:val="0"/>
          <w:sz w:val="32"/>
          <w:szCs w:val="32"/>
          <w:lang w:val="en-US" w:eastAsia="zh-Hans"/>
        </w:rPr>
        <w:t>）</w:t>
      </w:r>
      <w:r>
        <w:rPr>
          <w:rFonts w:hint="eastAsia" w:ascii="仿宋_GB2312" w:hAnsi="仿宋_GB2312" w:eastAsia="仿宋_GB2312" w:cs="仿宋_GB2312"/>
          <w:color w:val="auto"/>
          <w:kern w:val="0"/>
          <w:sz w:val="32"/>
          <w:szCs w:val="32"/>
          <w:lang w:val="en-US" w:eastAsia="zh-Hans"/>
        </w:rPr>
        <w:t>创新</w:t>
      </w:r>
      <w:r>
        <w:rPr>
          <w:rFonts w:hint="eastAsia" w:ascii="仿宋_GB2312" w:hAnsi="仿宋_GB2312" w:eastAsia="仿宋_GB2312" w:cs="仿宋_GB2312"/>
          <w:color w:val="auto"/>
          <w:kern w:val="0"/>
          <w:sz w:val="32"/>
          <w:szCs w:val="32"/>
          <w:lang w:val="en-US" w:eastAsia="zh-CN"/>
        </w:rPr>
        <w:t>开发攻关的</w:t>
      </w:r>
      <w:r>
        <w:rPr>
          <w:rFonts w:hint="eastAsia" w:ascii="仿宋_GB2312" w:hAnsi="仿宋_GB2312" w:eastAsia="仿宋_GB2312" w:cs="仿宋_GB2312"/>
          <w:color w:val="auto"/>
          <w:kern w:val="0"/>
          <w:sz w:val="32"/>
          <w:szCs w:val="32"/>
          <w:lang w:val="en-US" w:eastAsia="zh-Hans"/>
        </w:rPr>
        <w:t>典范</w:t>
      </w:r>
      <w:r>
        <w:rPr>
          <w:rFonts w:hint="eastAsia" w:ascii="仿宋_GB2312" w:hAnsi="仿宋_GB2312" w:eastAsia="仿宋_GB2312" w:cs="仿宋_GB2312"/>
          <w:color w:val="auto"/>
          <w:kern w:val="0"/>
          <w:sz w:val="32"/>
          <w:szCs w:val="32"/>
          <w:lang w:val="en-US" w:eastAsia="zh-CN"/>
        </w:rPr>
        <w:t>。</w:t>
      </w:r>
    </w:p>
    <w:p>
      <w:pPr>
        <w:adjustRightInd w:val="0"/>
        <w:snapToGrid w:val="0"/>
        <w:spacing w:beforeLines="0" w:afterLines="0" w:line="590" w:lineRule="exact"/>
        <w:ind w:firstLine="643"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四是建设种业成果转化和推广的示范区。</w:t>
      </w:r>
      <w:r>
        <w:rPr>
          <w:rFonts w:hint="eastAsia" w:ascii="仿宋_GB2312" w:hAnsi="仿宋_GB2312" w:eastAsia="仿宋_GB2312" w:cs="仿宋_GB2312"/>
          <w:color w:val="auto"/>
          <w:kern w:val="0"/>
          <w:sz w:val="32"/>
          <w:szCs w:val="32"/>
          <w:lang w:val="en-US" w:eastAsia="zh-CN"/>
        </w:rPr>
        <w:t>建设现代化、标准化、信息化种业成果展示示范基地，提升优良新品种辐射带动的影响力，加快推动产业化应用。</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①农作物种业创新园：园区建成后，自主育成突破性新品种3个以上，</w:t>
      </w:r>
      <w:r>
        <w:rPr>
          <w:rFonts w:hint="default" w:ascii="仿宋_GB2312" w:hAnsi="仿宋_GB2312" w:eastAsia="仿宋_GB2312" w:cs="仿宋_GB2312"/>
          <w:color w:val="auto"/>
          <w:kern w:val="0"/>
          <w:sz w:val="32"/>
          <w:szCs w:val="32"/>
          <w:lang w:val="en-US" w:eastAsia="zh-CN"/>
        </w:rPr>
        <w:t>建设</w:t>
      </w:r>
      <w:r>
        <w:rPr>
          <w:rFonts w:hint="eastAsia" w:ascii="仿宋_GB2312" w:hAnsi="仿宋_GB2312" w:eastAsia="仿宋_GB2312" w:cs="仿宋_GB2312"/>
          <w:color w:val="auto"/>
          <w:kern w:val="0"/>
          <w:sz w:val="32"/>
          <w:szCs w:val="32"/>
          <w:lang w:val="en-US" w:eastAsia="zh-CN"/>
        </w:rPr>
        <w:t>新品种</w:t>
      </w:r>
      <w:r>
        <w:rPr>
          <w:rFonts w:hint="default" w:ascii="仿宋_GB2312" w:hAnsi="仿宋_GB2312" w:eastAsia="仿宋_GB2312" w:cs="仿宋_GB2312"/>
          <w:color w:val="auto"/>
          <w:kern w:val="0"/>
          <w:sz w:val="32"/>
          <w:szCs w:val="32"/>
          <w:lang w:val="en-US" w:eastAsia="zh-CN"/>
        </w:rPr>
        <w:t>示范</w:t>
      </w:r>
      <w:r>
        <w:rPr>
          <w:rFonts w:hint="eastAsia" w:ascii="仿宋_GB2312" w:hAnsi="仿宋_GB2312" w:eastAsia="仿宋_GB2312" w:cs="仿宋_GB2312"/>
          <w:color w:val="auto"/>
          <w:kern w:val="0"/>
          <w:sz w:val="32"/>
          <w:szCs w:val="32"/>
          <w:lang w:val="en-US" w:eastAsia="zh-CN"/>
        </w:rPr>
        <w:t>区</w:t>
      </w:r>
      <w:r>
        <w:rPr>
          <w:rFonts w:hint="default" w:ascii="仿宋_GB2312" w:hAnsi="仿宋_GB2312" w:eastAsia="仿宋_GB2312" w:cs="仿宋_GB2312"/>
          <w:color w:val="auto"/>
          <w:kern w:val="0"/>
          <w:sz w:val="32"/>
          <w:szCs w:val="32"/>
          <w:lang w:val="en-US" w:eastAsia="zh-CN"/>
        </w:rPr>
        <w:t>100亩以上</w:t>
      </w:r>
      <w:r>
        <w:rPr>
          <w:rFonts w:hint="eastAsia" w:ascii="仿宋_GB2312" w:hAnsi="仿宋_GB2312" w:eastAsia="仿宋_GB2312" w:cs="仿宋_GB2312"/>
          <w:color w:val="auto"/>
          <w:kern w:val="0"/>
          <w:sz w:val="32"/>
          <w:szCs w:val="32"/>
          <w:lang w:val="en-US" w:eastAsia="zh-CN"/>
        </w:rPr>
        <w:t>，新品种年推广面积5万亩以上。</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②畜禽种业创新园：园区建成后，自主育成突破性新品种（配套系）1个以上，符合国家畜禽新品种（配套系）审定条件，年中试数量不少于本品种审定技术规范要求。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③水产</w:t>
      </w:r>
      <w:r>
        <w:rPr>
          <w:rFonts w:hint="eastAsia" w:ascii="仿宋_GB2312" w:hAnsi="仿宋_GB2312" w:eastAsia="仿宋_GB2312" w:cs="仿宋_GB2312"/>
          <w:b/>
          <w:bCs/>
          <w:color w:val="auto"/>
          <w:kern w:val="0"/>
          <w:sz w:val="32"/>
          <w:szCs w:val="32"/>
          <w:lang w:val="en-US" w:eastAsia="zh-CN"/>
        </w:rPr>
        <w:t>种业</w:t>
      </w:r>
      <w:r>
        <w:rPr>
          <w:rFonts w:hint="eastAsia" w:ascii="仿宋_GB2312" w:hAnsi="仿宋_GB2312" w:eastAsia="仿宋_GB2312" w:cs="仿宋_GB2312"/>
          <w:color w:val="auto"/>
          <w:kern w:val="0"/>
          <w:sz w:val="32"/>
          <w:szCs w:val="32"/>
          <w:lang w:val="en-US" w:eastAsia="zh-CN"/>
        </w:rPr>
        <w:t>创新园：园区建成后，自主育成突破性新品种1个以上，新品种示范养殖区100亩以上，辐射带动养殖面积2000亩以上。</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④食用菌种业创新园：园区建成后，自主育成突破性新品种1个以上，建设新品种示范区面积80亩以上，年推广食用菌产量10万吨以上。</w:t>
      </w:r>
    </w:p>
    <w:p>
      <w:pPr>
        <w:adjustRightInd w:val="0"/>
        <w:snapToGrid w:val="0"/>
        <w:spacing w:beforeLines="0" w:afterLines="0" w:line="590" w:lineRule="exact"/>
        <w:ind w:firstLine="640" w:firstLineChars="200"/>
        <w:rPr>
          <w:rFonts w:hint="eastAsia" w:ascii="黑体" w:hAnsi="黑体" w:eastAsia="黑体" w:cs="黑体"/>
          <w:b w:val="0"/>
          <w:bCs w:val="0"/>
          <w:i w:val="0"/>
          <w:iCs w:val="0"/>
          <w:color w:val="auto"/>
          <w:kern w:val="0"/>
          <w:sz w:val="32"/>
          <w:szCs w:val="32"/>
          <w:lang w:val="en-US" w:eastAsia="zh-CN"/>
        </w:rPr>
      </w:pPr>
      <w:r>
        <w:rPr>
          <w:rFonts w:hint="eastAsia" w:ascii="黑体" w:hAnsi="黑体" w:eastAsia="黑体" w:cs="黑体"/>
          <w:b w:val="0"/>
          <w:bCs w:val="0"/>
          <w:i w:val="0"/>
          <w:iCs w:val="0"/>
          <w:color w:val="auto"/>
          <w:kern w:val="0"/>
          <w:sz w:val="32"/>
          <w:szCs w:val="32"/>
          <w:lang w:val="en-US" w:eastAsia="zh-CN"/>
        </w:rPr>
        <w:t>四、申报要求</w:t>
      </w:r>
    </w:p>
    <w:p>
      <w:pPr>
        <w:adjustRightInd w:val="0"/>
        <w:snapToGrid w:val="0"/>
        <w:spacing w:beforeLines="0" w:afterLines="0" w:line="590" w:lineRule="exact"/>
        <w:ind w:firstLine="640" w:firstLineChars="200"/>
        <w:rPr>
          <w:rFonts w:hint="eastAsia" w:ascii="楷体_GB2312" w:hAnsi="楷体_GB2312" w:eastAsia="楷体_GB2312" w:cs="楷体_GB2312"/>
          <w:b w:val="0"/>
          <w:bCs w:val="0"/>
          <w:color w:val="auto"/>
          <w:kern w:val="0"/>
          <w:sz w:val="32"/>
          <w:szCs w:val="32"/>
          <w:lang w:val="en-US" w:eastAsia="zh-CN"/>
        </w:rPr>
      </w:pPr>
      <w:r>
        <w:rPr>
          <w:rFonts w:hint="eastAsia" w:ascii="楷体_GB2312" w:hAnsi="楷体_GB2312" w:eastAsia="楷体_GB2312" w:cs="楷体_GB2312"/>
          <w:b w:val="0"/>
          <w:bCs w:val="0"/>
          <w:color w:val="auto"/>
          <w:kern w:val="0"/>
          <w:sz w:val="32"/>
          <w:szCs w:val="32"/>
          <w:lang w:val="en-US" w:eastAsia="zh-CN"/>
        </w:rPr>
        <w:t>（一）申报材料要求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申报材料包含申报请示文件，种业创新园项目申报书，含建设方案、资金使用方案以及附件材料等。</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1.申报请示文件。由市级农业农村部门、省直及中央驻粤有关单位出具同意申报种业创新园项目的请示。</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2.建设方案。项目概况、具体实施方案（包括建设内容，预期目标及考核指标，预期效益，进度安排，投资估算、财务分析以及资金筹措，用地落实情况和环评情况，风险及风险防控等），保障措施等。</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资金使用方案。在编制资金使用方案时，要对建设项目进行科学测算，力求精准。必须包含：创新园所有实施主体基本情况（含企业登记注册证明、企业经营情况简介、2021年度经会计师事务所出具审计报告的资产负债表、利润表和现金流量表）；资金详细概算说明，资金筹措和使用方案表。</w:t>
      </w:r>
    </w:p>
    <w:p>
      <w:pPr>
        <w:adjustRightInd w:val="0"/>
        <w:snapToGrid w:val="0"/>
        <w:spacing w:beforeLines="0" w:afterLines="0" w:line="590" w:lineRule="exact"/>
        <w:ind w:firstLine="640" w:firstLineChars="200"/>
        <w:rPr>
          <w:rFonts w:hint="eastAsia" w:ascii="楷体_GB2312" w:hAnsi="楷体_GB2312" w:eastAsia="楷体_GB2312" w:cs="楷体_GB2312"/>
          <w:b w:val="0"/>
          <w:bCs w:val="0"/>
          <w:color w:val="auto"/>
          <w:kern w:val="0"/>
          <w:sz w:val="32"/>
          <w:szCs w:val="32"/>
          <w:lang w:val="en-US" w:eastAsia="zh-CN"/>
        </w:rPr>
      </w:pPr>
      <w:r>
        <w:rPr>
          <w:rFonts w:hint="eastAsia" w:ascii="楷体_GB2312" w:hAnsi="楷体_GB2312" w:eastAsia="楷体_GB2312" w:cs="楷体_GB2312"/>
          <w:b w:val="0"/>
          <w:bCs w:val="0"/>
          <w:color w:val="auto"/>
          <w:kern w:val="0"/>
          <w:sz w:val="32"/>
          <w:szCs w:val="32"/>
          <w:lang w:val="en-US" w:eastAsia="zh-CN"/>
        </w:rPr>
        <w:t>（二）材料真实性要求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各申报主体负责申报材料的审核把关工作，对申报材料的真实性负责。有下列情形的企业不得作为种业创新园建设实施主体：企业近三年被列入中国信用失信企业名单；企业存在资产运行不良情况，如资不抵债等情形。</w:t>
      </w:r>
    </w:p>
    <w:p>
      <w:pPr>
        <w:adjustRightInd w:val="0"/>
        <w:snapToGrid w:val="0"/>
        <w:spacing w:beforeLines="0" w:afterLines="0" w:line="590" w:lineRule="exact"/>
        <w:ind w:firstLine="640" w:firstLineChars="200"/>
        <w:rPr>
          <w:rFonts w:hint="eastAsia" w:ascii="楷体_GB2312" w:hAnsi="楷体_GB2312" w:eastAsia="楷体_GB2312" w:cs="楷体_GB2312"/>
          <w:b w:val="0"/>
          <w:bCs w:val="0"/>
          <w:color w:val="auto"/>
          <w:kern w:val="0"/>
          <w:sz w:val="32"/>
          <w:szCs w:val="32"/>
          <w:lang w:val="en-US" w:eastAsia="zh-CN"/>
        </w:rPr>
      </w:pPr>
      <w:r>
        <w:rPr>
          <w:rFonts w:hint="eastAsia" w:ascii="楷体_GB2312" w:hAnsi="楷体_GB2312" w:eastAsia="楷体_GB2312" w:cs="楷体_GB2312"/>
          <w:b w:val="0"/>
          <w:bCs w:val="0"/>
          <w:color w:val="auto"/>
          <w:kern w:val="0"/>
          <w:sz w:val="32"/>
          <w:szCs w:val="32"/>
          <w:lang w:val="en-US" w:eastAsia="zh-CN"/>
        </w:rPr>
        <w:t>（三）装订要求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报送文件（红头）单独，申报材料包括种业创新园申报书、佐证材料附件合并装订。请用A4皮纹纸装订（须含目录、页码，内容清晰），xx种业创新园申报书与附件材料用不同颜色纸张隔开装订。</w:t>
      </w:r>
    </w:p>
    <w:p>
      <w:pPr>
        <w:adjustRightInd w:val="0"/>
        <w:snapToGrid w:val="0"/>
        <w:spacing w:beforeLines="0" w:afterLines="0" w:line="590" w:lineRule="exact"/>
        <w:ind w:firstLine="640" w:firstLineChars="200"/>
        <w:rPr>
          <w:rFonts w:hint="eastAsia" w:ascii="黑体" w:hAnsi="黑体" w:eastAsia="黑体" w:cs="黑体"/>
          <w:color w:val="auto"/>
          <w:kern w:val="0"/>
          <w:sz w:val="32"/>
          <w:szCs w:val="32"/>
          <w:lang w:val="en-US" w:eastAsia="zh-CN"/>
        </w:rPr>
      </w:pPr>
      <w:r>
        <w:rPr>
          <w:rFonts w:hint="eastAsia" w:ascii="黑体" w:hAnsi="黑体" w:eastAsia="黑体" w:cs="黑体"/>
          <w:color w:val="auto"/>
          <w:kern w:val="0"/>
          <w:sz w:val="32"/>
          <w:szCs w:val="32"/>
          <w:lang w:val="en-US" w:eastAsia="zh-CN"/>
        </w:rPr>
        <w:t>五、实施周期和资金额度</w:t>
      </w:r>
    </w:p>
    <w:p>
      <w:pPr>
        <w:adjustRightInd w:val="0"/>
        <w:snapToGrid w:val="0"/>
        <w:spacing w:beforeLines="0" w:afterLines="0" w:line="590" w:lineRule="exact"/>
        <w:ind w:firstLine="640" w:firstLineChars="20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原则上项目实施周期为2年。每个种业创新园项目申报财政资金额度不超过1000万元，实行一次性资金拨付。申报单位须按照不低于1:1的资金比例进行配套，并提供配套资金承诺函，在申报书中提供资金测算过程及测算依据。最终资金补助金额以我单位测算核实为准。项目预算金额测算是否详细、合理将纳入评审标准。</w:t>
      </w:r>
    </w:p>
    <w:p>
      <w:pPr>
        <w:adjustRightInd w:val="0"/>
        <w:snapToGrid w:val="0"/>
        <w:spacing w:beforeLines="0" w:afterLines="0" w:line="590" w:lineRule="exact"/>
        <w:ind w:firstLine="640" w:firstLineChars="200"/>
        <w:rPr>
          <w:rFonts w:hint="eastAsia" w:ascii="黑体" w:hAnsi="黑体" w:eastAsia="黑体" w:cs="黑体"/>
          <w:b/>
          <w:bCs/>
          <w:color w:val="auto"/>
          <w:kern w:val="0"/>
          <w:sz w:val="32"/>
          <w:szCs w:val="32"/>
          <w:lang w:val="en-US" w:eastAsia="zh-CN"/>
        </w:rPr>
      </w:pPr>
      <w:r>
        <w:rPr>
          <w:rFonts w:hint="eastAsia" w:ascii="黑体" w:hAnsi="黑体" w:eastAsia="黑体" w:cs="黑体"/>
          <w:b w:val="0"/>
          <w:bCs w:val="0"/>
          <w:color w:val="auto"/>
          <w:kern w:val="0"/>
          <w:sz w:val="32"/>
          <w:szCs w:val="32"/>
          <w:lang w:val="en-US" w:eastAsia="zh-CN"/>
        </w:rPr>
        <w:t>六、考核要求</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省农业农村厅根据种业创新园项目申报时制定的建设内容和预期目标，组织开展种业创新园创建绩效评估，绩效评估作为改进种业创新园建设工作的重要依据。种业创新园结题验收后，对种业创新园实行延伸绩效考核，要求种业创新园必须稳定运行5年以上，并育成突破性新品种1-2个，开展产业化推广应用。项目成果需由省农业农村厅进行登记、备案和发布。</w:t>
      </w: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p>
    <w:p>
      <w:pPr>
        <w:adjustRightInd w:val="0"/>
        <w:snapToGrid w:val="0"/>
        <w:spacing w:beforeLines="0" w:afterLines="0" w:line="590" w:lineRule="exact"/>
        <w:ind w:firstLine="640" w:firstLineChars="200"/>
        <w:rPr>
          <w:rFonts w:hint="eastAsia" w:ascii="仿宋_GB2312" w:hAnsi="仿宋_GB2312" w:eastAsia="仿宋_GB2312" w:cs="仿宋_GB2312"/>
          <w:color w:val="auto"/>
          <w:kern w:val="0"/>
          <w:sz w:val="32"/>
          <w:szCs w:val="32"/>
          <w:lang w:val="en-US" w:eastAsia="zh-CN"/>
        </w:rPr>
      </w:pPr>
    </w:p>
    <w:p>
      <w:pPr>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附件3-1</w:t>
      </w:r>
    </w:p>
    <w:p>
      <w:pPr>
        <w:keepNext w:val="0"/>
        <w:keepLines w:val="0"/>
        <w:adjustRightInd w:val="0"/>
        <w:snapToGrid w:val="0"/>
        <w:spacing w:line="360" w:lineRule="auto"/>
        <w:rPr>
          <w:rFonts w:hint="eastAsia" w:ascii="方正黑体_GBK" w:hAnsi="方正黑体_GBK" w:eastAsia="方正黑体_GBK" w:cs="方正黑体_GBK"/>
          <w:b w:val="0"/>
          <w:bCs w:val="0"/>
          <w:color w:val="auto"/>
          <w:sz w:val="32"/>
          <w:szCs w:val="32"/>
          <w:lang w:eastAsia="zh-CN"/>
        </w:rPr>
      </w:pPr>
    </w:p>
    <w:p>
      <w:pPr>
        <w:pStyle w:val="4"/>
        <w:bidi w:val="0"/>
        <w:ind w:firstLine="0" w:firstLineChars="0"/>
        <w:jc w:val="center"/>
        <w:rPr>
          <w:rFonts w:hint="eastAsia" w:ascii="方正小标宋简体" w:hAnsi="方正小标宋简体" w:eastAsia="方正小标宋简体" w:cs="方正小标宋简体"/>
          <w:b w:val="0"/>
          <w:bCs w:val="0"/>
          <w:snapToGrid w:val="0"/>
          <w:color w:val="auto"/>
          <w:spacing w:val="-20"/>
          <w:sz w:val="48"/>
          <w:szCs w:val="48"/>
          <w:lang w:val="en-US" w:eastAsia="zh-CN"/>
        </w:rPr>
      </w:pPr>
      <w:r>
        <w:rPr>
          <w:rFonts w:hint="eastAsia" w:ascii="方正小标宋简体" w:hAnsi="方正小标宋简体" w:eastAsia="方正小标宋简体" w:cs="方正小标宋简体"/>
          <w:b w:val="0"/>
          <w:bCs w:val="0"/>
          <w:snapToGrid w:val="0"/>
          <w:color w:val="auto"/>
          <w:spacing w:val="-20"/>
          <w:sz w:val="48"/>
          <w:szCs w:val="48"/>
          <w:lang w:val="en-US" w:eastAsia="zh-CN"/>
        </w:rPr>
        <w:t>XXX年种业创新园项目申报书</w:t>
      </w:r>
    </w:p>
    <w:p>
      <w:pPr>
        <w:tabs>
          <w:tab w:val="center" w:pos="4560"/>
        </w:tabs>
        <w:snapToGrid/>
        <w:spacing w:line="360" w:lineRule="auto"/>
        <w:jc w:val="center"/>
        <w:outlineLvl w:val="9"/>
        <w:rPr>
          <w:rFonts w:hint="eastAsia" w:eastAsia="楷体_GB2312"/>
          <w:b/>
          <w:bCs/>
          <w:snapToGrid w:val="0"/>
          <w:color w:val="auto"/>
          <w:spacing w:val="0"/>
          <w:sz w:val="32"/>
          <w:szCs w:val="20"/>
        </w:rPr>
      </w:pPr>
    </w:p>
    <w:p>
      <w:pPr>
        <w:pStyle w:val="2"/>
        <w:ind w:left="0" w:leftChars="0" w:firstLine="0" w:firstLineChars="0"/>
        <w:rPr>
          <w:rFonts w:eastAsia="黑体"/>
          <w:b/>
          <w:bCs/>
          <w:color w:val="auto"/>
          <w:sz w:val="36"/>
          <w:szCs w:val="36"/>
        </w:rPr>
      </w:pPr>
    </w:p>
    <w:p>
      <w:pPr>
        <w:pStyle w:val="2"/>
        <w:ind w:left="0" w:leftChars="0" w:firstLine="0" w:firstLineChars="0"/>
        <w:rPr>
          <w:rFonts w:hint="eastAsia" w:ascii="仿宋_GB2312" w:hAnsi="仿宋_GB2312" w:eastAsia="仿宋_GB2312" w:cs="仿宋_GB2312"/>
          <w:b/>
          <w:bCs/>
          <w:color w:val="auto"/>
          <w:sz w:val="32"/>
          <w:szCs w:val="32"/>
        </w:rPr>
      </w:pPr>
    </w:p>
    <w:p>
      <w:pPr>
        <w:pStyle w:val="2"/>
        <w:ind w:left="0" w:leftChars="0" w:firstLine="640" w:firstLineChars="200"/>
        <w:rPr>
          <w:rFonts w:hint="eastAsia" w:ascii="仿宋_GB2312" w:hAnsi="仿宋_GB2312" w:eastAsia="仿宋_GB2312" w:cs="仿宋_GB2312"/>
          <w:b w:val="0"/>
          <w:bCs w:val="0"/>
          <w:color w:val="auto"/>
          <w:sz w:val="32"/>
          <w:szCs w:val="32"/>
          <w:u w:val="single"/>
          <w:lang w:val="en-US" w:eastAsia="zh-CN"/>
        </w:rPr>
      </w:pPr>
      <w:r>
        <w:rPr>
          <w:rFonts w:hint="eastAsia" w:ascii="仿宋_GB2312" w:hAnsi="仿宋_GB2312" w:eastAsia="仿宋_GB2312" w:cs="仿宋_GB2312"/>
          <w:b w:val="0"/>
          <w:bCs w:val="0"/>
          <w:color w:val="auto"/>
          <w:sz w:val="32"/>
          <w:szCs w:val="32"/>
          <w:lang w:eastAsia="zh-CN"/>
        </w:rPr>
        <w:t>项目名称</w:t>
      </w:r>
      <w:r>
        <w:rPr>
          <w:rFonts w:hint="eastAsia" w:ascii="仿宋_GB2312" w:hAnsi="仿宋_GB2312" w:eastAsia="仿宋_GB2312" w:cs="仿宋_GB2312"/>
          <w:b w:val="0"/>
          <w:bCs w:val="0"/>
          <w:color w:val="auto"/>
          <w:sz w:val="32"/>
          <w:szCs w:val="32"/>
          <w:u w:val="single"/>
          <w:lang w:val="en-US" w:eastAsia="zh-CN"/>
        </w:rPr>
        <w:t xml:space="preserve">                                   </w:t>
      </w:r>
    </w:p>
    <w:p>
      <w:pPr>
        <w:pStyle w:val="2"/>
        <w:ind w:left="0" w:leftChars="0" w:firstLine="640" w:firstLineChars="200"/>
        <w:rPr>
          <w:rFonts w:hint="eastAsia" w:ascii="仿宋_GB2312" w:hAnsi="仿宋_GB2312" w:eastAsia="仿宋_GB2312" w:cs="仿宋_GB2312"/>
          <w:b w:val="0"/>
          <w:bCs w:val="0"/>
          <w:color w:val="auto"/>
          <w:sz w:val="32"/>
          <w:szCs w:val="32"/>
          <w:u w:val="single"/>
          <w:lang w:val="en-US" w:eastAsia="zh-CN"/>
        </w:rPr>
      </w:pPr>
      <w:r>
        <w:rPr>
          <w:rFonts w:hint="eastAsia" w:ascii="仿宋_GB2312" w:hAnsi="仿宋_GB2312" w:eastAsia="仿宋_GB2312" w:cs="仿宋_GB2312"/>
          <w:b w:val="0"/>
          <w:bCs w:val="0"/>
          <w:color w:val="auto"/>
          <w:sz w:val="32"/>
          <w:szCs w:val="32"/>
          <w:lang w:eastAsia="zh-CN"/>
        </w:rPr>
        <w:t>实施周期</w:t>
      </w:r>
      <w:r>
        <w:rPr>
          <w:rFonts w:hint="eastAsia" w:ascii="仿宋_GB2312" w:hAnsi="仿宋_GB2312" w:eastAsia="仿宋_GB2312" w:cs="仿宋_GB2312"/>
          <w:b w:val="0"/>
          <w:bCs w:val="0"/>
          <w:color w:val="auto"/>
          <w:sz w:val="32"/>
          <w:szCs w:val="32"/>
          <w:u w:val="single"/>
          <w:lang w:val="en-US" w:eastAsia="zh-CN"/>
        </w:rPr>
        <w:t xml:space="preserve">                                   </w:t>
      </w:r>
    </w:p>
    <w:p>
      <w:pPr>
        <w:pStyle w:val="2"/>
        <w:ind w:left="0" w:leftChars="0" w:firstLine="640" w:firstLineChars="200"/>
        <w:rPr>
          <w:rFonts w:hint="eastAsia" w:ascii="仿宋_GB2312" w:hAnsi="仿宋_GB2312" w:eastAsia="仿宋_GB2312" w:cs="仿宋_GB2312"/>
          <w:b w:val="0"/>
          <w:bCs w:val="0"/>
          <w:color w:val="auto"/>
          <w:sz w:val="32"/>
          <w:szCs w:val="32"/>
          <w:u w:val="single"/>
          <w:lang w:val="en-US" w:eastAsia="zh-CN"/>
        </w:rPr>
      </w:pPr>
      <w:r>
        <w:rPr>
          <w:rFonts w:hint="eastAsia" w:ascii="仿宋_GB2312" w:hAnsi="仿宋_GB2312" w:eastAsia="仿宋_GB2312" w:cs="仿宋_GB2312"/>
          <w:b w:val="0"/>
          <w:bCs w:val="0"/>
          <w:color w:val="auto"/>
          <w:sz w:val="32"/>
          <w:szCs w:val="32"/>
          <w:lang w:eastAsia="zh-CN"/>
        </w:rPr>
        <w:t>申报单位</w:t>
      </w:r>
      <w:r>
        <w:rPr>
          <w:rFonts w:hint="eastAsia" w:ascii="仿宋_GB2312" w:hAnsi="仿宋_GB2312" w:eastAsia="仿宋_GB2312" w:cs="仿宋_GB2312"/>
          <w:b w:val="0"/>
          <w:bCs w:val="0"/>
          <w:color w:val="auto"/>
          <w:sz w:val="32"/>
          <w:szCs w:val="32"/>
          <w:u w:val="single"/>
          <w:lang w:val="en-US" w:eastAsia="zh-CN"/>
        </w:rPr>
        <w:t xml:space="preserve">                            </w:t>
      </w:r>
      <w:r>
        <w:rPr>
          <w:rFonts w:hint="eastAsia" w:ascii="仿宋_GB2312" w:hAnsi="仿宋_GB2312" w:eastAsia="仿宋_GB2312" w:cs="仿宋_GB2312"/>
          <w:color w:val="auto"/>
          <w:sz w:val="32"/>
          <w:szCs w:val="32"/>
        </w:rPr>
        <w:t>（盖章）</w:t>
      </w:r>
    </w:p>
    <w:p>
      <w:pPr>
        <w:pStyle w:val="2"/>
        <w:ind w:left="0" w:leftChars="0"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通讯地址</w:t>
      </w:r>
      <w:r>
        <w:rPr>
          <w:rFonts w:hint="eastAsia" w:ascii="仿宋_GB2312" w:hAnsi="仿宋_GB2312" w:eastAsia="仿宋_GB2312" w:cs="仿宋_GB2312"/>
          <w:b w:val="0"/>
          <w:bCs w:val="0"/>
          <w:color w:val="auto"/>
          <w:sz w:val="32"/>
          <w:szCs w:val="32"/>
          <w:u w:val="single"/>
          <w:lang w:val="en-US" w:eastAsia="zh-CN"/>
        </w:rPr>
        <w:t xml:space="preserve">                                   </w:t>
      </w:r>
    </w:p>
    <w:p>
      <w:pPr>
        <w:pStyle w:val="2"/>
        <w:ind w:left="0" w:leftChars="0" w:firstLine="640" w:firstLineChars="200"/>
        <w:rPr>
          <w:rFonts w:hint="eastAsia" w:ascii="仿宋_GB2312" w:hAnsi="仿宋_GB2312" w:eastAsia="仿宋_GB2312" w:cs="仿宋_GB2312"/>
          <w:b w:val="0"/>
          <w:bCs w:val="0"/>
          <w:color w:val="auto"/>
          <w:sz w:val="32"/>
          <w:szCs w:val="32"/>
          <w:u w:val="single"/>
          <w:lang w:val="en-US" w:eastAsia="zh-CN"/>
        </w:rPr>
      </w:pPr>
      <w:r>
        <w:rPr>
          <w:rFonts w:hint="eastAsia" w:ascii="仿宋_GB2312" w:hAnsi="仿宋_GB2312" w:eastAsia="仿宋_GB2312" w:cs="仿宋_GB2312"/>
          <w:b w:val="0"/>
          <w:bCs w:val="0"/>
          <w:color w:val="auto"/>
          <w:sz w:val="32"/>
          <w:szCs w:val="32"/>
          <w:lang w:eastAsia="zh-CN"/>
        </w:rPr>
        <w:t>项目负责人</w:t>
      </w:r>
      <w:r>
        <w:rPr>
          <w:rFonts w:hint="eastAsia" w:ascii="仿宋_GB2312" w:hAnsi="仿宋_GB2312" w:eastAsia="仿宋_GB2312" w:cs="仿宋_GB2312"/>
          <w:b w:val="0"/>
          <w:bCs w:val="0"/>
          <w:color w:val="auto"/>
          <w:sz w:val="32"/>
          <w:szCs w:val="32"/>
          <w:u w:val="single"/>
          <w:lang w:val="en-US" w:eastAsia="zh-CN"/>
        </w:rPr>
        <w:t xml:space="preserve">                                 </w:t>
      </w:r>
    </w:p>
    <w:p>
      <w:pPr>
        <w:pStyle w:val="2"/>
        <w:ind w:left="0" w:leftChars="0" w:firstLine="640" w:firstLineChars="200"/>
        <w:rPr>
          <w:rFonts w:hint="eastAsia" w:ascii="仿宋_GB2312" w:hAnsi="仿宋_GB2312" w:eastAsia="仿宋_GB2312" w:cs="仿宋_GB2312"/>
          <w:b/>
          <w:bCs/>
          <w:snapToGrid w:val="0"/>
          <w:color w:val="auto"/>
          <w:sz w:val="32"/>
          <w:szCs w:val="32"/>
        </w:rPr>
      </w:pPr>
      <w:r>
        <w:rPr>
          <w:rFonts w:hint="eastAsia" w:ascii="仿宋_GB2312" w:hAnsi="仿宋_GB2312" w:eastAsia="仿宋_GB2312" w:cs="仿宋_GB2312"/>
          <w:b w:val="0"/>
          <w:bCs w:val="0"/>
          <w:color w:val="auto"/>
          <w:sz w:val="32"/>
          <w:szCs w:val="32"/>
          <w:lang w:eastAsia="zh-CN"/>
        </w:rPr>
        <w:t>联系电话</w:t>
      </w:r>
      <w:r>
        <w:rPr>
          <w:rFonts w:hint="eastAsia" w:ascii="仿宋_GB2312" w:hAnsi="仿宋_GB2312" w:eastAsia="仿宋_GB2312" w:cs="仿宋_GB2312"/>
          <w:b w:val="0"/>
          <w:bCs w:val="0"/>
          <w:color w:val="auto"/>
          <w:sz w:val="32"/>
          <w:szCs w:val="32"/>
          <w:u w:val="single"/>
          <w:lang w:val="en-US" w:eastAsia="zh-CN"/>
        </w:rPr>
        <w:t xml:space="preserve">               </w:t>
      </w:r>
      <w:r>
        <w:rPr>
          <w:rFonts w:hint="eastAsia" w:ascii="仿宋_GB2312" w:hAnsi="仿宋_GB2312" w:eastAsia="仿宋_GB2312" w:cs="仿宋_GB2312"/>
          <w:b w:val="0"/>
          <w:bCs w:val="0"/>
          <w:color w:val="auto"/>
          <w:sz w:val="32"/>
          <w:szCs w:val="32"/>
          <w:lang w:val="en-US" w:eastAsia="zh-CN"/>
        </w:rPr>
        <w:t>电子邮箱</w:t>
      </w:r>
      <w:r>
        <w:rPr>
          <w:rFonts w:hint="eastAsia" w:ascii="仿宋_GB2312" w:hAnsi="仿宋_GB2312" w:eastAsia="仿宋_GB2312" w:cs="仿宋_GB2312"/>
          <w:b w:val="0"/>
          <w:bCs w:val="0"/>
          <w:color w:val="auto"/>
          <w:sz w:val="32"/>
          <w:szCs w:val="32"/>
          <w:u w:val="single"/>
          <w:lang w:val="en-US" w:eastAsia="zh-CN"/>
        </w:rPr>
        <w:t xml:space="preserve">            </w:t>
      </w:r>
    </w:p>
    <w:p>
      <w:pPr>
        <w:tabs>
          <w:tab w:val="center" w:pos="4560"/>
        </w:tabs>
        <w:adjustRightInd w:val="0"/>
        <w:snapToGrid w:val="0"/>
        <w:spacing w:line="590" w:lineRule="exact"/>
        <w:jc w:val="both"/>
        <w:rPr>
          <w:rFonts w:hint="eastAsia" w:eastAsia="楷体_GB2312"/>
          <w:b/>
          <w:bCs/>
          <w:snapToGrid w:val="0"/>
          <w:color w:val="auto"/>
          <w:sz w:val="32"/>
        </w:rPr>
      </w:pPr>
    </w:p>
    <w:p>
      <w:pPr>
        <w:tabs>
          <w:tab w:val="center" w:pos="4560"/>
        </w:tabs>
        <w:adjustRightInd w:val="0"/>
        <w:snapToGrid w:val="0"/>
        <w:spacing w:line="590" w:lineRule="exact"/>
        <w:jc w:val="both"/>
        <w:rPr>
          <w:rFonts w:hint="eastAsia" w:eastAsia="楷体_GB2312"/>
          <w:b/>
          <w:bCs/>
          <w:snapToGrid w:val="0"/>
          <w:color w:val="auto"/>
          <w:sz w:val="36"/>
          <w:szCs w:val="36"/>
          <w:lang w:val="en-US" w:eastAsia="zh-CN"/>
        </w:rPr>
      </w:pPr>
    </w:p>
    <w:p>
      <w:pPr>
        <w:tabs>
          <w:tab w:val="center" w:pos="4560"/>
        </w:tabs>
        <w:adjustRightInd w:val="0"/>
        <w:snapToGrid w:val="0"/>
        <w:spacing w:line="590" w:lineRule="exact"/>
        <w:jc w:val="both"/>
        <w:rPr>
          <w:rFonts w:hint="eastAsia" w:eastAsia="楷体_GB2312"/>
          <w:b/>
          <w:bCs/>
          <w:snapToGrid w:val="0"/>
          <w:color w:val="auto"/>
          <w:sz w:val="36"/>
          <w:szCs w:val="36"/>
          <w:lang w:val="en-US" w:eastAsia="zh-CN"/>
        </w:rPr>
      </w:pPr>
    </w:p>
    <w:p>
      <w:pPr>
        <w:tabs>
          <w:tab w:val="center" w:pos="4560"/>
        </w:tabs>
        <w:adjustRightInd w:val="0"/>
        <w:snapToGrid w:val="0"/>
        <w:spacing w:line="590" w:lineRule="exact"/>
        <w:ind w:firstLine="0" w:firstLineChars="0"/>
        <w:jc w:val="center"/>
        <w:rPr>
          <w:rFonts w:hint="eastAsia" w:ascii="楷体_GB2312" w:hAnsi="楷体_GB2312" w:eastAsia="楷体_GB2312" w:cs="楷体_GB2312"/>
          <w:b w:val="0"/>
          <w:bCs w:val="0"/>
          <w:snapToGrid w:val="0"/>
          <w:color w:val="auto"/>
          <w:sz w:val="32"/>
          <w:szCs w:val="32"/>
          <w:lang w:val="en-US" w:eastAsia="zh-CN"/>
        </w:rPr>
      </w:pPr>
      <w:r>
        <w:rPr>
          <w:rFonts w:hint="eastAsia" w:ascii="楷体_GB2312" w:hAnsi="楷体_GB2312" w:eastAsia="楷体_GB2312" w:cs="楷体_GB2312"/>
          <w:b w:val="0"/>
          <w:bCs w:val="0"/>
          <w:snapToGrid w:val="0"/>
          <w:color w:val="auto"/>
          <w:sz w:val="32"/>
          <w:szCs w:val="32"/>
          <w:lang w:val="en-US" w:eastAsia="zh-CN"/>
        </w:rPr>
        <w:t>2022年   月    日</w:t>
      </w:r>
    </w:p>
    <w:p>
      <w:pPr>
        <w:tabs>
          <w:tab w:val="center" w:pos="4560"/>
        </w:tabs>
        <w:adjustRightInd w:val="0"/>
        <w:snapToGrid w:val="0"/>
        <w:spacing w:line="590" w:lineRule="exact"/>
        <w:jc w:val="center"/>
        <w:rPr>
          <w:rFonts w:hint="eastAsia" w:ascii="楷体_GB2312" w:hAnsi="楷体_GB2312" w:eastAsia="楷体_GB2312" w:cs="楷体_GB2312"/>
          <w:b w:val="0"/>
          <w:bCs w:val="0"/>
          <w:snapToGrid w:val="0"/>
          <w:color w:val="auto"/>
          <w:sz w:val="32"/>
          <w:szCs w:val="32"/>
          <w:lang w:val="en-US" w:eastAsia="zh-CN"/>
        </w:rPr>
      </w:pPr>
      <w:r>
        <w:rPr>
          <w:rFonts w:hint="eastAsia" w:ascii="楷体_GB2312" w:hAnsi="楷体_GB2312" w:eastAsia="楷体_GB2312" w:cs="楷体_GB2312"/>
          <w:b w:val="0"/>
          <w:bCs w:val="0"/>
          <w:snapToGrid w:val="0"/>
          <w:color w:val="auto"/>
          <w:sz w:val="32"/>
          <w:szCs w:val="32"/>
          <w:lang w:val="en-US" w:eastAsia="zh-CN"/>
        </w:rPr>
        <w:t>广东省农业农村厅制</w:t>
      </w:r>
    </w:p>
    <w:p>
      <w:pPr>
        <w:pStyle w:val="7"/>
        <w:rPr>
          <w:rFonts w:hint="eastAsia" w:eastAsia="楷体_GB2312"/>
          <w:b/>
          <w:bCs/>
          <w:snapToGrid w:val="0"/>
          <w:color w:val="auto"/>
          <w:sz w:val="32"/>
          <w:szCs w:val="32"/>
          <w:lang w:eastAsia="zh-CN"/>
        </w:rPr>
      </w:pPr>
    </w:p>
    <w:p>
      <w:pPr>
        <w:jc w:val="center"/>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rPr>
        <w:t>填写说明</w:t>
      </w:r>
    </w:p>
    <w:p>
      <w:pPr>
        <w:numPr>
          <w:ilvl w:val="0"/>
          <w:numId w:val="0"/>
        </w:numPr>
        <w:adjustRightInd w:val="0"/>
        <w:snapToGrid w:val="0"/>
        <w:spacing w:line="590" w:lineRule="exact"/>
        <w:ind w:firstLine="640" w:firstLineChars="200"/>
        <w:rPr>
          <w:rFonts w:hint="default" w:ascii="Times New Roman" w:hAnsi="Times New Roman" w:cs="Times New Roman"/>
          <w:color w:val="auto"/>
          <w:sz w:val="32"/>
          <w:szCs w:val="32"/>
        </w:rPr>
      </w:pPr>
    </w:p>
    <w:p>
      <w:pPr>
        <w:adjustRightInd w:val="0"/>
        <w:snapToGrid w:val="0"/>
        <w:spacing w:line="59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一、逐项编写，不得为空。</w:t>
      </w:r>
    </w:p>
    <w:p>
      <w:pPr>
        <w:adjustRightInd w:val="0"/>
        <w:snapToGrid w:val="0"/>
        <w:spacing w:line="59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二、表达要严谨清晰，内容数据真实。</w:t>
      </w:r>
    </w:p>
    <w:p>
      <w:pPr>
        <w:adjustRightInd w:val="0"/>
        <w:snapToGrid w:val="0"/>
        <w:spacing w:line="59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三、请使用A4纸双面印刷，骑马订装订，普通纸质材料作为封面。一式三份报送。</w:t>
      </w:r>
    </w:p>
    <w:p>
      <w:pPr>
        <w:adjustRightInd w:val="0"/>
        <w:snapToGrid w:val="0"/>
        <w:spacing w:line="59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四、相关附件包括：</w:t>
      </w:r>
    </w:p>
    <w:p>
      <w:pPr>
        <w:adjustRightInd w:val="0"/>
        <w:snapToGrid w:val="0"/>
        <w:spacing w:line="59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1.营业执照复印件</w:t>
      </w:r>
    </w:p>
    <w:p>
      <w:pPr>
        <w:adjustRightInd w:val="0"/>
        <w:snapToGrid w:val="0"/>
        <w:spacing w:line="59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2.法人机构代码证复印件</w:t>
      </w:r>
    </w:p>
    <w:p>
      <w:pPr>
        <w:adjustRightInd w:val="0"/>
        <w:snapToGrid w:val="0"/>
        <w:spacing w:line="59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3.最近三年的年度审计报告复印件</w:t>
      </w:r>
    </w:p>
    <w:p>
      <w:pPr>
        <w:adjustRightInd w:val="0"/>
        <w:snapToGrid w:val="0"/>
        <w:spacing w:line="59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4.社会信用证明复印件</w:t>
      </w:r>
    </w:p>
    <w:p>
      <w:pPr>
        <w:adjustRightInd w:val="0"/>
        <w:snapToGrid w:val="0"/>
        <w:spacing w:line="59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5.合作协议或（合同）复印件</w:t>
      </w:r>
    </w:p>
    <w:p>
      <w:pPr>
        <w:adjustRightInd w:val="0"/>
        <w:snapToGrid w:val="0"/>
        <w:spacing w:line="59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6.创新园核心区用地使用证明材料</w:t>
      </w:r>
    </w:p>
    <w:p>
      <w:pPr>
        <w:adjustRightInd w:val="0"/>
        <w:snapToGrid w:val="0"/>
        <w:spacing w:line="59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7.其他相关证明材料</w:t>
      </w:r>
    </w:p>
    <w:p>
      <w:pPr>
        <w:adjustRightInd w:val="0"/>
        <w:snapToGrid w:val="0"/>
        <w:spacing w:line="590" w:lineRule="exact"/>
        <w:ind w:firstLine="640" w:firstLineChars="200"/>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0"/>
        <w:rPr>
          <w:rFonts w:hint="eastAsia" w:ascii="Times New Roman" w:hAnsi="Times New Roman" w:eastAsia="华文中宋" w:cs="Times New Roman"/>
          <w:color w:val="auto"/>
          <w:w w:val="90"/>
          <w:sz w:val="44"/>
          <w:szCs w:val="44"/>
          <w:lang w:val="en-US" w:eastAsia="zh-CN"/>
        </w:rPr>
      </w:pPr>
    </w:p>
    <w:p>
      <w:pPr>
        <w:rPr>
          <w:rFonts w:hint="eastAsia"/>
          <w:color w:val="auto"/>
          <w:lang w:val="en-US" w:eastAsia="zh-CN"/>
        </w:rPr>
      </w:pPr>
      <w:r>
        <w:rPr>
          <w:rFonts w:hint="eastAsia"/>
          <w:color w:val="auto"/>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auto"/>
          <w:w w:val="90"/>
          <w:sz w:val="44"/>
          <w:szCs w:val="44"/>
          <w:lang w:val="en-US" w:eastAsia="zh-CN"/>
        </w:rPr>
      </w:pPr>
      <w:r>
        <w:rPr>
          <w:rFonts w:hint="eastAsia" w:ascii="方正小标宋简体" w:hAnsi="方正小标宋简体" w:eastAsia="方正小标宋简体" w:cs="方正小标宋简体"/>
          <w:b w:val="0"/>
          <w:bCs w:val="0"/>
          <w:color w:val="auto"/>
          <w:w w:val="90"/>
          <w:sz w:val="44"/>
          <w:szCs w:val="44"/>
          <w:lang w:val="en-US" w:eastAsia="zh-CN"/>
        </w:rPr>
        <w:t>项目基本信息</w:t>
      </w:r>
    </w:p>
    <w:tbl>
      <w:tblPr>
        <w:tblStyle w:val="13"/>
        <w:tblW w:w="8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1211"/>
        <w:gridCol w:w="298"/>
        <w:gridCol w:w="1350"/>
        <w:gridCol w:w="1138"/>
        <w:gridCol w:w="216"/>
        <w:gridCol w:w="670"/>
        <w:gridCol w:w="427"/>
        <w:gridCol w:w="417"/>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vertAlign w:val="baseline"/>
                <w:lang w:eastAsia="zh-CN"/>
              </w:rPr>
              <w:t>项目名称</w:t>
            </w:r>
          </w:p>
        </w:tc>
        <w:tc>
          <w:tcPr>
            <w:tcW w:w="7086" w:type="dxa"/>
            <w:gridSpan w:val="9"/>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vertAlign w:val="baseline"/>
                <w:lang w:eastAsia="zh-CN"/>
              </w:rPr>
              <w:t>承担单位</w:t>
            </w:r>
          </w:p>
        </w:tc>
        <w:tc>
          <w:tcPr>
            <w:tcW w:w="2859"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2024"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vertAlign w:val="baseline"/>
                <w:lang w:eastAsia="zh-CN"/>
              </w:rPr>
              <w:t>组织机构代码</w:t>
            </w:r>
          </w:p>
        </w:tc>
        <w:tc>
          <w:tcPr>
            <w:tcW w:w="220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vertAlign w:val="baseline"/>
                <w:lang w:eastAsia="zh-CN"/>
              </w:rPr>
              <w:t>单位性质</w:t>
            </w:r>
          </w:p>
        </w:tc>
        <w:tc>
          <w:tcPr>
            <w:tcW w:w="2859"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2024"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vertAlign w:val="baseline"/>
                <w:lang w:eastAsia="zh-CN"/>
              </w:rPr>
              <w:t>主管部门</w:t>
            </w:r>
          </w:p>
        </w:tc>
        <w:tc>
          <w:tcPr>
            <w:tcW w:w="220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vertAlign w:val="baseline"/>
                <w:lang w:eastAsia="zh-CN"/>
              </w:rPr>
              <w:t>通讯地址</w:t>
            </w:r>
          </w:p>
        </w:tc>
        <w:tc>
          <w:tcPr>
            <w:tcW w:w="2859"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2024"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vertAlign w:val="baseline"/>
                <w:lang w:eastAsia="zh-CN"/>
              </w:rPr>
              <w:t>邮政编码</w:t>
            </w:r>
          </w:p>
        </w:tc>
        <w:tc>
          <w:tcPr>
            <w:tcW w:w="220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Merge w:val="restart"/>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rPr>
              <w:t>项目负责人</w:t>
            </w:r>
          </w:p>
        </w:tc>
        <w:tc>
          <w:tcPr>
            <w:tcW w:w="1211" w:type="dxa"/>
            <w:vMerge w:val="restart"/>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kern w:val="2"/>
                <w:sz w:val="24"/>
                <w:szCs w:val="24"/>
                <w:vertAlign w:val="baseline"/>
                <w:lang w:val="en-US" w:eastAsia="zh-CN" w:bidi="ar-SA"/>
              </w:rPr>
            </w:pPr>
          </w:p>
        </w:tc>
        <w:tc>
          <w:tcPr>
            <w:tcW w:w="1648"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rPr>
              <w:t>职称/职务</w:t>
            </w:r>
          </w:p>
        </w:tc>
        <w:tc>
          <w:tcPr>
            <w:tcW w:w="1354" w:type="dxa"/>
            <w:gridSpan w:val="2"/>
            <w:vAlign w:val="center"/>
          </w:tcPr>
          <w:p>
            <w:pPr>
              <w:adjustRightInd w:val="0"/>
              <w:snapToGrid w:val="0"/>
              <w:spacing w:afterLines="0" w:line="240" w:lineRule="auto"/>
              <w:jc w:val="both"/>
              <w:textAlignment w:val="bottom"/>
              <w:outlineLvl w:val="9"/>
              <w:rPr>
                <w:rFonts w:hint="eastAsia" w:ascii="仿宋_GB2312" w:hAnsi="仿宋_GB2312" w:eastAsia="仿宋_GB2312" w:cs="仿宋_GB2312"/>
                <w:b w:val="0"/>
                <w:bCs/>
                <w:color w:val="auto"/>
                <w:sz w:val="24"/>
                <w:szCs w:val="24"/>
                <w:vertAlign w:val="baseline"/>
              </w:rPr>
            </w:pPr>
          </w:p>
        </w:tc>
        <w:tc>
          <w:tcPr>
            <w:tcW w:w="1514"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vertAlign w:val="baseline"/>
                <w:lang w:eastAsia="zh-CN"/>
              </w:rPr>
              <w:t>学历</w:t>
            </w:r>
          </w:p>
        </w:tc>
        <w:tc>
          <w:tcPr>
            <w:tcW w:w="1359"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Merge w:val="continue"/>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rPr>
            </w:pPr>
          </w:p>
        </w:tc>
        <w:tc>
          <w:tcPr>
            <w:tcW w:w="1211" w:type="dxa"/>
            <w:vMerge w:val="continue"/>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kern w:val="2"/>
                <w:sz w:val="24"/>
                <w:szCs w:val="24"/>
                <w:vertAlign w:val="baseline"/>
                <w:lang w:val="en-US" w:eastAsia="zh-CN" w:bidi="ar-SA"/>
              </w:rPr>
            </w:pPr>
          </w:p>
        </w:tc>
        <w:tc>
          <w:tcPr>
            <w:tcW w:w="1648"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kern w:val="2"/>
                <w:sz w:val="24"/>
                <w:szCs w:val="24"/>
                <w:vertAlign w:val="baseline"/>
                <w:lang w:val="en-US" w:eastAsia="zh-CN" w:bidi="ar-SA"/>
              </w:rPr>
            </w:pPr>
            <w:r>
              <w:rPr>
                <w:rFonts w:hint="eastAsia" w:ascii="仿宋_GB2312" w:hAnsi="仿宋_GB2312" w:eastAsia="仿宋_GB2312" w:cs="仿宋_GB2312"/>
                <w:b w:val="0"/>
                <w:bCs/>
                <w:color w:val="auto"/>
                <w:sz w:val="24"/>
                <w:szCs w:val="24"/>
                <w:vertAlign w:val="baseline"/>
                <w:lang w:eastAsia="zh-CN"/>
              </w:rPr>
              <w:t>联系电话</w:t>
            </w:r>
          </w:p>
        </w:tc>
        <w:tc>
          <w:tcPr>
            <w:tcW w:w="1354"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kern w:val="2"/>
                <w:sz w:val="24"/>
                <w:szCs w:val="24"/>
                <w:vertAlign w:val="baseline"/>
                <w:lang w:val="en-US" w:eastAsia="zh-CN" w:bidi="ar-SA"/>
              </w:rPr>
            </w:pPr>
          </w:p>
        </w:tc>
        <w:tc>
          <w:tcPr>
            <w:tcW w:w="1514"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vertAlign w:val="baseline"/>
                <w:lang w:eastAsia="zh-CN"/>
              </w:rPr>
              <w:t>电子邮箱</w:t>
            </w:r>
          </w:p>
        </w:tc>
        <w:tc>
          <w:tcPr>
            <w:tcW w:w="1359"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Merge w:val="restart"/>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vertAlign w:val="baseline"/>
                <w:lang w:eastAsia="zh-CN"/>
              </w:rPr>
              <w:t>项目联系人</w:t>
            </w:r>
          </w:p>
        </w:tc>
        <w:tc>
          <w:tcPr>
            <w:tcW w:w="1211" w:type="dxa"/>
            <w:vMerge w:val="restart"/>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kern w:val="2"/>
                <w:sz w:val="24"/>
                <w:szCs w:val="24"/>
                <w:vertAlign w:val="baseline"/>
                <w:lang w:val="en-US" w:eastAsia="zh-CN" w:bidi="ar-SA"/>
              </w:rPr>
            </w:pPr>
          </w:p>
        </w:tc>
        <w:tc>
          <w:tcPr>
            <w:tcW w:w="1648"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rPr>
              <w:t>职称/职务</w:t>
            </w:r>
          </w:p>
        </w:tc>
        <w:tc>
          <w:tcPr>
            <w:tcW w:w="1354"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p>
        </w:tc>
        <w:tc>
          <w:tcPr>
            <w:tcW w:w="1514"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vertAlign w:val="baseline"/>
                <w:lang w:eastAsia="zh-CN"/>
              </w:rPr>
              <w:t>学历</w:t>
            </w:r>
          </w:p>
        </w:tc>
        <w:tc>
          <w:tcPr>
            <w:tcW w:w="1359"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Merge w:val="continue"/>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211" w:type="dxa"/>
            <w:vMerge w:val="continue"/>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648"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vertAlign w:val="baseline"/>
                <w:lang w:eastAsia="zh-CN"/>
              </w:rPr>
              <w:t>联系电话</w:t>
            </w:r>
          </w:p>
        </w:tc>
        <w:tc>
          <w:tcPr>
            <w:tcW w:w="1354"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514"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vertAlign w:val="baseline"/>
                <w:lang w:eastAsia="zh-CN"/>
              </w:rPr>
              <w:t>电子邮箱</w:t>
            </w:r>
          </w:p>
        </w:tc>
        <w:tc>
          <w:tcPr>
            <w:tcW w:w="1359"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Merge w:val="restart"/>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rPr>
              <w:t>项目</w:t>
            </w:r>
            <w:r>
              <w:rPr>
                <w:rFonts w:hint="eastAsia" w:ascii="仿宋_GB2312" w:hAnsi="仿宋_GB2312" w:eastAsia="仿宋_GB2312" w:cs="仿宋_GB2312"/>
                <w:b w:val="0"/>
                <w:bCs/>
                <w:color w:val="auto"/>
                <w:sz w:val="24"/>
                <w:szCs w:val="24"/>
                <w:lang w:eastAsia="zh-CN"/>
              </w:rPr>
              <w:t>参加</w:t>
            </w:r>
            <w:r>
              <w:rPr>
                <w:rFonts w:hint="eastAsia" w:ascii="仿宋_GB2312" w:hAnsi="仿宋_GB2312" w:eastAsia="仿宋_GB2312" w:cs="仿宋_GB2312"/>
                <w:b w:val="0"/>
                <w:bCs/>
                <w:color w:val="auto"/>
                <w:sz w:val="24"/>
                <w:szCs w:val="24"/>
              </w:rPr>
              <w:t>单位</w:t>
            </w:r>
          </w:p>
        </w:tc>
        <w:tc>
          <w:tcPr>
            <w:tcW w:w="2859"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vertAlign w:val="baseline"/>
                <w:lang w:eastAsia="zh-CN"/>
              </w:rPr>
              <w:t>单位名称</w:t>
            </w:r>
          </w:p>
        </w:tc>
        <w:tc>
          <w:tcPr>
            <w:tcW w:w="2024"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lang w:eastAsia="zh-CN"/>
              </w:rPr>
              <w:t>单位性质</w:t>
            </w:r>
          </w:p>
        </w:tc>
        <w:tc>
          <w:tcPr>
            <w:tcW w:w="220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rPr>
              <w:t>组织机构代码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Merge w:val="continue"/>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2859"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2024"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220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Merge w:val="continue"/>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2859"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2024"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220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Merge w:val="continue"/>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2859"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2024"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220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859" w:type="dxa"/>
            <w:gridSpan w:val="10"/>
            <w:vAlign w:val="center"/>
          </w:tcPr>
          <w:p>
            <w:pPr>
              <w:adjustRightInd w:val="0"/>
              <w:snapToGrid w:val="0"/>
              <w:spacing w:afterLines="0" w:line="240" w:lineRule="auto"/>
              <w:jc w:val="both"/>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rPr>
              <w:t>团队成员信息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vertAlign w:val="baseline"/>
              </w:rPr>
              <w:t>姓名</w:t>
            </w:r>
          </w:p>
        </w:tc>
        <w:tc>
          <w:tcPr>
            <w:tcW w:w="1509"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vertAlign w:val="baseline"/>
              </w:rPr>
              <w:t>学历/职称</w:t>
            </w:r>
          </w:p>
        </w:tc>
        <w:tc>
          <w:tcPr>
            <w:tcW w:w="1350"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vertAlign w:val="baseline"/>
              </w:rPr>
              <w:t>年龄</w:t>
            </w:r>
          </w:p>
        </w:tc>
        <w:tc>
          <w:tcPr>
            <w:tcW w:w="1138"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vertAlign w:val="baseline"/>
              </w:rPr>
              <w:t>性别</w:t>
            </w:r>
          </w:p>
        </w:tc>
        <w:tc>
          <w:tcPr>
            <w:tcW w:w="131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vertAlign w:val="baseline"/>
              </w:rPr>
              <w:t>所在单位</w:t>
            </w:r>
          </w:p>
        </w:tc>
        <w:tc>
          <w:tcPr>
            <w:tcW w:w="1776"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r>
              <w:rPr>
                <w:rFonts w:hint="eastAsia" w:ascii="仿宋_GB2312" w:hAnsi="仿宋_GB2312" w:eastAsia="仿宋_GB2312" w:cs="仿宋_GB2312"/>
                <w:b w:val="0"/>
                <w:bCs/>
                <w:color w:val="auto"/>
                <w:sz w:val="24"/>
                <w:szCs w:val="24"/>
                <w:vertAlign w:val="baseline"/>
              </w:rPr>
              <w:t>任务分工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509"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350"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138"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31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776"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509"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350"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138"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31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776"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509"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350"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138"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31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776"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509"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350"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138"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31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776"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509"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350"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138"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31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776"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509"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350"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138"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313" w:type="dxa"/>
            <w:gridSpan w:val="3"/>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c>
          <w:tcPr>
            <w:tcW w:w="1776" w:type="dxa"/>
            <w:gridSpan w:val="2"/>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vertAlign w:val="baseline"/>
                <w:lang w:eastAsia="zh-CN"/>
              </w:rPr>
              <w:t>实施地点</w:t>
            </w:r>
          </w:p>
        </w:tc>
        <w:tc>
          <w:tcPr>
            <w:tcW w:w="7086" w:type="dxa"/>
            <w:gridSpan w:val="9"/>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73" w:type="dxa"/>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vertAlign w:val="baseline"/>
                <w:lang w:eastAsia="zh-CN"/>
              </w:rPr>
              <w:t>项目实施期限</w:t>
            </w:r>
          </w:p>
        </w:tc>
        <w:tc>
          <w:tcPr>
            <w:tcW w:w="7086" w:type="dxa"/>
            <w:gridSpan w:val="9"/>
            <w:vAlign w:val="center"/>
          </w:tcPr>
          <w:p>
            <w:pPr>
              <w:adjustRightInd w:val="0"/>
              <w:snapToGrid w:val="0"/>
              <w:spacing w:afterLines="0" w:line="240" w:lineRule="auto"/>
              <w:jc w:val="center"/>
              <w:textAlignment w:val="bottom"/>
              <w:outlineLvl w:val="9"/>
              <w:rPr>
                <w:rFonts w:hint="eastAsia" w:ascii="仿宋_GB2312" w:hAnsi="仿宋_GB2312" w:eastAsia="仿宋_GB2312" w:cs="仿宋_GB2312"/>
                <w:b w:val="0"/>
                <w:bCs/>
                <w:color w:val="auto"/>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1773" w:type="dxa"/>
            <w:vAlign w:val="center"/>
          </w:tcPr>
          <w:p>
            <w:pPr>
              <w:adjustRightInd w:val="0"/>
              <w:snapToGrid w:val="0"/>
              <w:spacing w:afterLines="0"/>
              <w:jc w:val="center"/>
              <w:rPr>
                <w:rFonts w:hint="eastAsia" w:ascii="仿宋_GB2312" w:hAnsi="仿宋_GB2312" w:eastAsia="仿宋_GB2312" w:cs="仿宋_GB2312"/>
                <w:b w:val="0"/>
                <w:bCs/>
                <w:color w:val="auto"/>
                <w:sz w:val="24"/>
                <w:szCs w:val="24"/>
                <w:vertAlign w:val="baseline"/>
                <w:lang w:eastAsia="zh-CN"/>
              </w:rPr>
            </w:pPr>
            <w:r>
              <w:rPr>
                <w:rFonts w:hint="eastAsia" w:ascii="仿宋_GB2312" w:hAnsi="仿宋_GB2312" w:eastAsia="仿宋_GB2312" w:cs="仿宋_GB2312"/>
                <w:b w:val="0"/>
                <w:bCs/>
                <w:color w:val="auto"/>
                <w:sz w:val="24"/>
                <w:szCs w:val="24"/>
                <w:lang w:eastAsia="zh-CN"/>
              </w:rPr>
              <w:t>创新园</w:t>
            </w:r>
            <w:r>
              <w:rPr>
                <w:rFonts w:hint="eastAsia" w:ascii="仿宋_GB2312" w:hAnsi="仿宋_GB2312" w:eastAsia="仿宋_GB2312" w:cs="仿宋_GB2312"/>
                <w:b w:val="0"/>
                <w:bCs/>
                <w:color w:val="auto"/>
                <w:sz w:val="24"/>
                <w:szCs w:val="24"/>
              </w:rPr>
              <w:t>项目简介（300字以内）</w:t>
            </w:r>
          </w:p>
        </w:tc>
        <w:tc>
          <w:tcPr>
            <w:tcW w:w="7086" w:type="dxa"/>
            <w:gridSpan w:val="9"/>
            <w:vAlign w:val="center"/>
          </w:tcPr>
          <w:p>
            <w:pPr>
              <w:pStyle w:val="2"/>
              <w:adjustRightInd w:val="0"/>
              <w:snapToGrid w:val="0"/>
              <w:spacing w:after="0"/>
              <w:ind w:left="0" w:leftChars="0" w:firstLine="0" w:firstLineChars="0"/>
              <w:jc w:val="both"/>
              <w:rPr>
                <w:rFonts w:hint="eastAsia" w:ascii="仿宋_GB2312" w:hAnsi="仿宋_GB2312" w:eastAsia="仿宋_GB2312" w:cs="仿宋_GB2312"/>
                <w:b w:val="0"/>
                <w:bCs/>
                <w:color w:val="auto"/>
                <w:sz w:val="24"/>
                <w:szCs w:val="24"/>
                <w:lang w:val="en-US" w:eastAsia="zh-CN"/>
              </w:rPr>
            </w:pPr>
          </w:p>
          <w:p>
            <w:pPr>
              <w:pStyle w:val="2"/>
              <w:adjustRightInd w:val="0"/>
              <w:snapToGrid w:val="0"/>
              <w:spacing w:after="0"/>
              <w:ind w:left="0" w:leftChars="0" w:firstLine="0" w:firstLineChars="0"/>
              <w:jc w:val="both"/>
              <w:rPr>
                <w:rFonts w:hint="eastAsia" w:ascii="仿宋_GB2312" w:hAnsi="仿宋_GB2312" w:eastAsia="仿宋_GB2312" w:cs="仿宋_GB2312"/>
                <w:b w:val="0"/>
                <w:bCs/>
                <w:color w:val="auto"/>
                <w:sz w:val="24"/>
                <w:szCs w:val="24"/>
                <w:lang w:val="en-US" w:eastAsia="zh-CN"/>
              </w:rPr>
            </w:pPr>
          </w:p>
          <w:p>
            <w:pPr>
              <w:pStyle w:val="2"/>
              <w:adjustRightInd w:val="0"/>
              <w:snapToGrid w:val="0"/>
              <w:spacing w:after="0"/>
              <w:ind w:left="0" w:leftChars="0" w:firstLine="0" w:firstLineChars="0"/>
              <w:jc w:val="both"/>
              <w:rPr>
                <w:rFonts w:hint="eastAsia" w:ascii="仿宋_GB2312" w:hAnsi="仿宋_GB2312" w:eastAsia="仿宋_GB2312" w:cs="仿宋_GB2312"/>
                <w:b w:val="0"/>
                <w:bCs/>
                <w:color w:val="auto"/>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华文中宋" w:cs="Times New Roman"/>
          <w:color w:val="auto"/>
          <w:w w:val="90"/>
          <w:sz w:val="44"/>
          <w:szCs w:val="44"/>
          <w:lang w:eastAsia="zh-CN"/>
        </w:rPr>
      </w:pP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0" w:firstLineChars="0"/>
        <w:jc w:val="center"/>
        <w:textAlignment w:val="auto"/>
        <w:outlineLvl w:val="9"/>
        <w:rPr>
          <w:rFonts w:hint="eastAsia" w:ascii="方正小标宋简体" w:hAnsi="方正小标宋简体" w:eastAsia="方正小标宋简体" w:cs="方正小标宋简体"/>
          <w:snapToGrid w:val="0"/>
          <w:color w:val="auto"/>
          <w:w w:val="100"/>
          <w:kern w:val="0"/>
          <w:sz w:val="44"/>
          <w:szCs w:val="44"/>
        </w:rPr>
      </w:pPr>
      <w:r>
        <w:rPr>
          <w:rFonts w:hint="eastAsia" w:ascii="方正小标宋简体" w:hAnsi="方正小标宋简体" w:eastAsia="方正小标宋简体" w:cs="方正小标宋简体"/>
          <w:snapToGrid w:val="0"/>
          <w:color w:val="auto"/>
          <w:w w:val="100"/>
          <w:kern w:val="0"/>
          <w:sz w:val="44"/>
          <w:szCs w:val="44"/>
          <w:lang w:eastAsia="zh-CN"/>
        </w:rPr>
        <w:t>种业创新园</w:t>
      </w:r>
      <w:r>
        <w:rPr>
          <w:rFonts w:hint="eastAsia" w:ascii="方正小标宋简体" w:hAnsi="方正小标宋简体" w:eastAsia="方正小标宋简体" w:cs="方正小标宋简体"/>
          <w:snapToGrid w:val="0"/>
          <w:color w:val="auto"/>
          <w:w w:val="100"/>
          <w:kern w:val="0"/>
          <w:sz w:val="44"/>
          <w:szCs w:val="44"/>
        </w:rPr>
        <w:t>项目申报书（提纲）</w:t>
      </w:r>
    </w:p>
    <w:p>
      <w:pPr>
        <w:pStyle w:val="2"/>
        <w:adjustRightInd w:val="0"/>
        <w:snapToGrid w:val="0"/>
        <w:spacing w:after="0" w:line="590" w:lineRule="exact"/>
        <w:ind w:left="0" w:leftChars="0" w:firstLine="640" w:firstLineChars="200"/>
        <w:rPr>
          <w:rFonts w:hint="eastAsia" w:ascii="仿宋_GB2312" w:hAnsi="仿宋_GB2312" w:eastAsia="仿宋_GB2312" w:cs="仿宋_GB2312"/>
          <w:b w:val="0"/>
          <w:bCs/>
          <w:snapToGrid w:val="0"/>
          <w:color w:val="auto"/>
          <w:kern w:val="0"/>
          <w:sz w:val="32"/>
          <w:szCs w:val="32"/>
          <w:lang w:val="en-US" w:eastAsia="zh-CN" w:bidi="ar-SA"/>
        </w:rPr>
      </w:pPr>
    </w:p>
    <w:p>
      <w:pPr>
        <w:adjustRightInd w:val="0"/>
        <w:snapToGrid w:val="0"/>
        <w:spacing w:afterLines="0" w:line="590" w:lineRule="exact"/>
        <w:ind w:firstLine="640" w:firstLineChars="200"/>
        <w:rPr>
          <w:rFonts w:hint="eastAsia" w:ascii="仿宋_GB2312" w:hAnsi="仿宋_GB2312" w:eastAsia="仿宋_GB2312" w:cs="仿宋_GB2312"/>
          <w:snapToGrid w:val="0"/>
          <w:color w:val="auto"/>
          <w:kern w:val="0"/>
          <w:sz w:val="32"/>
          <w:szCs w:val="32"/>
          <w:lang w:val="en-US" w:eastAsia="zh-CN"/>
        </w:rPr>
      </w:pPr>
      <w:r>
        <w:rPr>
          <w:rFonts w:hint="eastAsia" w:ascii="黑体" w:hAnsi="黑体" w:eastAsia="黑体" w:cs="黑体"/>
          <w:snapToGrid w:val="0"/>
          <w:color w:val="auto"/>
          <w:kern w:val="0"/>
          <w:sz w:val="32"/>
          <w:szCs w:val="32"/>
          <w:lang w:val="en-US" w:eastAsia="zh-CN"/>
        </w:rPr>
        <w:t>一、项目单位基本情况，</w:t>
      </w:r>
      <w:r>
        <w:rPr>
          <w:rFonts w:hint="eastAsia" w:ascii="仿宋_GB2312" w:hAnsi="仿宋_GB2312" w:eastAsia="仿宋_GB2312" w:cs="仿宋_GB2312"/>
          <w:snapToGrid w:val="0"/>
          <w:color w:val="auto"/>
          <w:kern w:val="0"/>
          <w:sz w:val="32"/>
          <w:szCs w:val="32"/>
          <w:lang w:val="en-US" w:eastAsia="zh-CN"/>
        </w:rPr>
        <w:t>包括：单位性质、隶属关系、相关职能业务范围；人员状况、财务收支和资产负债简况；基础设施和配套设备等条件；专业技术队伍和组织管理能力；相关领域科研成果等情况。</w:t>
      </w:r>
    </w:p>
    <w:p>
      <w:pPr>
        <w:adjustRightInd w:val="0"/>
        <w:snapToGrid w:val="0"/>
        <w:spacing w:afterLines="0" w:line="590" w:lineRule="exact"/>
        <w:ind w:firstLine="640" w:firstLineChars="200"/>
        <w:rPr>
          <w:rFonts w:hint="eastAsia" w:ascii="黑体" w:hAnsi="黑体" w:eastAsia="黑体" w:cs="黑体"/>
          <w:snapToGrid w:val="0"/>
          <w:color w:val="auto"/>
          <w:kern w:val="0"/>
          <w:sz w:val="32"/>
          <w:szCs w:val="32"/>
          <w:lang w:val="en-US" w:eastAsia="zh-CN"/>
        </w:rPr>
      </w:pPr>
      <w:r>
        <w:rPr>
          <w:rFonts w:hint="eastAsia" w:ascii="黑体" w:hAnsi="黑体" w:eastAsia="黑体" w:cs="黑体"/>
          <w:snapToGrid w:val="0"/>
          <w:color w:val="auto"/>
          <w:kern w:val="0"/>
          <w:sz w:val="32"/>
          <w:szCs w:val="32"/>
          <w:lang w:val="en-US" w:eastAsia="zh-CN"/>
        </w:rPr>
        <w:t>二、项目建设方案</w:t>
      </w:r>
    </w:p>
    <w:p>
      <w:pPr>
        <w:adjustRightInd w:val="0"/>
        <w:snapToGrid w:val="0"/>
        <w:spacing w:afterLines="0" w:line="590" w:lineRule="exact"/>
        <w:ind w:firstLine="640" w:firstLineChars="200"/>
        <w:rPr>
          <w:rFonts w:hint="eastAsia" w:ascii="仿宋_GB2312" w:hAnsi="仿宋_GB2312" w:eastAsia="仿宋_GB2312" w:cs="仿宋_GB2312"/>
          <w:snapToGrid w:val="0"/>
          <w:color w:val="auto"/>
          <w:kern w:val="0"/>
          <w:sz w:val="32"/>
          <w:szCs w:val="32"/>
          <w:lang w:val="en-US" w:eastAsia="zh-CN"/>
        </w:rPr>
      </w:pPr>
      <w:r>
        <w:rPr>
          <w:rFonts w:hint="eastAsia" w:ascii="楷体_GB2312" w:hAnsi="楷体_GB2312" w:eastAsia="楷体_GB2312" w:cs="楷体_GB2312"/>
          <w:b w:val="0"/>
          <w:bCs w:val="0"/>
          <w:snapToGrid w:val="0"/>
          <w:color w:val="auto"/>
          <w:kern w:val="0"/>
          <w:sz w:val="32"/>
          <w:szCs w:val="32"/>
          <w:lang w:val="en-US" w:eastAsia="zh-CN"/>
        </w:rPr>
        <w:t>（一）项目概况</w:t>
      </w:r>
      <w:r>
        <w:rPr>
          <w:rFonts w:hint="eastAsia" w:ascii="楷体_GB2312" w:hAnsi="楷体_GB2312" w:eastAsia="楷体_GB2312" w:cs="楷体_GB2312"/>
          <w:snapToGrid w:val="0"/>
          <w:color w:val="auto"/>
          <w:kern w:val="0"/>
          <w:sz w:val="32"/>
          <w:szCs w:val="32"/>
          <w:lang w:val="en-US" w:eastAsia="zh-CN"/>
        </w:rPr>
        <w:t>，</w:t>
      </w:r>
      <w:r>
        <w:rPr>
          <w:rFonts w:hint="eastAsia" w:ascii="仿宋_GB2312" w:hAnsi="仿宋_GB2312" w:eastAsia="仿宋_GB2312" w:cs="仿宋_GB2312"/>
          <w:snapToGrid w:val="0"/>
          <w:color w:val="auto"/>
          <w:kern w:val="0"/>
          <w:sz w:val="32"/>
          <w:szCs w:val="32"/>
          <w:lang w:val="en-US" w:eastAsia="zh-CN"/>
        </w:rPr>
        <w:t>包括：立项的背景意义（项目政策背景、必要性和可行性论证）；市场供求分析及产业发展预测等；建设地点选择分析；建设目标和期限。</w:t>
      </w:r>
    </w:p>
    <w:p>
      <w:pPr>
        <w:adjustRightInd w:val="0"/>
        <w:snapToGrid w:val="0"/>
        <w:spacing w:afterLines="0" w:line="590" w:lineRule="exact"/>
        <w:ind w:firstLine="640" w:firstLineChars="200"/>
        <w:rPr>
          <w:rFonts w:hint="eastAsia" w:ascii="仿宋_GB2312" w:hAnsi="仿宋_GB2312" w:eastAsia="仿宋_GB2312" w:cs="仿宋_GB2312"/>
          <w:snapToGrid w:val="0"/>
          <w:color w:val="auto"/>
          <w:kern w:val="0"/>
          <w:sz w:val="32"/>
          <w:szCs w:val="32"/>
          <w:lang w:val="en-US" w:eastAsia="zh-CN"/>
        </w:rPr>
      </w:pPr>
      <w:r>
        <w:rPr>
          <w:rFonts w:hint="eastAsia" w:ascii="楷体_GB2312" w:hAnsi="楷体_GB2312" w:eastAsia="楷体_GB2312" w:cs="楷体_GB2312"/>
          <w:b w:val="0"/>
          <w:bCs w:val="0"/>
          <w:snapToGrid w:val="0"/>
          <w:color w:val="auto"/>
          <w:kern w:val="0"/>
          <w:sz w:val="32"/>
          <w:szCs w:val="32"/>
          <w:lang w:val="en-US" w:eastAsia="zh-CN"/>
        </w:rPr>
        <w:t>（二）项目具体实施方案</w:t>
      </w:r>
      <w:r>
        <w:rPr>
          <w:rFonts w:hint="eastAsia" w:ascii="楷体_GB2312" w:hAnsi="楷体_GB2312" w:eastAsia="楷体_GB2312" w:cs="楷体_GB2312"/>
          <w:snapToGrid w:val="0"/>
          <w:color w:val="auto"/>
          <w:kern w:val="0"/>
          <w:sz w:val="32"/>
          <w:szCs w:val="32"/>
          <w:lang w:val="en-US" w:eastAsia="zh-CN"/>
        </w:rPr>
        <w:t>，</w:t>
      </w:r>
      <w:r>
        <w:rPr>
          <w:rFonts w:hint="eastAsia" w:ascii="仿宋_GB2312" w:hAnsi="仿宋_GB2312" w:eastAsia="仿宋_GB2312" w:cs="仿宋_GB2312"/>
          <w:snapToGrid w:val="0"/>
          <w:color w:val="auto"/>
          <w:kern w:val="0"/>
          <w:sz w:val="32"/>
          <w:szCs w:val="32"/>
          <w:lang w:val="en-US" w:eastAsia="zh-CN"/>
        </w:rPr>
        <w:t>包括：详细建设内容（研究内容、平台建设、基地建设、团队组建、技术路线等），预期目标及考核指标（包括育种技术的先进性与引领性、创制优异种质资源数、育成品种水平与数量、研发基地规模、良种繁育推广能力与水平等），预期效益（经济效益、社会效益、生态效益），进度安排（详细到季度），投资估算、财务分析以及资金筹措，园区规模和环评情况（如需要），项目风险及风险防控。</w:t>
      </w:r>
    </w:p>
    <w:p>
      <w:pPr>
        <w:adjustRightInd w:val="0"/>
        <w:snapToGrid w:val="0"/>
        <w:spacing w:afterLines="0" w:line="590" w:lineRule="exact"/>
        <w:ind w:firstLine="640" w:firstLineChars="200"/>
        <w:rPr>
          <w:rFonts w:hint="default" w:ascii="仿宋_GB2312" w:hAnsi="仿宋_GB2312" w:eastAsia="仿宋_GB2312" w:cs="仿宋_GB2312"/>
          <w:snapToGrid w:val="0"/>
          <w:color w:val="auto"/>
          <w:kern w:val="0"/>
          <w:sz w:val="32"/>
          <w:szCs w:val="32"/>
          <w:lang w:val="en-US" w:eastAsia="zh-CN"/>
        </w:rPr>
      </w:pPr>
      <w:r>
        <w:rPr>
          <w:rFonts w:hint="eastAsia" w:ascii="楷体_GB2312" w:hAnsi="楷体_GB2312" w:eastAsia="楷体_GB2312" w:cs="楷体_GB2312"/>
          <w:b w:val="0"/>
          <w:bCs w:val="0"/>
          <w:snapToGrid w:val="0"/>
          <w:color w:val="auto"/>
          <w:kern w:val="0"/>
          <w:sz w:val="32"/>
          <w:szCs w:val="32"/>
          <w:lang w:val="en-US" w:eastAsia="zh-CN"/>
        </w:rPr>
        <w:t>（三）保障措施</w:t>
      </w:r>
      <w:r>
        <w:rPr>
          <w:rFonts w:hint="eastAsia" w:ascii="楷体_GB2312" w:hAnsi="楷体_GB2312" w:eastAsia="楷体_GB2312" w:cs="楷体_GB2312"/>
          <w:snapToGrid w:val="0"/>
          <w:color w:val="auto"/>
          <w:kern w:val="0"/>
          <w:sz w:val="32"/>
          <w:szCs w:val="32"/>
          <w:lang w:val="en-US" w:eastAsia="zh-CN"/>
        </w:rPr>
        <w:t>，</w:t>
      </w:r>
      <w:r>
        <w:rPr>
          <w:rFonts w:hint="eastAsia" w:ascii="仿宋_GB2312" w:hAnsi="仿宋_GB2312" w:eastAsia="仿宋_GB2312" w:cs="仿宋_GB2312"/>
          <w:snapToGrid w:val="0"/>
          <w:color w:val="auto"/>
          <w:kern w:val="0"/>
          <w:sz w:val="32"/>
          <w:szCs w:val="32"/>
          <w:lang w:val="en-US" w:eastAsia="zh-CN"/>
        </w:rPr>
        <w:t>包括种业创新园建设和运行的组织、协调、监管等具体措施。</w:t>
      </w:r>
    </w:p>
    <w:p>
      <w:pPr>
        <w:adjustRightInd w:val="0"/>
        <w:snapToGrid w:val="0"/>
        <w:spacing w:afterLines="0" w:line="590" w:lineRule="exact"/>
        <w:ind w:firstLine="640" w:firstLineChars="200"/>
        <w:rPr>
          <w:rFonts w:hint="eastAsia" w:ascii="黑体" w:hAnsi="黑体" w:eastAsia="黑体" w:cs="黑体"/>
          <w:snapToGrid w:val="0"/>
          <w:color w:val="auto"/>
          <w:kern w:val="0"/>
          <w:sz w:val="32"/>
          <w:szCs w:val="32"/>
          <w:lang w:val="en-US" w:eastAsia="zh-CN"/>
        </w:rPr>
      </w:pPr>
      <w:r>
        <w:rPr>
          <w:rFonts w:hint="eastAsia" w:ascii="黑体" w:hAnsi="黑体" w:eastAsia="黑体" w:cs="黑体"/>
          <w:snapToGrid w:val="0"/>
          <w:color w:val="auto"/>
          <w:kern w:val="0"/>
          <w:sz w:val="32"/>
          <w:szCs w:val="32"/>
          <w:lang w:val="en-US" w:eastAsia="zh-CN"/>
        </w:rPr>
        <w:t>三、资金筹措与使用方案</w:t>
      </w:r>
    </w:p>
    <w:p>
      <w:pPr>
        <w:adjustRightInd w:val="0"/>
        <w:snapToGrid w:val="0"/>
        <w:spacing w:afterLines="0" w:line="590" w:lineRule="exact"/>
        <w:ind w:firstLine="640" w:firstLineChars="200"/>
        <w:rPr>
          <w:rFonts w:hint="eastAsia"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包括资金来源、投资概算、测算依据等说明。</w:t>
      </w:r>
    </w:p>
    <w:p>
      <w:pPr>
        <w:adjustRightInd w:val="0"/>
        <w:snapToGrid w:val="0"/>
        <w:spacing w:afterLines="0" w:line="590" w:lineRule="exact"/>
        <w:ind w:firstLine="0" w:firstLineChars="0"/>
        <w:rPr>
          <w:rFonts w:hint="eastAsia" w:ascii="仿宋_GB2312" w:hAnsi="仿宋_GB2312" w:eastAsia="仿宋_GB2312" w:cs="仿宋_GB2312"/>
          <w:snapToGrid w:val="0"/>
          <w:color w:val="auto"/>
          <w:kern w:val="0"/>
          <w:sz w:val="32"/>
          <w:szCs w:val="32"/>
          <w:lang w:val="en-US" w:eastAsia="zh-CN"/>
        </w:rPr>
      </w:pPr>
    </w:p>
    <w:tbl>
      <w:tblPr>
        <w:tblStyle w:val="13"/>
        <w:tblW w:w="8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863"/>
        <w:gridCol w:w="1118"/>
        <w:gridCol w:w="592"/>
        <w:gridCol w:w="1983"/>
        <w:gridCol w:w="921"/>
        <w:gridCol w:w="904"/>
        <w:gridCol w:w="242"/>
        <w:gridCol w:w="695"/>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2" w:type="dxa"/>
            <w:vMerge w:val="restart"/>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bCs w:val="0"/>
                <w:color w:val="auto"/>
                <w:sz w:val="24"/>
                <w:szCs w:val="24"/>
                <w:vertAlign w:val="baseline"/>
                <w:lang w:val="en-US" w:eastAsia="zh-CN"/>
              </w:rPr>
              <w:t>资金筹措与使用方案</w:t>
            </w:r>
          </w:p>
        </w:tc>
        <w:tc>
          <w:tcPr>
            <w:tcW w:w="4556" w:type="dxa"/>
            <w:gridSpan w:val="4"/>
            <w:vAlign w:val="center"/>
          </w:tcPr>
          <w:p>
            <w:pPr>
              <w:adjustRightInd w:val="0"/>
              <w:snapToGrid w:val="0"/>
              <w:jc w:val="center"/>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资金来源</w:t>
            </w:r>
          </w:p>
        </w:tc>
        <w:tc>
          <w:tcPr>
            <w:tcW w:w="2067" w:type="dxa"/>
            <w:gridSpan w:val="3"/>
            <w:vAlign w:val="center"/>
          </w:tcPr>
          <w:p>
            <w:pPr>
              <w:adjustRightInd w:val="0"/>
              <w:snapToGrid w:val="0"/>
              <w:jc w:val="center"/>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金额（万元）</w:t>
            </w:r>
          </w:p>
        </w:tc>
        <w:tc>
          <w:tcPr>
            <w:tcW w:w="1694" w:type="dxa"/>
            <w:gridSpan w:val="2"/>
            <w:vAlign w:val="center"/>
          </w:tcPr>
          <w:p>
            <w:pPr>
              <w:adjustRightInd w:val="0"/>
              <w:snapToGrid w:val="0"/>
              <w:jc w:val="center"/>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4556" w:type="dxa"/>
            <w:gridSpan w:val="4"/>
            <w:vAlign w:val="center"/>
          </w:tcPr>
          <w:p>
            <w:pPr>
              <w:adjustRightInd w:val="0"/>
              <w:snapToGrid w:val="0"/>
              <w:jc w:val="left"/>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一、申请省财政补助资金</w:t>
            </w:r>
          </w:p>
        </w:tc>
        <w:tc>
          <w:tcPr>
            <w:tcW w:w="2067" w:type="dxa"/>
            <w:gridSpan w:val="3"/>
            <w:vAlign w:val="center"/>
          </w:tcPr>
          <w:p>
            <w:pPr>
              <w:adjustRightInd w:val="0"/>
              <w:snapToGrid w:val="0"/>
              <w:jc w:val="center"/>
              <w:rPr>
                <w:rFonts w:hint="eastAsia" w:ascii="仿宋_GB2312" w:hAnsi="仿宋_GB2312" w:eastAsia="仿宋_GB2312" w:cs="仿宋_GB2312"/>
                <w:b w:val="0"/>
                <w:bCs/>
                <w:color w:val="auto"/>
                <w:sz w:val="24"/>
                <w:szCs w:val="24"/>
                <w:lang w:val="en-US" w:eastAsia="zh-CN"/>
              </w:rPr>
            </w:pPr>
          </w:p>
        </w:tc>
        <w:tc>
          <w:tcPr>
            <w:tcW w:w="1694" w:type="dxa"/>
            <w:gridSpan w:val="2"/>
            <w:vAlign w:val="center"/>
          </w:tcPr>
          <w:p>
            <w:pPr>
              <w:adjustRightInd w:val="0"/>
              <w:snapToGrid w:val="0"/>
              <w:jc w:val="center"/>
              <w:rPr>
                <w:rFonts w:hint="eastAsia" w:ascii="仿宋_GB2312" w:hAnsi="仿宋_GB2312" w:eastAsia="仿宋_GB2312" w:cs="仿宋_GB2312"/>
                <w:b w:val="0"/>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4556" w:type="dxa"/>
            <w:gridSpan w:val="4"/>
            <w:vAlign w:val="center"/>
          </w:tcPr>
          <w:p>
            <w:pPr>
              <w:adjustRightInd w:val="0"/>
              <w:snapToGrid w:val="0"/>
              <w:jc w:val="left"/>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二、配套资金</w:t>
            </w:r>
          </w:p>
        </w:tc>
        <w:tc>
          <w:tcPr>
            <w:tcW w:w="2067" w:type="dxa"/>
            <w:gridSpan w:val="3"/>
            <w:vAlign w:val="center"/>
          </w:tcPr>
          <w:p>
            <w:pPr>
              <w:adjustRightInd w:val="0"/>
              <w:snapToGrid w:val="0"/>
              <w:jc w:val="center"/>
              <w:rPr>
                <w:rFonts w:hint="eastAsia" w:ascii="仿宋_GB2312" w:hAnsi="仿宋_GB2312" w:eastAsia="仿宋_GB2312" w:cs="仿宋_GB2312"/>
                <w:b w:val="0"/>
                <w:bCs/>
                <w:color w:val="auto"/>
                <w:sz w:val="24"/>
                <w:szCs w:val="24"/>
                <w:lang w:val="en-US" w:eastAsia="zh-CN"/>
              </w:rPr>
            </w:pPr>
          </w:p>
        </w:tc>
        <w:tc>
          <w:tcPr>
            <w:tcW w:w="1694" w:type="dxa"/>
            <w:gridSpan w:val="2"/>
            <w:vAlign w:val="center"/>
          </w:tcPr>
          <w:p>
            <w:pPr>
              <w:adjustRightInd w:val="0"/>
              <w:snapToGrid w:val="0"/>
              <w:jc w:val="center"/>
              <w:rPr>
                <w:rFonts w:hint="eastAsia" w:ascii="仿宋_GB2312" w:hAnsi="仿宋_GB2312" w:eastAsia="仿宋_GB2312" w:cs="仿宋_GB2312"/>
                <w:b w:val="0"/>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4556" w:type="dxa"/>
            <w:gridSpan w:val="4"/>
            <w:vAlign w:val="center"/>
          </w:tcPr>
          <w:p>
            <w:pPr>
              <w:adjustRightInd w:val="0"/>
              <w:snapToGrid w:val="0"/>
              <w:jc w:val="left"/>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三、自筹资金</w:t>
            </w:r>
          </w:p>
        </w:tc>
        <w:tc>
          <w:tcPr>
            <w:tcW w:w="2067" w:type="dxa"/>
            <w:gridSpan w:val="3"/>
            <w:vAlign w:val="center"/>
          </w:tcPr>
          <w:p>
            <w:pPr>
              <w:adjustRightInd w:val="0"/>
              <w:snapToGrid w:val="0"/>
              <w:jc w:val="center"/>
              <w:rPr>
                <w:rFonts w:hint="eastAsia" w:ascii="仿宋_GB2312" w:hAnsi="仿宋_GB2312" w:eastAsia="仿宋_GB2312" w:cs="仿宋_GB2312"/>
                <w:b w:val="0"/>
                <w:bCs/>
                <w:color w:val="auto"/>
                <w:sz w:val="24"/>
                <w:szCs w:val="24"/>
                <w:lang w:val="en-US" w:eastAsia="zh-CN"/>
              </w:rPr>
            </w:pPr>
          </w:p>
        </w:tc>
        <w:tc>
          <w:tcPr>
            <w:tcW w:w="1694" w:type="dxa"/>
            <w:gridSpan w:val="2"/>
            <w:vAlign w:val="center"/>
          </w:tcPr>
          <w:p>
            <w:pPr>
              <w:adjustRightInd w:val="0"/>
              <w:snapToGrid w:val="0"/>
              <w:jc w:val="center"/>
              <w:rPr>
                <w:rFonts w:hint="eastAsia" w:ascii="仿宋_GB2312" w:hAnsi="仿宋_GB2312" w:eastAsia="仿宋_GB2312" w:cs="仿宋_GB2312"/>
                <w:b w:val="0"/>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4556" w:type="dxa"/>
            <w:gridSpan w:val="4"/>
            <w:vAlign w:val="center"/>
          </w:tcPr>
          <w:p>
            <w:pPr>
              <w:adjustRightInd w:val="0"/>
              <w:snapToGrid w:val="0"/>
              <w:jc w:val="center"/>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合计</w:t>
            </w:r>
          </w:p>
        </w:tc>
        <w:tc>
          <w:tcPr>
            <w:tcW w:w="2067" w:type="dxa"/>
            <w:gridSpan w:val="3"/>
            <w:vAlign w:val="center"/>
          </w:tcPr>
          <w:p>
            <w:pPr>
              <w:adjustRightInd w:val="0"/>
              <w:snapToGrid w:val="0"/>
              <w:jc w:val="center"/>
              <w:rPr>
                <w:rFonts w:hint="eastAsia" w:ascii="仿宋_GB2312" w:hAnsi="仿宋_GB2312" w:eastAsia="仿宋_GB2312" w:cs="仿宋_GB2312"/>
                <w:b w:val="0"/>
                <w:bCs/>
                <w:color w:val="auto"/>
                <w:sz w:val="24"/>
                <w:szCs w:val="24"/>
                <w:lang w:val="en-US" w:eastAsia="zh-CN"/>
              </w:rPr>
            </w:pPr>
          </w:p>
        </w:tc>
        <w:tc>
          <w:tcPr>
            <w:tcW w:w="1694" w:type="dxa"/>
            <w:gridSpan w:val="2"/>
            <w:vAlign w:val="center"/>
          </w:tcPr>
          <w:p>
            <w:pPr>
              <w:adjustRightInd w:val="0"/>
              <w:snapToGrid w:val="0"/>
              <w:jc w:val="center"/>
              <w:rPr>
                <w:rFonts w:hint="eastAsia" w:ascii="仿宋_GB2312" w:hAnsi="仿宋_GB2312" w:eastAsia="仿宋_GB2312" w:cs="仿宋_GB2312"/>
                <w:b w:val="0"/>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317" w:type="dxa"/>
            <w:gridSpan w:val="9"/>
            <w:vAlign w:val="top"/>
          </w:tcPr>
          <w:p>
            <w:pPr>
              <w:adjustRightInd w:val="0"/>
              <w:snapToGrid w:val="0"/>
              <w:jc w:val="both"/>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bCs w:val="0"/>
                <w:color w:val="auto"/>
                <w:sz w:val="24"/>
                <w:szCs w:val="24"/>
                <w:lang w:val="en-US" w:eastAsia="zh-CN"/>
              </w:rPr>
              <w:t>项目资金概算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Merge w:val="restart"/>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序号</w:t>
            </w:r>
          </w:p>
        </w:tc>
        <w:tc>
          <w:tcPr>
            <w:tcW w:w="1710" w:type="dxa"/>
            <w:gridSpan w:val="2"/>
            <w:vMerge w:val="restart"/>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费用名称</w:t>
            </w:r>
          </w:p>
        </w:tc>
        <w:tc>
          <w:tcPr>
            <w:tcW w:w="1983" w:type="dxa"/>
            <w:vMerge w:val="restart"/>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资金用途说明（概算）</w:t>
            </w:r>
          </w:p>
        </w:tc>
        <w:tc>
          <w:tcPr>
            <w:tcW w:w="2762" w:type="dxa"/>
            <w:gridSpan w:val="4"/>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资金来源（万元）</w:t>
            </w:r>
          </w:p>
        </w:tc>
        <w:tc>
          <w:tcPr>
            <w:tcW w:w="999" w:type="dxa"/>
            <w:vMerge w:val="restart"/>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Merge w:val="continue"/>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710" w:type="dxa"/>
            <w:gridSpan w:val="2"/>
            <w:vMerge w:val="continue"/>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983" w:type="dxa"/>
            <w:vMerge w:val="continue"/>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省级财政</w:t>
            </w: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配套资金</w:t>
            </w: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自筹资金</w:t>
            </w:r>
          </w:p>
        </w:tc>
        <w:tc>
          <w:tcPr>
            <w:tcW w:w="999" w:type="dxa"/>
            <w:vMerge w:val="continue"/>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一</w:t>
            </w:r>
          </w:p>
        </w:tc>
        <w:tc>
          <w:tcPr>
            <w:tcW w:w="1710"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农业设施</w:t>
            </w: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default"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1</w:t>
            </w:r>
          </w:p>
        </w:tc>
        <w:tc>
          <w:tcPr>
            <w:tcW w:w="1710"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default"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2</w:t>
            </w:r>
          </w:p>
        </w:tc>
        <w:tc>
          <w:tcPr>
            <w:tcW w:w="1710"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default"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w:t>
            </w:r>
          </w:p>
        </w:tc>
        <w:tc>
          <w:tcPr>
            <w:tcW w:w="1710"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二</w:t>
            </w:r>
          </w:p>
        </w:tc>
        <w:tc>
          <w:tcPr>
            <w:tcW w:w="1710" w:type="dxa"/>
            <w:gridSpan w:val="2"/>
            <w:vAlign w:val="center"/>
          </w:tcPr>
          <w:p>
            <w:pPr>
              <w:adjustRightInd w:val="0"/>
              <w:snapToGrid w:val="0"/>
              <w:spacing w:line="240" w:lineRule="auto"/>
              <w:jc w:val="center"/>
              <w:textAlignment w:val="bottom"/>
              <w:outlineLvl w:val="9"/>
              <w:rPr>
                <w:rFonts w:hint="default"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科技研发</w:t>
            </w: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default"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1</w:t>
            </w:r>
          </w:p>
        </w:tc>
        <w:tc>
          <w:tcPr>
            <w:tcW w:w="1710"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default"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2</w:t>
            </w:r>
          </w:p>
        </w:tc>
        <w:tc>
          <w:tcPr>
            <w:tcW w:w="1710"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default"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w:t>
            </w:r>
          </w:p>
        </w:tc>
        <w:tc>
          <w:tcPr>
            <w:tcW w:w="1710"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三</w:t>
            </w:r>
          </w:p>
        </w:tc>
        <w:tc>
          <w:tcPr>
            <w:tcW w:w="1710" w:type="dxa"/>
            <w:gridSpan w:val="2"/>
            <w:vAlign w:val="center"/>
          </w:tcPr>
          <w:p>
            <w:pPr>
              <w:adjustRightInd w:val="0"/>
              <w:snapToGrid w:val="0"/>
              <w:spacing w:line="240" w:lineRule="auto"/>
              <w:jc w:val="center"/>
              <w:textAlignment w:val="bottom"/>
              <w:outlineLvl w:val="9"/>
              <w:rPr>
                <w:rFonts w:hint="default"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示范推广</w:t>
            </w: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default"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1</w:t>
            </w:r>
          </w:p>
        </w:tc>
        <w:tc>
          <w:tcPr>
            <w:tcW w:w="1710"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default"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2</w:t>
            </w:r>
          </w:p>
        </w:tc>
        <w:tc>
          <w:tcPr>
            <w:tcW w:w="1710"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default"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w:t>
            </w:r>
          </w:p>
        </w:tc>
        <w:tc>
          <w:tcPr>
            <w:tcW w:w="1710"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四</w:t>
            </w:r>
          </w:p>
        </w:tc>
        <w:tc>
          <w:tcPr>
            <w:tcW w:w="1710"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劳务费</w:t>
            </w: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6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五</w:t>
            </w:r>
          </w:p>
        </w:tc>
        <w:tc>
          <w:tcPr>
            <w:tcW w:w="1710"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r>
              <w:rPr>
                <w:rFonts w:hint="eastAsia" w:ascii="仿宋_GB2312" w:hAnsi="仿宋_GB2312" w:eastAsia="仿宋_GB2312" w:cs="仿宋_GB2312"/>
                <w:b w:val="0"/>
                <w:bCs/>
                <w:color w:val="auto"/>
                <w:sz w:val="24"/>
                <w:szCs w:val="24"/>
                <w:vertAlign w:val="baseline"/>
                <w:lang w:val="en-US" w:eastAsia="zh-CN"/>
              </w:rPr>
              <w:t>其他业务相关费用</w:t>
            </w:r>
          </w:p>
        </w:tc>
        <w:tc>
          <w:tcPr>
            <w:tcW w:w="1983"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21"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04"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37" w:type="dxa"/>
            <w:gridSpan w:val="2"/>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999" w:type="dxa"/>
            <w:vAlign w:val="center"/>
          </w:tcPr>
          <w:p>
            <w:p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8317" w:type="dxa"/>
            <w:gridSpan w:val="9"/>
            <w:vAlign w:val="top"/>
          </w:tcPr>
          <w:p>
            <w:pPr>
              <w:adjustRightInd w:val="0"/>
              <w:snapToGrid w:val="0"/>
              <w:jc w:val="both"/>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bCs w:val="0"/>
                <w:color w:val="auto"/>
                <w:sz w:val="24"/>
                <w:szCs w:val="24"/>
                <w:lang w:val="en-US" w:eastAsia="zh-CN"/>
              </w:rPr>
              <w:t>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981" w:type="dxa"/>
            <w:gridSpan w:val="2"/>
            <w:vAlign w:val="top"/>
          </w:tcPr>
          <w:p>
            <w:pPr>
              <w:adjustRightInd w:val="0"/>
              <w:snapToGrid w:val="0"/>
              <w:jc w:val="center"/>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收款单位全称：</w:t>
            </w:r>
          </w:p>
        </w:tc>
        <w:tc>
          <w:tcPr>
            <w:tcW w:w="6336" w:type="dxa"/>
            <w:gridSpan w:val="7"/>
            <w:vAlign w:val="top"/>
          </w:tcPr>
          <w:p>
            <w:pPr>
              <w:adjustRightInd w:val="0"/>
              <w:snapToGrid w:val="0"/>
              <w:jc w:val="center"/>
              <w:rPr>
                <w:rFonts w:hint="eastAsia" w:ascii="仿宋_GB2312" w:hAnsi="仿宋_GB2312" w:eastAsia="仿宋_GB2312" w:cs="仿宋_GB2312"/>
                <w:b w:val="0"/>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981" w:type="dxa"/>
            <w:gridSpan w:val="2"/>
            <w:vAlign w:val="top"/>
          </w:tcPr>
          <w:p>
            <w:pPr>
              <w:adjustRightInd w:val="0"/>
              <w:snapToGrid w:val="0"/>
              <w:jc w:val="center"/>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开户银行全称：</w:t>
            </w:r>
          </w:p>
        </w:tc>
        <w:tc>
          <w:tcPr>
            <w:tcW w:w="6336" w:type="dxa"/>
            <w:gridSpan w:val="7"/>
            <w:vAlign w:val="top"/>
          </w:tcPr>
          <w:p>
            <w:pPr>
              <w:adjustRightInd w:val="0"/>
              <w:snapToGrid w:val="0"/>
              <w:jc w:val="center"/>
              <w:rPr>
                <w:rFonts w:hint="eastAsia" w:ascii="仿宋_GB2312" w:hAnsi="仿宋_GB2312" w:eastAsia="仿宋_GB2312" w:cs="仿宋_GB2312"/>
                <w:b w:val="0"/>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42" w:type="dxa"/>
            <w:vMerge w:val="continue"/>
            <w:vAlign w:val="center"/>
          </w:tcPr>
          <w:p>
            <w:pPr>
              <w:numPr>
                <w:ilvl w:val="0"/>
                <w:numId w:val="0"/>
              </w:numPr>
              <w:adjustRightInd w:val="0"/>
              <w:snapToGrid w:val="0"/>
              <w:spacing w:line="240" w:lineRule="auto"/>
              <w:jc w:val="center"/>
              <w:textAlignment w:val="bottom"/>
              <w:outlineLvl w:val="9"/>
              <w:rPr>
                <w:rFonts w:hint="eastAsia" w:ascii="仿宋_GB2312" w:hAnsi="仿宋_GB2312" w:eastAsia="仿宋_GB2312" w:cs="仿宋_GB2312"/>
                <w:b w:val="0"/>
                <w:bCs/>
                <w:color w:val="auto"/>
                <w:sz w:val="24"/>
                <w:szCs w:val="24"/>
                <w:vertAlign w:val="baseline"/>
                <w:lang w:val="en-US" w:eastAsia="zh-CN"/>
              </w:rPr>
            </w:pPr>
          </w:p>
        </w:tc>
        <w:tc>
          <w:tcPr>
            <w:tcW w:w="1981" w:type="dxa"/>
            <w:gridSpan w:val="2"/>
            <w:vAlign w:val="top"/>
          </w:tcPr>
          <w:p>
            <w:pPr>
              <w:adjustRightInd w:val="0"/>
              <w:snapToGrid w:val="0"/>
              <w:jc w:val="center"/>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账        号：</w:t>
            </w:r>
          </w:p>
        </w:tc>
        <w:tc>
          <w:tcPr>
            <w:tcW w:w="6336" w:type="dxa"/>
            <w:gridSpan w:val="7"/>
            <w:vAlign w:val="top"/>
          </w:tcPr>
          <w:p>
            <w:pPr>
              <w:adjustRightInd w:val="0"/>
              <w:snapToGrid w:val="0"/>
              <w:jc w:val="center"/>
              <w:rPr>
                <w:rFonts w:hint="eastAsia" w:ascii="仿宋_GB2312" w:hAnsi="仿宋_GB2312" w:eastAsia="仿宋_GB2312" w:cs="仿宋_GB2312"/>
                <w:b w:val="0"/>
                <w:bCs/>
                <w:color w:val="auto"/>
                <w:sz w:val="24"/>
                <w:szCs w:val="24"/>
                <w:lang w:val="en-US" w:eastAsia="zh-CN"/>
              </w:rPr>
            </w:pPr>
          </w:p>
        </w:tc>
      </w:tr>
    </w:tbl>
    <w:p>
      <w:pPr>
        <w:adjustRightInd w:val="0"/>
        <w:snapToGrid w:val="0"/>
        <w:spacing w:line="590" w:lineRule="exact"/>
        <w:ind w:firstLine="640" w:firstLineChars="200"/>
        <w:rPr>
          <w:rFonts w:hint="eastAsia" w:ascii="黑体" w:hAnsi="黑体" w:eastAsia="黑体" w:cs="黑体"/>
          <w:snapToGrid w:val="0"/>
          <w:color w:val="auto"/>
          <w:kern w:val="0"/>
          <w:sz w:val="32"/>
          <w:szCs w:val="32"/>
          <w:lang w:val="zh-CN" w:eastAsia="zh-CN"/>
        </w:rPr>
      </w:pPr>
      <w:r>
        <w:rPr>
          <w:rFonts w:hint="eastAsia" w:ascii="黑体" w:hAnsi="黑体" w:eastAsia="黑体" w:cs="黑体"/>
          <w:snapToGrid w:val="0"/>
          <w:color w:val="auto"/>
          <w:kern w:val="0"/>
          <w:sz w:val="32"/>
          <w:szCs w:val="32"/>
          <w:lang w:val="zh-CN" w:eastAsia="zh-CN"/>
        </w:rPr>
        <w:t>四、相关附件</w:t>
      </w:r>
    </w:p>
    <w:p>
      <w:pPr>
        <w:adjustRightInd w:val="0"/>
        <w:snapToGrid w:val="0"/>
        <w:spacing w:line="590" w:lineRule="exact"/>
        <w:ind w:firstLine="640" w:firstLineChars="200"/>
        <w:rPr>
          <w:rFonts w:hint="eastAsia"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（一）科研单位机构代码和法人证书、团队科研能力证明材料（含科研成果、专利等）；</w:t>
      </w:r>
    </w:p>
    <w:p>
      <w:pPr>
        <w:adjustRightInd w:val="0"/>
        <w:snapToGrid w:val="0"/>
        <w:spacing w:line="590" w:lineRule="exact"/>
        <w:ind w:firstLine="640" w:firstLineChars="200"/>
        <w:rPr>
          <w:rFonts w:hint="eastAsia"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（二）企业营业执照副本复印件、上一年度财务审计报表、企业信用等级证明和荣誉证书，以及其他资质证明材料；</w:t>
      </w:r>
    </w:p>
    <w:p>
      <w:pPr>
        <w:adjustRightInd w:val="0"/>
        <w:snapToGrid w:val="0"/>
        <w:spacing w:line="590" w:lineRule="exact"/>
        <w:ind w:firstLine="640" w:firstLineChars="200"/>
        <w:rPr>
          <w:rFonts w:hint="default"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（三）合作协议（或合同）复印件；</w:t>
      </w:r>
    </w:p>
    <w:p>
      <w:pPr>
        <w:adjustRightInd w:val="0"/>
        <w:snapToGrid w:val="0"/>
        <w:spacing w:line="590" w:lineRule="exact"/>
        <w:ind w:firstLine="640" w:firstLineChars="200"/>
        <w:rPr>
          <w:rFonts w:hint="eastAsia"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（四）种业创新园核心区土地使用证明材料；</w:t>
      </w:r>
    </w:p>
    <w:p>
      <w:pPr>
        <w:adjustRightInd w:val="0"/>
        <w:snapToGrid w:val="0"/>
        <w:spacing w:line="590" w:lineRule="exact"/>
        <w:ind w:firstLine="640" w:firstLineChars="200"/>
        <w:rPr>
          <w:rFonts w:hint="eastAsia"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（五）种业创新园核心区地理位置示意图；</w:t>
      </w:r>
    </w:p>
    <w:p>
      <w:pPr>
        <w:adjustRightInd w:val="0"/>
        <w:snapToGrid w:val="0"/>
        <w:spacing w:line="590" w:lineRule="exact"/>
        <w:ind w:firstLine="640" w:firstLineChars="200"/>
        <w:rPr>
          <w:rFonts w:hint="eastAsia"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（六）种业创新园核心区工程总平面布置图；</w:t>
      </w:r>
    </w:p>
    <w:p>
      <w:pPr>
        <w:adjustRightInd w:val="0"/>
        <w:snapToGrid w:val="0"/>
        <w:spacing w:line="590" w:lineRule="exact"/>
        <w:ind w:firstLine="640" w:firstLineChars="200"/>
        <w:rPr>
          <w:rFonts w:hint="default" w:ascii="仿宋_GB2312" w:hAnsi="仿宋_GB2312" w:eastAsia="仿宋_GB2312" w:cs="仿宋_GB2312"/>
          <w:snapToGrid w:val="0"/>
          <w:color w:val="auto"/>
          <w:kern w:val="0"/>
          <w:sz w:val="32"/>
          <w:szCs w:val="32"/>
          <w:lang w:val="zh-CN" w:eastAsia="zh-CN"/>
        </w:rPr>
      </w:pPr>
      <w:r>
        <w:rPr>
          <w:rFonts w:hint="eastAsia" w:ascii="仿宋_GB2312" w:hAnsi="仿宋_GB2312" w:eastAsia="仿宋_GB2312" w:cs="仿宋_GB2312"/>
          <w:snapToGrid w:val="0"/>
          <w:color w:val="auto"/>
          <w:kern w:val="0"/>
          <w:sz w:val="32"/>
          <w:szCs w:val="32"/>
          <w:lang w:val="en-US" w:eastAsia="zh-CN"/>
        </w:rPr>
        <w:t>（七）其他相关证明材料。</w:t>
      </w:r>
    </w:p>
    <w:p>
      <w:pPr>
        <w:adjustRightInd w:val="0"/>
        <w:snapToGrid w:val="0"/>
        <w:spacing w:line="590" w:lineRule="exact"/>
        <w:ind w:firstLine="640" w:firstLineChars="200"/>
        <w:rPr>
          <w:rFonts w:hint="eastAsia" w:ascii="仿宋_GB2312" w:hAnsi="仿宋_GB2312" w:eastAsia="仿宋_GB2312" w:cs="仿宋_GB2312"/>
          <w:snapToGrid w:val="0"/>
          <w:color w:val="auto"/>
          <w:kern w:val="0"/>
          <w:sz w:val="32"/>
          <w:szCs w:val="32"/>
          <w:lang w:val="en-US" w:eastAsia="zh-CN"/>
        </w:rPr>
      </w:pPr>
    </w:p>
    <w:p>
      <w:pPr>
        <w:ind w:firstLine="640" w:firstLineChars="200"/>
        <w:rPr>
          <w:rFonts w:hint="eastAsia" w:ascii="仿宋_GB2312" w:hAnsi="仿宋_GB2312" w:eastAsia="仿宋_GB2312" w:cs="仿宋_GB2312"/>
          <w:color w:val="auto"/>
          <w:sz w:val="32"/>
          <w:szCs w:val="32"/>
          <w:lang w:val="en-US" w:eastAsia="zh-CN"/>
        </w:rPr>
      </w:pPr>
    </w:p>
    <w:p>
      <w:pPr>
        <w:ind w:firstLine="640" w:firstLineChars="200"/>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华文中宋" w:cs="Times New Roman"/>
          <w:color w:val="auto"/>
          <w:w w:val="9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0"/>
        <w:rPr>
          <w:rFonts w:hint="eastAsia" w:ascii="Times New Roman" w:hAnsi="Times New Roman" w:eastAsia="华文中宋" w:cs="Times New Roman"/>
          <w:color w:val="auto"/>
          <w:w w:val="9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华文中宋" w:cs="Times New Roman"/>
          <w:color w:val="auto"/>
          <w:w w:val="9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华文中宋" w:cs="Times New Roman"/>
          <w:color w:val="auto"/>
          <w:w w:val="9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华文中宋" w:cs="Times New Roman"/>
          <w:color w:val="auto"/>
          <w:w w:val="9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华文中宋" w:cs="Times New Roman"/>
          <w:color w:val="auto"/>
          <w:w w:val="9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华文中宋" w:cs="Times New Roman"/>
          <w:color w:val="auto"/>
          <w:w w:val="9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华文中宋" w:cs="Times New Roman"/>
          <w:color w:val="auto"/>
          <w:w w:val="90"/>
          <w:sz w:val="44"/>
          <w:szCs w:val="44"/>
          <w:lang w:val="en-US" w:eastAsia="zh-CN"/>
        </w:rPr>
      </w:pPr>
    </w:p>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方正黑体_GBK" w:hAnsi="方正黑体_GBK" w:eastAsia="方正黑体_GBK" w:cs="方正黑体_GBK"/>
          <w:color w:val="auto"/>
          <w:w w:val="100"/>
          <w:sz w:val="32"/>
          <w:szCs w:val="32"/>
          <w:lang w:val="en-US" w:eastAsia="zh-CN"/>
        </w:rPr>
      </w:pPr>
      <w:r>
        <w:rPr>
          <w:rFonts w:hint="eastAsia" w:ascii="方正黑体_GBK" w:hAnsi="方正黑体_GBK" w:eastAsia="方正黑体_GBK" w:cs="方正黑体_GBK"/>
          <w:color w:val="auto"/>
          <w:w w:val="100"/>
          <w:sz w:val="32"/>
          <w:szCs w:val="32"/>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0" w:firstLineChars="0"/>
        <w:jc w:val="both"/>
        <w:textAlignment w:val="auto"/>
        <w:outlineLvl w:val="9"/>
        <w:rPr>
          <w:rFonts w:hint="eastAsia" w:ascii="黑体" w:hAnsi="黑体" w:eastAsia="黑体" w:cs="黑体"/>
          <w:snapToGrid w:val="0"/>
          <w:color w:val="auto"/>
          <w:w w:val="100"/>
          <w:kern w:val="0"/>
          <w:sz w:val="32"/>
          <w:szCs w:val="32"/>
          <w:lang w:val="en-US" w:eastAsia="zh-CN"/>
        </w:rPr>
      </w:pPr>
      <w:r>
        <w:rPr>
          <w:rFonts w:hint="eastAsia" w:ascii="黑体" w:hAnsi="黑体" w:eastAsia="黑体" w:cs="黑体"/>
          <w:snapToGrid w:val="0"/>
          <w:color w:val="auto"/>
          <w:w w:val="100"/>
          <w:kern w:val="0"/>
          <w:sz w:val="32"/>
          <w:szCs w:val="32"/>
          <w:lang w:val="en-US" w:eastAsia="zh-CN"/>
        </w:rPr>
        <w:t>附件3-2</w:t>
      </w: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jc w:val="both"/>
        <w:textAlignment w:val="auto"/>
        <w:outlineLvl w:val="9"/>
        <w:rPr>
          <w:rFonts w:hint="eastAsia" w:ascii="仿宋_GB2312" w:hAnsi="仿宋_GB2312" w:eastAsia="仿宋_GB2312" w:cs="仿宋_GB2312"/>
          <w:snapToGrid w:val="0"/>
          <w:color w:val="auto"/>
          <w:w w:val="100"/>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0" w:firstLineChars="0"/>
        <w:jc w:val="center"/>
        <w:textAlignment w:val="auto"/>
        <w:outlineLvl w:val="9"/>
        <w:rPr>
          <w:rFonts w:hint="eastAsia" w:ascii="方正小标宋简体" w:hAnsi="方正小标宋简体" w:eastAsia="方正小标宋简体" w:cs="方正小标宋简体"/>
          <w:snapToGrid w:val="0"/>
          <w:color w:val="auto"/>
          <w:w w:val="100"/>
          <w:kern w:val="0"/>
          <w:sz w:val="44"/>
          <w:szCs w:val="44"/>
        </w:rPr>
      </w:pPr>
      <w:r>
        <w:rPr>
          <w:rFonts w:hint="eastAsia" w:ascii="方正小标宋简体" w:hAnsi="方正小标宋简体" w:eastAsia="方正小标宋简体" w:cs="方正小标宋简体"/>
          <w:snapToGrid w:val="0"/>
          <w:color w:val="auto"/>
          <w:w w:val="100"/>
          <w:kern w:val="0"/>
          <w:sz w:val="44"/>
          <w:szCs w:val="44"/>
          <w:lang w:val="en-US" w:eastAsia="zh-CN"/>
        </w:rPr>
        <w:t>XXX</w:t>
      </w:r>
      <w:r>
        <w:rPr>
          <w:rFonts w:hint="eastAsia" w:ascii="方正小标宋简体" w:hAnsi="方正小标宋简体" w:eastAsia="方正小标宋简体" w:cs="方正小标宋简体"/>
          <w:snapToGrid w:val="0"/>
          <w:color w:val="auto"/>
          <w:w w:val="100"/>
          <w:kern w:val="0"/>
          <w:sz w:val="44"/>
          <w:szCs w:val="44"/>
          <w:lang w:eastAsia="zh-CN"/>
        </w:rPr>
        <w:t>种业创新园</w:t>
      </w:r>
      <w:r>
        <w:rPr>
          <w:rFonts w:hint="eastAsia" w:ascii="方正小标宋简体" w:hAnsi="方正小标宋简体" w:eastAsia="方正小标宋简体" w:cs="方正小标宋简体"/>
          <w:snapToGrid w:val="0"/>
          <w:color w:val="auto"/>
          <w:w w:val="100"/>
          <w:kern w:val="0"/>
          <w:sz w:val="44"/>
          <w:szCs w:val="44"/>
        </w:rPr>
        <w:t>项目</w:t>
      </w: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0" w:firstLineChars="0"/>
        <w:jc w:val="center"/>
        <w:textAlignment w:val="auto"/>
        <w:outlineLvl w:val="9"/>
        <w:rPr>
          <w:rFonts w:hint="eastAsia" w:ascii="方正小标宋简体" w:hAnsi="方正小标宋简体" w:eastAsia="方正小标宋简体" w:cs="方正小标宋简体"/>
          <w:snapToGrid w:val="0"/>
          <w:color w:val="auto"/>
          <w:w w:val="100"/>
          <w:kern w:val="0"/>
          <w:sz w:val="44"/>
          <w:szCs w:val="44"/>
        </w:rPr>
      </w:pPr>
      <w:r>
        <w:rPr>
          <w:rFonts w:hint="eastAsia" w:ascii="方正小标宋简体" w:hAnsi="方正小标宋简体" w:eastAsia="方正小标宋简体" w:cs="方正小标宋简体"/>
          <w:snapToGrid w:val="0"/>
          <w:color w:val="auto"/>
          <w:w w:val="100"/>
          <w:kern w:val="0"/>
          <w:sz w:val="44"/>
          <w:szCs w:val="44"/>
        </w:rPr>
        <w:t>申报单位及申报人科研诚信承诺书</w:t>
      </w:r>
    </w:p>
    <w:p>
      <w:pPr>
        <w:pStyle w:val="7"/>
        <w:adjustRightInd w:val="0"/>
        <w:snapToGrid w:val="0"/>
        <w:spacing w:after="0" w:afterLines="0" w:line="590" w:lineRule="exact"/>
        <w:ind w:firstLine="640" w:firstLineChars="200"/>
        <w:rPr>
          <w:rFonts w:hint="eastAsia" w:ascii="仿宋_GB2312" w:hAnsi="仿宋_GB2312" w:eastAsia="仿宋_GB2312" w:cs="仿宋_GB2312"/>
          <w:snapToGrid w:val="0"/>
          <w:color w:val="auto"/>
          <w:kern w:val="0"/>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本单位、本人根据广东省农业农村厅</w:t>
      </w:r>
      <w:r>
        <w:rPr>
          <w:rFonts w:hint="eastAsia" w:ascii="仿宋_GB2312" w:hAnsi="仿宋_GB2312" w:eastAsia="仿宋_GB2312" w:cs="仿宋_GB2312"/>
          <w:snapToGrid w:val="0"/>
          <w:color w:val="auto"/>
          <w:kern w:val="0"/>
          <w:sz w:val="32"/>
          <w:szCs w:val="32"/>
          <w:lang w:val="en-US" w:eastAsia="zh-CN"/>
        </w:rPr>
        <w:t>财政专项</w:t>
      </w:r>
      <w:r>
        <w:rPr>
          <w:rFonts w:hint="eastAsia" w:ascii="仿宋_GB2312" w:hAnsi="仿宋_GB2312" w:eastAsia="仿宋_GB2312" w:cs="仿宋_GB2312"/>
          <w:snapToGrid w:val="0"/>
          <w:color w:val="auto"/>
          <w:kern w:val="0"/>
          <w:sz w:val="32"/>
          <w:szCs w:val="32"/>
          <w:lang w:val="zh-CN"/>
        </w:rPr>
        <w:t>管理办法，并在认真阅读理解广东省财政经费预算管理相关文件及有关财务规章制度基础上，自愿提交项目(课题)申报材料。本单位、本人在此</w:t>
      </w:r>
      <w:r>
        <w:rPr>
          <w:rFonts w:hint="eastAsia" w:ascii="仿宋_GB2312" w:hAnsi="仿宋_GB2312" w:eastAsia="仿宋_GB2312" w:cs="仿宋_GB2312"/>
          <w:b/>
          <w:bCs/>
          <w:snapToGrid w:val="0"/>
          <w:color w:val="auto"/>
          <w:kern w:val="0"/>
          <w:sz w:val="32"/>
          <w:szCs w:val="32"/>
          <w:lang w:val="zh-CN"/>
        </w:rPr>
        <w:t>郑重承诺</w:t>
      </w:r>
      <w:r>
        <w:rPr>
          <w:rFonts w:hint="eastAsia" w:ascii="仿宋_GB2312" w:hAnsi="仿宋_GB2312" w:eastAsia="仿宋_GB2312" w:cs="仿宋_GB2312"/>
          <w:snapToGrid w:val="0"/>
          <w:color w:val="auto"/>
          <w:kern w:val="0"/>
          <w:sz w:val="32"/>
          <w:szCs w:val="32"/>
          <w:lang w:val="zh-CN"/>
        </w:rPr>
        <w:t>：所申报材料内容真实有效，不存在科研不端、违反科研伦理行为和虚假、虚高编报项目预算行为；申报材料符合《中华人民共和国保守国家秘密法》和《科学技术保密规定》等相关法律法规。若申报材料内容信息失实、执行项目中违反规定，本单位、本人将承担相关责任。在参与广东省农业</w:t>
      </w:r>
      <w:r>
        <w:rPr>
          <w:rFonts w:hint="eastAsia" w:ascii="仿宋_GB2312" w:hAnsi="仿宋_GB2312" w:eastAsia="仿宋_GB2312" w:cs="仿宋_GB2312"/>
          <w:snapToGrid w:val="0"/>
          <w:color w:val="auto"/>
          <w:kern w:val="0"/>
          <w:sz w:val="32"/>
          <w:szCs w:val="32"/>
          <w:lang w:val="en-US" w:eastAsia="zh-CN"/>
        </w:rPr>
        <w:t>农村</w:t>
      </w:r>
      <w:r>
        <w:rPr>
          <w:rFonts w:hint="eastAsia" w:ascii="仿宋_GB2312" w:hAnsi="仿宋_GB2312" w:eastAsia="仿宋_GB2312" w:cs="仿宋_GB2312"/>
          <w:snapToGrid w:val="0"/>
          <w:color w:val="auto"/>
          <w:kern w:val="0"/>
          <w:sz w:val="32"/>
          <w:szCs w:val="32"/>
          <w:lang w:val="zh-CN"/>
        </w:rPr>
        <w:t>厅项目申报、评审、立项、实施、验收过程中，遵守有关评审规则和工作纪律，杜绝以下行为：</w:t>
      </w: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（一）采取造假、剽窃、故意重复申报等不正当手段获取项目承担资格。</w:t>
      </w: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（二）以任何形式探听未公开的评审专家名单及其他评审过程中的保密信息，干扰评审或可能影响评审公正性的活动。</w:t>
      </w: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（三）在实施过程中，随意降低目标任务和约定要求。</w:t>
      </w: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（四）抵触、不配合科研不端行为调查工作。</w:t>
      </w: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（五）以次充好，虚构科研成果、证件、协议书、审计报告等验收材料，或以实施周期外、不相关的成果冲抵交差。</w:t>
      </w: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w:t>
      </w:r>
      <w:r>
        <w:rPr>
          <w:rFonts w:hint="eastAsia" w:ascii="仿宋_GB2312" w:hAnsi="仿宋_GB2312" w:eastAsia="仿宋_GB2312" w:cs="仿宋_GB2312"/>
          <w:snapToGrid w:val="0"/>
          <w:color w:val="auto"/>
          <w:kern w:val="0"/>
          <w:sz w:val="32"/>
          <w:szCs w:val="32"/>
          <w:lang w:val="en-US" w:eastAsia="zh-CN"/>
        </w:rPr>
        <w:t>六）</w:t>
      </w:r>
      <w:r>
        <w:rPr>
          <w:rFonts w:hint="eastAsia" w:ascii="仿宋_GB2312" w:hAnsi="仿宋_GB2312" w:eastAsia="仿宋_GB2312" w:cs="仿宋_GB2312"/>
          <w:snapToGrid w:val="0"/>
          <w:color w:val="auto"/>
          <w:kern w:val="0"/>
          <w:sz w:val="32"/>
          <w:szCs w:val="32"/>
          <w:lang w:val="zh-CN"/>
        </w:rPr>
        <w:t>其它违反财经纪律和相关管理规定的行为。</w:t>
      </w: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spacing w:val="0"/>
          <w:kern w:val="0"/>
          <w:sz w:val="32"/>
          <w:szCs w:val="32"/>
          <w:lang w:val="zh-CN"/>
        </w:rPr>
      </w:pPr>
      <w:r>
        <w:rPr>
          <w:rFonts w:hint="eastAsia" w:ascii="仿宋_GB2312" w:hAnsi="仿宋_GB2312" w:eastAsia="仿宋_GB2312" w:cs="仿宋_GB2312"/>
          <w:snapToGrid w:val="0"/>
          <w:color w:val="auto"/>
          <w:kern w:val="0"/>
          <w:sz w:val="32"/>
          <w:szCs w:val="32"/>
          <w:lang w:val="zh-CN"/>
        </w:rPr>
        <w:t>如有违反，本单位、本人愿接受相关部门做出的各项处理决定，包括但不限于取消项目(课题)承担资格追回剩余项目(课题)经费，向社会通报违规情况，一定期限内取消项目申报资格，记</w:t>
      </w:r>
      <w:r>
        <w:rPr>
          <w:rFonts w:hint="eastAsia" w:ascii="仿宋_GB2312" w:hAnsi="仿宋_GB2312" w:eastAsia="仿宋_GB2312" w:cs="仿宋_GB2312"/>
          <w:snapToGrid w:val="0"/>
          <w:color w:val="auto"/>
          <w:spacing w:val="0"/>
          <w:kern w:val="0"/>
          <w:sz w:val="32"/>
          <w:szCs w:val="32"/>
          <w:lang w:val="zh-CN"/>
        </w:rPr>
        <w:t>入科研诚信严重失信行为数据库以及接受相应的党纪政纪处理等。</w:t>
      </w: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 xml:space="preserve">项目单位（盖章）： </w:t>
      </w: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 xml:space="preserve">项目负责人签字： </w:t>
      </w: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p>
    <w:p>
      <w:pPr>
        <w:keepNext w:val="0"/>
        <w:keepLines w:val="0"/>
        <w:pageBreakBefore w:val="0"/>
        <w:widowControl w:val="0"/>
        <w:kinsoku/>
        <w:wordWrap/>
        <w:overflowPunct/>
        <w:topLinePunct w:val="0"/>
        <w:autoSpaceDE/>
        <w:autoSpaceDN/>
        <w:bidi w:val="0"/>
        <w:adjustRightInd w:val="0"/>
        <w:snapToGrid w:val="0"/>
        <w:spacing w:afterLines="0"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zh-CN"/>
        </w:rPr>
        <w:t xml:space="preserve">年  月  </w:t>
      </w:r>
      <w:r>
        <w:rPr>
          <w:rFonts w:hint="eastAsia" w:ascii="仿宋_GB2312" w:hAnsi="仿宋_GB2312" w:eastAsia="仿宋_GB2312" w:cs="仿宋_GB2312"/>
          <w:snapToGrid w:val="0"/>
          <w:color w:val="auto"/>
          <w:kern w:val="0"/>
          <w:sz w:val="32"/>
          <w:szCs w:val="32"/>
          <w:lang w:val="en-US" w:eastAsia="zh-CN"/>
        </w:rPr>
        <w:t xml:space="preserve"> 日</w:t>
      </w:r>
    </w:p>
    <w:p>
      <w:pPr>
        <w:pStyle w:val="2"/>
        <w:adjustRightInd w:val="0"/>
        <w:snapToGrid w:val="0"/>
        <w:spacing w:after="0" w:line="590" w:lineRule="exact"/>
        <w:ind w:left="0" w:leftChars="0" w:firstLine="640"/>
        <w:rPr>
          <w:rFonts w:hint="eastAsia" w:ascii="仿宋_GB2312" w:hAnsi="仿宋_GB2312" w:eastAsia="仿宋_GB2312" w:cs="仿宋_GB2312"/>
          <w:snapToGrid w:val="0"/>
          <w:color w:val="auto"/>
          <w:kern w:val="0"/>
          <w:sz w:val="32"/>
          <w:szCs w:val="32"/>
          <w:lang w:val="en-US" w:eastAsia="zh-CN"/>
        </w:rPr>
      </w:pPr>
    </w:p>
    <w:p>
      <w:pPr>
        <w:pStyle w:val="2"/>
        <w:adjustRightInd w:val="0"/>
        <w:snapToGrid w:val="0"/>
        <w:spacing w:after="0" w:line="590" w:lineRule="exact"/>
        <w:ind w:left="0" w:leftChars="0" w:firstLine="640"/>
        <w:rPr>
          <w:rFonts w:hint="eastAsia" w:ascii="仿宋_GB2312" w:hAnsi="仿宋_GB2312" w:eastAsia="仿宋_GB2312" w:cs="仿宋_GB2312"/>
          <w:snapToGrid w:val="0"/>
          <w:color w:val="auto"/>
          <w:kern w:val="0"/>
          <w:sz w:val="32"/>
          <w:szCs w:val="32"/>
          <w:lang w:val="en-US" w:eastAsia="zh-CN"/>
        </w:rPr>
      </w:pPr>
    </w:p>
    <w:p>
      <w:pPr>
        <w:pStyle w:val="2"/>
        <w:adjustRightInd w:val="0"/>
        <w:snapToGrid w:val="0"/>
        <w:spacing w:after="0" w:line="590" w:lineRule="exact"/>
        <w:ind w:left="0" w:leftChars="0" w:firstLine="640"/>
        <w:rPr>
          <w:rFonts w:hint="eastAsia" w:ascii="仿宋_GB2312" w:hAnsi="仿宋_GB2312" w:eastAsia="仿宋_GB2312" w:cs="仿宋_GB2312"/>
          <w:snapToGrid w:val="0"/>
          <w:color w:val="auto"/>
          <w:kern w:val="0"/>
          <w:sz w:val="32"/>
          <w:szCs w:val="32"/>
          <w:lang w:val="en-US" w:eastAsia="zh-CN"/>
        </w:rPr>
      </w:pPr>
    </w:p>
    <w:p>
      <w:pPr>
        <w:pStyle w:val="2"/>
        <w:adjustRightInd w:val="0"/>
        <w:snapToGrid w:val="0"/>
        <w:spacing w:after="0" w:line="590" w:lineRule="exact"/>
        <w:ind w:left="0" w:leftChars="0" w:firstLine="640"/>
        <w:rPr>
          <w:rFonts w:hint="eastAsia" w:ascii="仿宋_GB2312" w:hAnsi="仿宋_GB2312" w:eastAsia="仿宋_GB2312" w:cs="仿宋_GB2312"/>
          <w:snapToGrid w:val="0"/>
          <w:color w:val="auto"/>
          <w:kern w:val="0"/>
          <w:sz w:val="32"/>
          <w:szCs w:val="32"/>
          <w:lang w:val="en-US" w:eastAsia="zh-CN"/>
        </w:rPr>
      </w:pPr>
    </w:p>
    <w:p>
      <w:pPr>
        <w:pStyle w:val="2"/>
        <w:rPr>
          <w:rFonts w:hint="eastAsia" w:ascii="Times New Roman" w:hAnsi="Times New Roman" w:eastAsia="仿宋_GB2312" w:cs="Times New Roman"/>
          <w:color w:val="auto"/>
          <w:sz w:val="32"/>
          <w:szCs w:val="32"/>
          <w:lang w:val="en-US" w:eastAsia="zh-CN"/>
        </w:rPr>
      </w:pPr>
    </w:p>
    <w:p>
      <w:pPr>
        <w:pStyle w:val="2"/>
        <w:rPr>
          <w:rFonts w:hint="eastAsia" w:ascii="Times New Roman" w:hAnsi="Times New Roman" w:eastAsia="仿宋_GB2312" w:cs="Times New Roman"/>
          <w:color w:val="auto"/>
          <w:sz w:val="32"/>
          <w:szCs w:val="32"/>
          <w:lang w:val="en-US" w:eastAsia="zh-CN"/>
        </w:rPr>
        <w:sectPr>
          <w:pgSz w:w="11906" w:h="16838"/>
          <w:pgMar w:top="1871" w:right="1531" w:bottom="1871" w:left="1531" w:header="851" w:footer="1417" w:gutter="0"/>
          <w:pgNumType w:fmt="decimal"/>
          <w:cols w:space="0" w:num="1"/>
          <w:titlePg/>
          <w:rtlGutter w:val="0"/>
          <w:docGrid w:type="lines" w:linePitch="595" w:charSpace="0"/>
        </w:sectPr>
      </w:pPr>
    </w:p>
    <w:p>
      <w:pPr>
        <w:pStyle w:val="11"/>
        <w:widowControl w:val="0"/>
        <w:numPr>
          <w:ilvl w:val="0"/>
          <w:numId w:val="0"/>
        </w:numPr>
        <w:shd w:val="clear" w:color="auto" w:fill="auto"/>
        <w:adjustRightInd w:val="0"/>
        <w:snapToGrid w:val="0"/>
        <w:spacing w:before="0" w:beforeAutospacing="0" w:after="0" w:afterAutospacing="0" w:line="568" w:lineRule="exact"/>
        <w:ind w:leftChars="0" w:right="0" w:rightChars="0"/>
        <w:jc w:val="both"/>
        <w:rPr>
          <w:rFonts w:hint="eastAsia" w:ascii="黑体" w:hAnsi="黑体" w:eastAsia="黑体" w:cs="黑体"/>
          <w:b w:val="0"/>
          <w:bCs w:val="0"/>
          <w:snapToGrid w:val="0"/>
          <w:color w:val="auto"/>
          <w:spacing w:val="-20"/>
          <w:kern w:val="44"/>
          <w:sz w:val="32"/>
          <w:szCs w:val="32"/>
          <w:highlight w:val="none"/>
          <w:lang w:val="en-US" w:eastAsia="zh-CN" w:bidi="ar-SA"/>
        </w:rPr>
      </w:pPr>
      <w:r>
        <w:rPr>
          <w:rFonts w:hint="eastAsia" w:ascii="黑体" w:hAnsi="黑体" w:eastAsia="黑体" w:cs="黑体"/>
          <w:b w:val="0"/>
          <w:bCs w:val="0"/>
          <w:snapToGrid w:val="0"/>
          <w:color w:val="auto"/>
          <w:spacing w:val="-20"/>
          <w:kern w:val="44"/>
          <w:sz w:val="32"/>
          <w:szCs w:val="32"/>
          <w:highlight w:val="none"/>
          <w:lang w:val="en-US" w:eastAsia="zh-CN" w:bidi="ar-SA"/>
        </w:rPr>
        <w:t>附件4</w:t>
      </w:r>
    </w:p>
    <w:p>
      <w:pPr>
        <w:pStyle w:val="11"/>
        <w:widowControl w:val="0"/>
        <w:numPr>
          <w:ilvl w:val="0"/>
          <w:numId w:val="0"/>
        </w:numPr>
        <w:shd w:val="clear" w:color="auto" w:fill="auto"/>
        <w:adjustRightInd w:val="0"/>
        <w:snapToGrid w:val="0"/>
        <w:spacing w:before="0" w:beforeAutospacing="0" w:after="0" w:afterAutospacing="0" w:line="568" w:lineRule="exact"/>
        <w:ind w:leftChars="0" w:right="0" w:rightChars="0"/>
        <w:jc w:val="both"/>
        <w:rPr>
          <w:rFonts w:hint="eastAsia" w:ascii="方正小标宋简体" w:hAnsi="方正小标宋简体" w:eastAsia="方正小标宋简体" w:cs="方正小标宋简体"/>
          <w:snapToGrid w:val="0"/>
          <w:color w:val="auto"/>
          <w:spacing w:val="-20"/>
          <w:kern w:val="44"/>
          <w:sz w:val="48"/>
          <w:szCs w:val="48"/>
          <w:highlight w:val="none"/>
          <w:lang w:val="en-US" w:eastAsia="zh-CN" w:bidi="ar-SA"/>
        </w:rPr>
      </w:pPr>
    </w:p>
    <w:p>
      <w:pPr>
        <w:pStyle w:val="11"/>
        <w:widowControl w:val="0"/>
        <w:numPr>
          <w:ilvl w:val="0"/>
          <w:numId w:val="0"/>
        </w:numPr>
        <w:shd w:val="clear" w:color="auto" w:fill="auto"/>
        <w:adjustRightInd w:val="0"/>
        <w:snapToGrid w:val="0"/>
        <w:spacing w:before="0" w:beforeAutospacing="0" w:after="0" w:afterAutospacing="0" w:line="568" w:lineRule="exact"/>
        <w:ind w:leftChars="0" w:right="0" w:rightChars="0"/>
        <w:jc w:val="center"/>
        <w:rPr>
          <w:rFonts w:hint="eastAsia" w:ascii="方正小标宋简体" w:hAnsi="方正小标宋简体" w:eastAsia="方正小标宋简体" w:cs="方正小标宋简体"/>
          <w:b w:val="0"/>
          <w:bCs w:val="0"/>
          <w:snapToGrid w:val="0"/>
          <w:color w:val="auto"/>
          <w:spacing w:val="-20"/>
          <w:kern w:val="44"/>
          <w:sz w:val="44"/>
          <w:szCs w:val="44"/>
          <w:highlight w:val="none"/>
          <w:lang w:val="en-US" w:eastAsia="zh-CN" w:bidi="ar-SA"/>
        </w:rPr>
      </w:pPr>
      <w:r>
        <w:rPr>
          <w:rFonts w:hint="eastAsia" w:ascii="方正小标宋简体" w:hAnsi="方正小标宋简体" w:eastAsia="方正小标宋简体" w:cs="方正小标宋简体"/>
          <w:b w:val="0"/>
          <w:bCs w:val="0"/>
          <w:snapToGrid w:val="0"/>
          <w:color w:val="auto"/>
          <w:spacing w:val="-20"/>
          <w:kern w:val="44"/>
          <w:sz w:val="44"/>
          <w:szCs w:val="44"/>
          <w:highlight w:val="none"/>
          <w:lang w:val="en-US" w:eastAsia="zh-CN" w:bidi="ar-SA"/>
        </w:rPr>
        <w:t>2022-2023年省级种业振兴行动项目入库申报汇总表</w:t>
      </w:r>
    </w:p>
    <w:p>
      <w:pPr>
        <w:pStyle w:val="11"/>
        <w:widowControl w:val="0"/>
        <w:numPr>
          <w:ilvl w:val="0"/>
          <w:numId w:val="0"/>
        </w:numPr>
        <w:shd w:val="clear" w:color="auto" w:fill="auto"/>
        <w:adjustRightInd w:val="0"/>
        <w:snapToGrid w:val="0"/>
        <w:spacing w:before="0" w:beforeAutospacing="0" w:after="0" w:afterAutospacing="0" w:line="568" w:lineRule="exact"/>
        <w:ind w:leftChars="0" w:right="0" w:rightChars="0"/>
        <w:jc w:val="center"/>
        <w:rPr>
          <w:rFonts w:hint="eastAsia" w:ascii="方正小标宋简体" w:hAnsi="方正小标宋简体" w:eastAsia="方正小标宋简体" w:cs="方正小标宋简体"/>
          <w:b w:val="0"/>
          <w:bCs w:val="0"/>
          <w:snapToGrid w:val="0"/>
          <w:color w:val="auto"/>
          <w:spacing w:val="-20"/>
          <w:kern w:val="44"/>
          <w:sz w:val="44"/>
          <w:szCs w:val="44"/>
          <w:highlight w:val="none"/>
          <w:lang w:val="en-US" w:eastAsia="zh-CN" w:bidi="ar-SA"/>
        </w:rPr>
      </w:pPr>
    </w:p>
    <w:p>
      <w:pPr>
        <w:pStyle w:val="11"/>
        <w:widowControl w:val="0"/>
        <w:numPr>
          <w:ilvl w:val="0"/>
          <w:numId w:val="0"/>
        </w:numPr>
        <w:shd w:val="clear" w:color="auto" w:fill="auto"/>
        <w:adjustRightInd w:val="0"/>
        <w:snapToGrid w:val="0"/>
        <w:spacing w:before="0" w:beforeAutospacing="0" w:after="0" w:afterAutospacing="0" w:line="568" w:lineRule="exact"/>
        <w:ind w:leftChars="0" w:right="0" w:rightChars="0" w:firstLine="720" w:firstLineChars="300"/>
        <w:jc w:val="both"/>
        <w:rPr>
          <w:rFonts w:hint="eastAsia" w:ascii="仿宋_GB2312" w:hAnsi="仿宋_GB2312" w:eastAsia="仿宋_GB2312" w:cs="仿宋_GB2312"/>
          <w:b w:val="0"/>
          <w:bCs w:val="0"/>
          <w:snapToGrid w:val="0"/>
          <w:color w:val="auto"/>
          <w:spacing w:val="0"/>
          <w:kern w:val="0"/>
          <w:sz w:val="24"/>
          <w:szCs w:val="24"/>
          <w:highlight w:val="none"/>
          <w:lang w:val="en-US" w:eastAsia="zh-CN" w:bidi="ar-SA"/>
        </w:rPr>
      </w:pPr>
      <w:r>
        <w:rPr>
          <w:rFonts w:hint="eastAsia" w:ascii="仿宋_GB2312" w:hAnsi="仿宋_GB2312" w:eastAsia="仿宋_GB2312" w:cs="仿宋_GB2312"/>
          <w:b w:val="0"/>
          <w:bCs w:val="0"/>
          <w:snapToGrid w:val="0"/>
          <w:color w:val="auto"/>
          <w:spacing w:val="0"/>
          <w:kern w:val="0"/>
          <w:sz w:val="24"/>
          <w:szCs w:val="24"/>
          <w:highlight w:val="none"/>
          <w:lang w:val="en-US" w:eastAsia="zh-CN" w:bidi="ar-SA"/>
        </w:rPr>
        <w:t>填报单位（地级市农业农村局/省直及中央驻粤单位）：（盖章）</w:t>
      </w:r>
    </w:p>
    <w:tbl>
      <w:tblPr>
        <w:tblStyle w:val="13"/>
        <w:tblpPr w:leftFromText="180" w:rightFromText="180" w:vertAnchor="text" w:horzAnchor="page" w:tblpX="2221" w:tblpY="867"/>
        <w:tblOverlap w:val="never"/>
        <w:tblW w:w="12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768"/>
        <w:gridCol w:w="1089"/>
        <w:gridCol w:w="1411"/>
        <w:gridCol w:w="1250"/>
        <w:gridCol w:w="1178"/>
        <w:gridCol w:w="1817"/>
        <w:gridCol w:w="1249"/>
        <w:gridCol w:w="1603"/>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Align w:val="center"/>
          </w:tcPr>
          <w:p>
            <w:pPr>
              <w:keepNext w:val="0"/>
              <w:keepLines w:val="0"/>
              <w:widowControl w:val="0"/>
              <w:suppressLineNumbers w:val="0"/>
              <w:adjustRightInd w:val="0"/>
              <w:snapToGrid w:val="0"/>
              <w:jc w:val="center"/>
              <w:textAlignment w:val="center"/>
              <w:rPr>
                <w:rFonts w:hint="eastAsia" w:ascii="黑体" w:hAnsi="宋体" w:eastAsia="黑体" w:cs="黑体"/>
                <w:i w:val="0"/>
                <w:color w:val="auto"/>
                <w:kern w:val="0"/>
                <w:sz w:val="20"/>
                <w:szCs w:val="20"/>
                <w:u w:val="none"/>
                <w:lang w:val="en-US" w:eastAsia="zh-CN" w:bidi="ar"/>
              </w:rPr>
            </w:pPr>
            <w:r>
              <w:rPr>
                <w:rFonts w:hint="eastAsia" w:ascii="黑体" w:hAnsi="宋体" w:eastAsia="黑体" w:cs="黑体"/>
                <w:i w:val="0"/>
                <w:color w:val="auto"/>
                <w:kern w:val="0"/>
                <w:sz w:val="20"/>
                <w:szCs w:val="20"/>
                <w:u w:val="none"/>
                <w:lang w:val="en-US" w:eastAsia="zh-CN" w:bidi="ar"/>
              </w:rPr>
              <w:t>所属年份</w:t>
            </w:r>
          </w:p>
        </w:tc>
        <w:tc>
          <w:tcPr>
            <w:tcW w:w="768" w:type="dxa"/>
            <w:vAlign w:val="center"/>
          </w:tcPr>
          <w:p>
            <w:pPr>
              <w:keepNext w:val="0"/>
              <w:keepLines w:val="0"/>
              <w:widowControl w:val="0"/>
              <w:suppressLineNumbers w:val="0"/>
              <w:adjustRightInd w:val="0"/>
              <w:snapToGrid w:val="0"/>
              <w:jc w:val="center"/>
              <w:textAlignment w:val="center"/>
              <w:rPr>
                <w:rFonts w:hint="eastAsia" w:ascii="黑体" w:hAnsi="宋体" w:eastAsia="黑体" w:cs="黑体"/>
                <w:i w:val="0"/>
                <w:color w:val="auto"/>
                <w:kern w:val="0"/>
                <w:sz w:val="20"/>
                <w:szCs w:val="20"/>
                <w:u w:val="none"/>
                <w:lang w:val="en-US" w:eastAsia="zh-CN" w:bidi="ar"/>
              </w:rPr>
            </w:pPr>
            <w:r>
              <w:rPr>
                <w:rFonts w:hint="eastAsia" w:ascii="黑体" w:hAnsi="宋体" w:eastAsia="黑体" w:cs="黑体"/>
                <w:i w:val="0"/>
                <w:color w:val="auto"/>
                <w:kern w:val="0"/>
                <w:sz w:val="20"/>
                <w:szCs w:val="20"/>
                <w:u w:val="none"/>
                <w:lang w:val="en-US" w:eastAsia="zh-CN" w:bidi="ar"/>
              </w:rPr>
              <w:t>序号</w:t>
            </w:r>
          </w:p>
        </w:tc>
        <w:tc>
          <w:tcPr>
            <w:tcW w:w="1089" w:type="dxa"/>
            <w:vAlign w:val="center"/>
          </w:tcPr>
          <w:p>
            <w:pPr>
              <w:keepNext w:val="0"/>
              <w:keepLines w:val="0"/>
              <w:widowControl w:val="0"/>
              <w:suppressLineNumbers w:val="0"/>
              <w:adjustRightInd w:val="0"/>
              <w:snapToGrid w:val="0"/>
              <w:jc w:val="center"/>
              <w:textAlignment w:val="center"/>
              <w:rPr>
                <w:rFonts w:hint="eastAsia" w:ascii="黑体" w:hAnsi="黑体" w:eastAsia="黑体" w:cs="黑体"/>
                <w:i w:val="0"/>
                <w:color w:val="auto"/>
                <w:kern w:val="0"/>
                <w:sz w:val="20"/>
                <w:szCs w:val="20"/>
                <w:u w:val="none"/>
                <w:lang w:val="en-US" w:eastAsia="zh-CN" w:bidi="ar"/>
              </w:rPr>
            </w:pPr>
            <w:r>
              <w:rPr>
                <w:rFonts w:hint="eastAsia" w:ascii="黑体" w:hAnsi="黑体" w:eastAsia="黑体" w:cs="黑体"/>
                <w:i w:val="0"/>
                <w:color w:val="auto"/>
                <w:kern w:val="0"/>
                <w:sz w:val="20"/>
                <w:szCs w:val="20"/>
                <w:u w:val="none"/>
                <w:lang w:val="en-US" w:eastAsia="zh-CN" w:bidi="ar"/>
              </w:rPr>
              <w:t>项目类型</w:t>
            </w:r>
          </w:p>
        </w:tc>
        <w:tc>
          <w:tcPr>
            <w:tcW w:w="1411" w:type="dxa"/>
            <w:vAlign w:val="center"/>
          </w:tcPr>
          <w:p>
            <w:pPr>
              <w:keepNext w:val="0"/>
              <w:keepLines w:val="0"/>
              <w:widowControl w:val="0"/>
              <w:suppressLineNumbers w:val="0"/>
              <w:adjustRightInd w:val="0"/>
              <w:snapToGrid w:val="0"/>
              <w:jc w:val="center"/>
              <w:textAlignment w:val="center"/>
              <w:rPr>
                <w:rFonts w:hint="eastAsia" w:ascii="黑体" w:hAnsi="黑体" w:eastAsia="黑体" w:cs="黑体"/>
                <w:i w:val="0"/>
                <w:color w:val="auto"/>
                <w:kern w:val="0"/>
                <w:sz w:val="20"/>
                <w:szCs w:val="20"/>
                <w:u w:val="none"/>
                <w:lang w:val="en-US" w:eastAsia="zh-CN" w:bidi="ar"/>
              </w:rPr>
            </w:pPr>
            <w:r>
              <w:rPr>
                <w:rFonts w:hint="eastAsia" w:ascii="黑体" w:hAnsi="黑体" w:eastAsia="黑体" w:cs="黑体"/>
                <w:i w:val="0"/>
                <w:color w:val="auto"/>
                <w:kern w:val="0"/>
                <w:sz w:val="20"/>
                <w:szCs w:val="20"/>
                <w:u w:val="none"/>
                <w:lang w:val="en-US" w:eastAsia="zh-CN" w:bidi="ar"/>
              </w:rPr>
              <w:t>扶持品种</w:t>
            </w:r>
          </w:p>
        </w:tc>
        <w:tc>
          <w:tcPr>
            <w:tcW w:w="1250" w:type="dxa"/>
            <w:vAlign w:val="center"/>
          </w:tcPr>
          <w:p>
            <w:pPr>
              <w:keepNext w:val="0"/>
              <w:keepLines w:val="0"/>
              <w:widowControl w:val="0"/>
              <w:suppressLineNumbers w:val="0"/>
              <w:adjustRightInd w:val="0"/>
              <w:snapToGrid w:val="0"/>
              <w:jc w:val="center"/>
              <w:textAlignment w:val="center"/>
              <w:rPr>
                <w:rFonts w:hint="eastAsia" w:ascii="黑体" w:hAnsi="黑体" w:eastAsia="黑体" w:cs="黑体"/>
                <w:i w:val="0"/>
                <w:color w:val="auto"/>
                <w:kern w:val="0"/>
                <w:sz w:val="20"/>
                <w:szCs w:val="20"/>
                <w:u w:val="none"/>
                <w:lang w:val="en-US" w:eastAsia="zh-CN" w:bidi="ar"/>
              </w:rPr>
            </w:pPr>
            <w:r>
              <w:rPr>
                <w:rFonts w:hint="eastAsia" w:ascii="黑体" w:hAnsi="黑体" w:eastAsia="黑体" w:cs="黑体"/>
                <w:i w:val="0"/>
                <w:color w:val="auto"/>
                <w:kern w:val="0"/>
                <w:sz w:val="20"/>
                <w:szCs w:val="20"/>
                <w:u w:val="none"/>
                <w:lang w:val="en-US" w:eastAsia="zh-CN" w:bidi="ar"/>
              </w:rPr>
              <w:t>项目名称</w:t>
            </w:r>
          </w:p>
        </w:tc>
        <w:tc>
          <w:tcPr>
            <w:tcW w:w="1178" w:type="dxa"/>
            <w:vAlign w:val="center"/>
          </w:tcPr>
          <w:p>
            <w:pPr>
              <w:keepNext w:val="0"/>
              <w:keepLines w:val="0"/>
              <w:widowControl w:val="0"/>
              <w:suppressLineNumbers w:val="0"/>
              <w:adjustRightInd w:val="0"/>
              <w:snapToGrid w:val="0"/>
              <w:jc w:val="center"/>
              <w:textAlignment w:val="center"/>
              <w:rPr>
                <w:rFonts w:hint="eastAsia" w:ascii="黑体" w:hAnsi="黑体" w:eastAsia="黑体" w:cs="黑体"/>
                <w:i w:val="0"/>
                <w:color w:val="auto"/>
                <w:kern w:val="0"/>
                <w:sz w:val="20"/>
                <w:szCs w:val="20"/>
                <w:u w:val="none"/>
                <w:lang w:val="en-US" w:eastAsia="zh-CN" w:bidi="ar"/>
              </w:rPr>
            </w:pPr>
            <w:r>
              <w:rPr>
                <w:rFonts w:hint="eastAsia" w:ascii="黑体" w:hAnsi="黑体" w:eastAsia="黑体" w:cs="黑体"/>
                <w:i w:val="0"/>
                <w:color w:val="auto"/>
                <w:kern w:val="0"/>
                <w:sz w:val="20"/>
                <w:szCs w:val="20"/>
                <w:u w:val="none"/>
                <w:lang w:val="en-US" w:eastAsia="zh-CN" w:bidi="ar"/>
              </w:rPr>
              <w:t>项目牵头申报单位</w:t>
            </w:r>
          </w:p>
        </w:tc>
        <w:tc>
          <w:tcPr>
            <w:tcW w:w="1817" w:type="dxa"/>
            <w:vAlign w:val="center"/>
          </w:tcPr>
          <w:p>
            <w:pPr>
              <w:keepNext w:val="0"/>
              <w:keepLines w:val="0"/>
              <w:widowControl w:val="0"/>
              <w:suppressLineNumbers w:val="0"/>
              <w:adjustRightInd w:val="0"/>
              <w:snapToGrid w:val="0"/>
              <w:jc w:val="center"/>
              <w:textAlignment w:val="center"/>
              <w:rPr>
                <w:rFonts w:hint="eastAsia" w:ascii="黑体" w:hAnsi="黑体" w:eastAsia="黑体" w:cs="黑体"/>
                <w:i w:val="0"/>
                <w:color w:val="auto"/>
                <w:kern w:val="0"/>
                <w:sz w:val="20"/>
                <w:szCs w:val="20"/>
                <w:u w:val="none"/>
                <w:lang w:val="en-US" w:eastAsia="zh-CN" w:bidi="ar"/>
              </w:rPr>
            </w:pPr>
            <w:r>
              <w:rPr>
                <w:rFonts w:hint="eastAsia" w:ascii="黑体" w:hAnsi="黑体" w:eastAsia="黑体" w:cs="黑体"/>
                <w:i w:val="0"/>
                <w:color w:val="auto"/>
                <w:kern w:val="0"/>
                <w:sz w:val="20"/>
                <w:szCs w:val="20"/>
                <w:u w:val="none"/>
                <w:lang w:val="en-US" w:eastAsia="zh-CN" w:bidi="ar"/>
              </w:rPr>
              <w:t>项目负责人</w:t>
            </w:r>
          </w:p>
        </w:tc>
        <w:tc>
          <w:tcPr>
            <w:tcW w:w="1249" w:type="dxa"/>
            <w:vAlign w:val="center"/>
          </w:tcPr>
          <w:p>
            <w:pPr>
              <w:keepNext w:val="0"/>
              <w:keepLines w:val="0"/>
              <w:widowControl w:val="0"/>
              <w:suppressLineNumbers w:val="0"/>
              <w:adjustRightInd w:val="0"/>
              <w:snapToGrid w:val="0"/>
              <w:jc w:val="center"/>
              <w:textAlignment w:val="center"/>
              <w:rPr>
                <w:rFonts w:hint="eastAsia" w:ascii="黑体" w:hAnsi="黑体" w:eastAsia="黑体" w:cs="黑体"/>
                <w:i w:val="0"/>
                <w:color w:val="auto"/>
                <w:kern w:val="0"/>
                <w:sz w:val="20"/>
                <w:szCs w:val="20"/>
                <w:u w:val="none"/>
                <w:lang w:val="en-US" w:eastAsia="zh-CN" w:bidi="ar"/>
              </w:rPr>
            </w:pPr>
            <w:r>
              <w:rPr>
                <w:rFonts w:hint="eastAsia" w:ascii="黑体" w:hAnsi="黑体" w:eastAsia="黑体" w:cs="黑体"/>
                <w:i w:val="0"/>
                <w:color w:val="auto"/>
                <w:kern w:val="0"/>
                <w:sz w:val="20"/>
                <w:szCs w:val="20"/>
                <w:u w:val="none"/>
                <w:lang w:val="en-US" w:eastAsia="zh-CN" w:bidi="ar"/>
              </w:rPr>
              <w:t>建设内容</w:t>
            </w:r>
          </w:p>
          <w:p>
            <w:pPr>
              <w:keepNext w:val="0"/>
              <w:keepLines w:val="0"/>
              <w:widowControl w:val="0"/>
              <w:suppressLineNumbers w:val="0"/>
              <w:adjustRightInd w:val="0"/>
              <w:snapToGrid w:val="0"/>
              <w:jc w:val="center"/>
              <w:textAlignment w:val="center"/>
              <w:rPr>
                <w:rFonts w:hint="eastAsia" w:ascii="黑体" w:hAnsi="黑体" w:eastAsia="黑体" w:cs="黑体"/>
                <w:i w:val="0"/>
                <w:color w:val="auto"/>
                <w:kern w:val="0"/>
                <w:sz w:val="20"/>
                <w:szCs w:val="20"/>
                <w:u w:val="none"/>
                <w:lang w:val="en-US" w:eastAsia="zh-CN" w:bidi="ar"/>
              </w:rPr>
            </w:pPr>
            <w:r>
              <w:rPr>
                <w:rFonts w:hint="eastAsia" w:ascii="黑体" w:hAnsi="黑体" w:eastAsia="黑体" w:cs="黑体"/>
                <w:i w:val="0"/>
                <w:color w:val="auto"/>
                <w:kern w:val="0"/>
                <w:sz w:val="20"/>
                <w:szCs w:val="20"/>
                <w:u w:val="none"/>
                <w:lang w:val="en-US" w:eastAsia="zh-CN" w:bidi="ar"/>
              </w:rPr>
              <w:t>（限100字以内）</w:t>
            </w:r>
          </w:p>
        </w:tc>
        <w:tc>
          <w:tcPr>
            <w:tcW w:w="1603" w:type="dxa"/>
            <w:vAlign w:val="center"/>
          </w:tcPr>
          <w:p>
            <w:pPr>
              <w:keepNext w:val="0"/>
              <w:keepLines w:val="0"/>
              <w:widowControl w:val="0"/>
              <w:suppressLineNumbers w:val="0"/>
              <w:adjustRightInd w:val="0"/>
              <w:snapToGrid w:val="0"/>
              <w:jc w:val="center"/>
              <w:textAlignment w:val="center"/>
              <w:rPr>
                <w:rFonts w:hint="eastAsia" w:ascii="黑体" w:hAnsi="黑体" w:eastAsia="黑体" w:cs="黑体"/>
                <w:i w:val="0"/>
                <w:color w:val="auto"/>
                <w:kern w:val="0"/>
                <w:sz w:val="20"/>
                <w:szCs w:val="20"/>
                <w:u w:val="none"/>
                <w:lang w:val="en-US" w:eastAsia="zh-CN" w:bidi="ar"/>
              </w:rPr>
            </w:pPr>
            <w:r>
              <w:rPr>
                <w:rFonts w:hint="eastAsia" w:ascii="黑体" w:hAnsi="黑体" w:eastAsia="黑体" w:cs="黑体"/>
                <w:i w:val="0"/>
                <w:color w:val="auto"/>
                <w:kern w:val="0"/>
                <w:sz w:val="20"/>
                <w:szCs w:val="20"/>
                <w:u w:val="none"/>
                <w:lang w:val="en-US" w:eastAsia="zh-CN" w:bidi="ar"/>
              </w:rPr>
              <w:t>绩效</w:t>
            </w:r>
          </w:p>
          <w:p>
            <w:pPr>
              <w:keepNext w:val="0"/>
              <w:keepLines w:val="0"/>
              <w:widowControl w:val="0"/>
              <w:suppressLineNumbers w:val="0"/>
              <w:adjustRightInd w:val="0"/>
              <w:snapToGrid w:val="0"/>
              <w:jc w:val="center"/>
              <w:textAlignment w:val="center"/>
              <w:rPr>
                <w:rFonts w:hint="eastAsia" w:ascii="黑体" w:hAnsi="黑体" w:eastAsia="黑体" w:cs="黑体"/>
                <w:i w:val="0"/>
                <w:color w:val="auto"/>
                <w:kern w:val="0"/>
                <w:sz w:val="20"/>
                <w:szCs w:val="20"/>
                <w:u w:val="none"/>
                <w:lang w:val="en-US" w:eastAsia="zh-CN" w:bidi="ar"/>
              </w:rPr>
            </w:pPr>
            <w:r>
              <w:rPr>
                <w:rFonts w:hint="eastAsia" w:ascii="黑体" w:hAnsi="黑体" w:eastAsia="黑体" w:cs="黑体"/>
                <w:i w:val="0"/>
                <w:color w:val="auto"/>
                <w:kern w:val="0"/>
                <w:sz w:val="20"/>
                <w:szCs w:val="20"/>
                <w:u w:val="none"/>
                <w:lang w:val="en-US" w:eastAsia="zh-CN" w:bidi="ar"/>
              </w:rPr>
              <w:t>（限100字以内）</w:t>
            </w:r>
          </w:p>
        </w:tc>
        <w:tc>
          <w:tcPr>
            <w:tcW w:w="1223" w:type="dxa"/>
            <w:vAlign w:val="center"/>
          </w:tcPr>
          <w:p>
            <w:pPr>
              <w:keepNext w:val="0"/>
              <w:keepLines w:val="0"/>
              <w:widowControl w:val="0"/>
              <w:suppressLineNumbers w:val="0"/>
              <w:adjustRightInd w:val="0"/>
              <w:snapToGrid w:val="0"/>
              <w:jc w:val="center"/>
              <w:textAlignment w:val="center"/>
              <w:rPr>
                <w:rFonts w:hint="eastAsia" w:ascii="黑体" w:hAnsi="黑体" w:eastAsia="黑体" w:cs="黑体"/>
                <w:i w:val="0"/>
                <w:color w:val="auto"/>
                <w:kern w:val="0"/>
                <w:sz w:val="20"/>
                <w:szCs w:val="20"/>
                <w:u w:val="none"/>
                <w:lang w:val="en-US" w:eastAsia="zh-CN" w:bidi="ar"/>
              </w:rPr>
            </w:pPr>
            <w:r>
              <w:rPr>
                <w:rFonts w:hint="eastAsia" w:ascii="黑体" w:hAnsi="黑体" w:eastAsia="黑体" w:cs="黑体"/>
                <w:i w:val="0"/>
                <w:color w:val="auto"/>
                <w:kern w:val="0"/>
                <w:sz w:val="20"/>
                <w:szCs w:val="20"/>
                <w:u w:val="none"/>
                <w:lang w:val="en-US" w:eastAsia="zh-CN" w:bidi="ar"/>
              </w:rPr>
              <w:t>申请金额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Align w:val="top"/>
          </w:tcPr>
          <w:p>
            <w:pPr>
              <w:adjustRightInd w:val="0"/>
              <w:snapToGrid w:val="0"/>
              <w:rPr>
                <w:rFonts w:hint="eastAsia"/>
                <w:color w:val="auto"/>
                <w:vertAlign w:val="baseline"/>
              </w:rPr>
            </w:pPr>
          </w:p>
        </w:tc>
        <w:tc>
          <w:tcPr>
            <w:tcW w:w="768" w:type="dxa"/>
            <w:vAlign w:val="top"/>
          </w:tcPr>
          <w:p>
            <w:pPr>
              <w:adjustRightInd w:val="0"/>
              <w:snapToGrid w:val="0"/>
              <w:rPr>
                <w:rFonts w:hint="eastAsia"/>
                <w:color w:val="auto"/>
                <w:vertAlign w:val="baseline"/>
              </w:rPr>
            </w:pPr>
          </w:p>
        </w:tc>
        <w:tc>
          <w:tcPr>
            <w:tcW w:w="1089" w:type="dxa"/>
            <w:vAlign w:val="top"/>
          </w:tcPr>
          <w:p>
            <w:pPr>
              <w:adjustRightInd w:val="0"/>
              <w:snapToGrid w:val="0"/>
              <w:rPr>
                <w:rFonts w:hint="eastAsia"/>
                <w:color w:val="auto"/>
                <w:vertAlign w:val="baseline"/>
              </w:rPr>
            </w:pPr>
          </w:p>
        </w:tc>
        <w:tc>
          <w:tcPr>
            <w:tcW w:w="1411" w:type="dxa"/>
            <w:vAlign w:val="top"/>
          </w:tcPr>
          <w:p>
            <w:pPr>
              <w:adjustRightInd w:val="0"/>
              <w:snapToGrid w:val="0"/>
              <w:rPr>
                <w:rFonts w:hint="eastAsia"/>
                <w:color w:val="auto"/>
                <w:vertAlign w:val="baseline"/>
              </w:rPr>
            </w:pPr>
          </w:p>
        </w:tc>
        <w:tc>
          <w:tcPr>
            <w:tcW w:w="1250" w:type="dxa"/>
            <w:vAlign w:val="top"/>
          </w:tcPr>
          <w:p>
            <w:pPr>
              <w:adjustRightInd w:val="0"/>
              <w:snapToGrid w:val="0"/>
              <w:rPr>
                <w:rFonts w:hint="eastAsia"/>
                <w:color w:val="auto"/>
                <w:vertAlign w:val="baseline"/>
              </w:rPr>
            </w:pPr>
          </w:p>
        </w:tc>
        <w:tc>
          <w:tcPr>
            <w:tcW w:w="1178" w:type="dxa"/>
            <w:vAlign w:val="top"/>
          </w:tcPr>
          <w:p>
            <w:pPr>
              <w:adjustRightInd w:val="0"/>
              <w:snapToGrid w:val="0"/>
              <w:rPr>
                <w:rFonts w:hint="eastAsia"/>
                <w:color w:val="auto"/>
                <w:vertAlign w:val="baseline"/>
              </w:rPr>
            </w:pPr>
          </w:p>
        </w:tc>
        <w:tc>
          <w:tcPr>
            <w:tcW w:w="1817" w:type="dxa"/>
            <w:vAlign w:val="top"/>
          </w:tcPr>
          <w:p>
            <w:pPr>
              <w:adjustRightInd w:val="0"/>
              <w:snapToGrid w:val="0"/>
              <w:rPr>
                <w:rFonts w:hint="eastAsia"/>
                <w:color w:val="auto"/>
                <w:vertAlign w:val="baseline"/>
              </w:rPr>
            </w:pPr>
          </w:p>
        </w:tc>
        <w:tc>
          <w:tcPr>
            <w:tcW w:w="1249" w:type="dxa"/>
            <w:vAlign w:val="top"/>
          </w:tcPr>
          <w:p>
            <w:pPr>
              <w:adjustRightInd w:val="0"/>
              <w:snapToGrid w:val="0"/>
              <w:rPr>
                <w:rFonts w:hint="eastAsia"/>
                <w:color w:val="auto"/>
                <w:vertAlign w:val="baseline"/>
              </w:rPr>
            </w:pPr>
          </w:p>
        </w:tc>
        <w:tc>
          <w:tcPr>
            <w:tcW w:w="1603" w:type="dxa"/>
            <w:vAlign w:val="top"/>
          </w:tcPr>
          <w:p>
            <w:pPr>
              <w:adjustRightInd w:val="0"/>
              <w:snapToGrid w:val="0"/>
              <w:rPr>
                <w:rFonts w:hint="eastAsia"/>
                <w:color w:val="auto"/>
                <w:vertAlign w:val="baseline"/>
              </w:rPr>
            </w:pPr>
          </w:p>
        </w:tc>
        <w:tc>
          <w:tcPr>
            <w:tcW w:w="1223" w:type="dxa"/>
            <w:vAlign w:val="top"/>
          </w:tcPr>
          <w:p>
            <w:pPr>
              <w:adjustRightInd w:val="0"/>
              <w:snapToGrid w:val="0"/>
              <w:rPr>
                <w:rFonts w:hint="eastAsia"/>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Align w:val="top"/>
          </w:tcPr>
          <w:p>
            <w:pPr>
              <w:adjustRightInd w:val="0"/>
              <w:snapToGrid w:val="0"/>
              <w:rPr>
                <w:rFonts w:hint="eastAsia"/>
                <w:color w:val="auto"/>
                <w:vertAlign w:val="baseline"/>
              </w:rPr>
            </w:pPr>
          </w:p>
        </w:tc>
        <w:tc>
          <w:tcPr>
            <w:tcW w:w="768" w:type="dxa"/>
            <w:vAlign w:val="top"/>
          </w:tcPr>
          <w:p>
            <w:pPr>
              <w:adjustRightInd w:val="0"/>
              <w:snapToGrid w:val="0"/>
              <w:rPr>
                <w:rFonts w:hint="eastAsia"/>
                <w:color w:val="auto"/>
                <w:vertAlign w:val="baseline"/>
              </w:rPr>
            </w:pPr>
          </w:p>
        </w:tc>
        <w:tc>
          <w:tcPr>
            <w:tcW w:w="1089" w:type="dxa"/>
            <w:vAlign w:val="top"/>
          </w:tcPr>
          <w:p>
            <w:pPr>
              <w:adjustRightInd w:val="0"/>
              <w:snapToGrid w:val="0"/>
              <w:rPr>
                <w:rFonts w:hint="eastAsia"/>
                <w:color w:val="auto"/>
                <w:vertAlign w:val="baseline"/>
              </w:rPr>
            </w:pPr>
          </w:p>
        </w:tc>
        <w:tc>
          <w:tcPr>
            <w:tcW w:w="1411" w:type="dxa"/>
            <w:vAlign w:val="top"/>
          </w:tcPr>
          <w:p>
            <w:pPr>
              <w:adjustRightInd w:val="0"/>
              <w:snapToGrid w:val="0"/>
              <w:rPr>
                <w:rFonts w:hint="eastAsia"/>
                <w:color w:val="auto"/>
                <w:vertAlign w:val="baseline"/>
              </w:rPr>
            </w:pPr>
          </w:p>
        </w:tc>
        <w:tc>
          <w:tcPr>
            <w:tcW w:w="1250" w:type="dxa"/>
            <w:vAlign w:val="top"/>
          </w:tcPr>
          <w:p>
            <w:pPr>
              <w:adjustRightInd w:val="0"/>
              <w:snapToGrid w:val="0"/>
              <w:rPr>
                <w:rFonts w:hint="eastAsia"/>
                <w:color w:val="auto"/>
                <w:vertAlign w:val="baseline"/>
              </w:rPr>
            </w:pPr>
          </w:p>
        </w:tc>
        <w:tc>
          <w:tcPr>
            <w:tcW w:w="1178" w:type="dxa"/>
            <w:vAlign w:val="top"/>
          </w:tcPr>
          <w:p>
            <w:pPr>
              <w:adjustRightInd w:val="0"/>
              <w:snapToGrid w:val="0"/>
              <w:rPr>
                <w:rFonts w:hint="eastAsia"/>
                <w:color w:val="auto"/>
                <w:vertAlign w:val="baseline"/>
              </w:rPr>
            </w:pPr>
          </w:p>
        </w:tc>
        <w:tc>
          <w:tcPr>
            <w:tcW w:w="1817" w:type="dxa"/>
            <w:vAlign w:val="top"/>
          </w:tcPr>
          <w:p>
            <w:pPr>
              <w:adjustRightInd w:val="0"/>
              <w:snapToGrid w:val="0"/>
              <w:rPr>
                <w:rFonts w:hint="eastAsia"/>
                <w:color w:val="auto"/>
                <w:vertAlign w:val="baseline"/>
              </w:rPr>
            </w:pPr>
          </w:p>
        </w:tc>
        <w:tc>
          <w:tcPr>
            <w:tcW w:w="1249" w:type="dxa"/>
            <w:vAlign w:val="top"/>
          </w:tcPr>
          <w:p>
            <w:pPr>
              <w:adjustRightInd w:val="0"/>
              <w:snapToGrid w:val="0"/>
              <w:rPr>
                <w:rFonts w:hint="eastAsia"/>
                <w:color w:val="auto"/>
                <w:vertAlign w:val="baseline"/>
              </w:rPr>
            </w:pPr>
          </w:p>
        </w:tc>
        <w:tc>
          <w:tcPr>
            <w:tcW w:w="1603" w:type="dxa"/>
            <w:vAlign w:val="top"/>
          </w:tcPr>
          <w:p>
            <w:pPr>
              <w:adjustRightInd w:val="0"/>
              <w:snapToGrid w:val="0"/>
              <w:rPr>
                <w:rFonts w:hint="eastAsia"/>
                <w:color w:val="auto"/>
                <w:vertAlign w:val="baseline"/>
              </w:rPr>
            </w:pPr>
          </w:p>
        </w:tc>
        <w:tc>
          <w:tcPr>
            <w:tcW w:w="1223" w:type="dxa"/>
            <w:vAlign w:val="top"/>
          </w:tcPr>
          <w:p>
            <w:pPr>
              <w:adjustRightInd w:val="0"/>
              <w:snapToGrid w:val="0"/>
              <w:rPr>
                <w:rFonts w:hint="eastAsia"/>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Align w:val="top"/>
          </w:tcPr>
          <w:p>
            <w:pPr>
              <w:adjustRightInd w:val="0"/>
              <w:snapToGrid w:val="0"/>
              <w:rPr>
                <w:rFonts w:hint="eastAsia"/>
                <w:color w:val="auto"/>
                <w:vertAlign w:val="baseline"/>
              </w:rPr>
            </w:pPr>
          </w:p>
        </w:tc>
        <w:tc>
          <w:tcPr>
            <w:tcW w:w="768" w:type="dxa"/>
            <w:vAlign w:val="top"/>
          </w:tcPr>
          <w:p>
            <w:pPr>
              <w:adjustRightInd w:val="0"/>
              <w:snapToGrid w:val="0"/>
              <w:rPr>
                <w:rFonts w:hint="eastAsia"/>
                <w:color w:val="auto"/>
                <w:vertAlign w:val="baseline"/>
              </w:rPr>
            </w:pPr>
          </w:p>
        </w:tc>
        <w:tc>
          <w:tcPr>
            <w:tcW w:w="1089" w:type="dxa"/>
            <w:vAlign w:val="top"/>
          </w:tcPr>
          <w:p>
            <w:pPr>
              <w:adjustRightInd w:val="0"/>
              <w:snapToGrid w:val="0"/>
              <w:rPr>
                <w:rFonts w:hint="eastAsia"/>
                <w:color w:val="auto"/>
                <w:vertAlign w:val="baseline"/>
              </w:rPr>
            </w:pPr>
          </w:p>
        </w:tc>
        <w:tc>
          <w:tcPr>
            <w:tcW w:w="1411" w:type="dxa"/>
            <w:vAlign w:val="top"/>
          </w:tcPr>
          <w:p>
            <w:pPr>
              <w:adjustRightInd w:val="0"/>
              <w:snapToGrid w:val="0"/>
              <w:rPr>
                <w:rFonts w:hint="eastAsia"/>
                <w:color w:val="auto"/>
                <w:vertAlign w:val="baseline"/>
              </w:rPr>
            </w:pPr>
          </w:p>
        </w:tc>
        <w:tc>
          <w:tcPr>
            <w:tcW w:w="1250" w:type="dxa"/>
            <w:vAlign w:val="top"/>
          </w:tcPr>
          <w:p>
            <w:pPr>
              <w:adjustRightInd w:val="0"/>
              <w:snapToGrid w:val="0"/>
              <w:rPr>
                <w:rFonts w:hint="eastAsia"/>
                <w:color w:val="auto"/>
                <w:vertAlign w:val="baseline"/>
              </w:rPr>
            </w:pPr>
          </w:p>
        </w:tc>
        <w:tc>
          <w:tcPr>
            <w:tcW w:w="1178" w:type="dxa"/>
            <w:vAlign w:val="top"/>
          </w:tcPr>
          <w:p>
            <w:pPr>
              <w:adjustRightInd w:val="0"/>
              <w:snapToGrid w:val="0"/>
              <w:rPr>
                <w:rFonts w:hint="eastAsia"/>
                <w:color w:val="auto"/>
                <w:vertAlign w:val="baseline"/>
              </w:rPr>
            </w:pPr>
          </w:p>
        </w:tc>
        <w:tc>
          <w:tcPr>
            <w:tcW w:w="1817" w:type="dxa"/>
            <w:vAlign w:val="top"/>
          </w:tcPr>
          <w:p>
            <w:pPr>
              <w:adjustRightInd w:val="0"/>
              <w:snapToGrid w:val="0"/>
              <w:rPr>
                <w:rFonts w:hint="eastAsia"/>
                <w:color w:val="auto"/>
                <w:vertAlign w:val="baseline"/>
              </w:rPr>
            </w:pPr>
          </w:p>
        </w:tc>
        <w:tc>
          <w:tcPr>
            <w:tcW w:w="1249" w:type="dxa"/>
            <w:vAlign w:val="top"/>
          </w:tcPr>
          <w:p>
            <w:pPr>
              <w:adjustRightInd w:val="0"/>
              <w:snapToGrid w:val="0"/>
              <w:rPr>
                <w:rFonts w:hint="eastAsia"/>
                <w:color w:val="auto"/>
                <w:vertAlign w:val="baseline"/>
              </w:rPr>
            </w:pPr>
          </w:p>
        </w:tc>
        <w:tc>
          <w:tcPr>
            <w:tcW w:w="1603" w:type="dxa"/>
            <w:vAlign w:val="top"/>
          </w:tcPr>
          <w:p>
            <w:pPr>
              <w:adjustRightInd w:val="0"/>
              <w:snapToGrid w:val="0"/>
              <w:rPr>
                <w:rFonts w:hint="eastAsia"/>
                <w:color w:val="auto"/>
                <w:vertAlign w:val="baseline"/>
              </w:rPr>
            </w:pPr>
          </w:p>
        </w:tc>
        <w:tc>
          <w:tcPr>
            <w:tcW w:w="1223" w:type="dxa"/>
            <w:vAlign w:val="top"/>
          </w:tcPr>
          <w:p>
            <w:pPr>
              <w:adjustRightInd w:val="0"/>
              <w:snapToGrid w:val="0"/>
              <w:rPr>
                <w:rFonts w:hint="eastAsia"/>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Align w:val="top"/>
          </w:tcPr>
          <w:p>
            <w:pPr>
              <w:adjustRightInd w:val="0"/>
              <w:snapToGrid w:val="0"/>
              <w:rPr>
                <w:rFonts w:hint="eastAsia"/>
                <w:color w:val="auto"/>
                <w:vertAlign w:val="baseline"/>
              </w:rPr>
            </w:pPr>
          </w:p>
        </w:tc>
        <w:tc>
          <w:tcPr>
            <w:tcW w:w="768" w:type="dxa"/>
            <w:vAlign w:val="top"/>
          </w:tcPr>
          <w:p>
            <w:pPr>
              <w:adjustRightInd w:val="0"/>
              <w:snapToGrid w:val="0"/>
              <w:rPr>
                <w:rFonts w:hint="eastAsia"/>
                <w:color w:val="auto"/>
                <w:vertAlign w:val="baseline"/>
              </w:rPr>
            </w:pPr>
          </w:p>
        </w:tc>
        <w:tc>
          <w:tcPr>
            <w:tcW w:w="1089" w:type="dxa"/>
            <w:vAlign w:val="top"/>
          </w:tcPr>
          <w:p>
            <w:pPr>
              <w:adjustRightInd w:val="0"/>
              <w:snapToGrid w:val="0"/>
              <w:rPr>
                <w:rFonts w:hint="eastAsia"/>
                <w:color w:val="auto"/>
                <w:vertAlign w:val="baseline"/>
              </w:rPr>
            </w:pPr>
          </w:p>
        </w:tc>
        <w:tc>
          <w:tcPr>
            <w:tcW w:w="1411" w:type="dxa"/>
            <w:vAlign w:val="top"/>
          </w:tcPr>
          <w:p>
            <w:pPr>
              <w:adjustRightInd w:val="0"/>
              <w:snapToGrid w:val="0"/>
              <w:rPr>
                <w:rFonts w:hint="eastAsia"/>
                <w:color w:val="auto"/>
                <w:vertAlign w:val="baseline"/>
              </w:rPr>
            </w:pPr>
          </w:p>
        </w:tc>
        <w:tc>
          <w:tcPr>
            <w:tcW w:w="1250" w:type="dxa"/>
            <w:vAlign w:val="top"/>
          </w:tcPr>
          <w:p>
            <w:pPr>
              <w:adjustRightInd w:val="0"/>
              <w:snapToGrid w:val="0"/>
              <w:rPr>
                <w:rFonts w:hint="eastAsia"/>
                <w:color w:val="auto"/>
                <w:vertAlign w:val="baseline"/>
              </w:rPr>
            </w:pPr>
          </w:p>
        </w:tc>
        <w:tc>
          <w:tcPr>
            <w:tcW w:w="1178" w:type="dxa"/>
            <w:vAlign w:val="top"/>
          </w:tcPr>
          <w:p>
            <w:pPr>
              <w:adjustRightInd w:val="0"/>
              <w:snapToGrid w:val="0"/>
              <w:rPr>
                <w:rFonts w:hint="eastAsia"/>
                <w:color w:val="auto"/>
                <w:vertAlign w:val="baseline"/>
              </w:rPr>
            </w:pPr>
          </w:p>
        </w:tc>
        <w:tc>
          <w:tcPr>
            <w:tcW w:w="1817" w:type="dxa"/>
            <w:vAlign w:val="top"/>
          </w:tcPr>
          <w:p>
            <w:pPr>
              <w:adjustRightInd w:val="0"/>
              <w:snapToGrid w:val="0"/>
              <w:rPr>
                <w:rFonts w:hint="eastAsia"/>
                <w:color w:val="auto"/>
                <w:vertAlign w:val="baseline"/>
              </w:rPr>
            </w:pPr>
          </w:p>
        </w:tc>
        <w:tc>
          <w:tcPr>
            <w:tcW w:w="1249" w:type="dxa"/>
            <w:vAlign w:val="top"/>
          </w:tcPr>
          <w:p>
            <w:pPr>
              <w:adjustRightInd w:val="0"/>
              <w:snapToGrid w:val="0"/>
              <w:rPr>
                <w:rFonts w:hint="eastAsia"/>
                <w:color w:val="auto"/>
                <w:vertAlign w:val="baseline"/>
              </w:rPr>
            </w:pPr>
          </w:p>
        </w:tc>
        <w:tc>
          <w:tcPr>
            <w:tcW w:w="1603" w:type="dxa"/>
            <w:vAlign w:val="top"/>
          </w:tcPr>
          <w:p>
            <w:pPr>
              <w:adjustRightInd w:val="0"/>
              <w:snapToGrid w:val="0"/>
              <w:rPr>
                <w:rFonts w:hint="eastAsia"/>
                <w:color w:val="auto"/>
                <w:vertAlign w:val="baseline"/>
              </w:rPr>
            </w:pPr>
          </w:p>
        </w:tc>
        <w:tc>
          <w:tcPr>
            <w:tcW w:w="1223" w:type="dxa"/>
            <w:vAlign w:val="top"/>
          </w:tcPr>
          <w:p>
            <w:pPr>
              <w:adjustRightInd w:val="0"/>
              <w:snapToGrid w:val="0"/>
              <w:rPr>
                <w:rFonts w:hint="eastAsia"/>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Align w:val="top"/>
          </w:tcPr>
          <w:p>
            <w:pPr>
              <w:adjustRightInd w:val="0"/>
              <w:snapToGrid w:val="0"/>
              <w:rPr>
                <w:rFonts w:hint="eastAsia"/>
                <w:color w:val="auto"/>
                <w:vertAlign w:val="baseline"/>
              </w:rPr>
            </w:pPr>
          </w:p>
        </w:tc>
        <w:tc>
          <w:tcPr>
            <w:tcW w:w="768" w:type="dxa"/>
            <w:vAlign w:val="top"/>
          </w:tcPr>
          <w:p>
            <w:pPr>
              <w:adjustRightInd w:val="0"/>
              <w:snapToGrid w:val="0"/>
              <w:rPr>
                <w:rFonts w:hint="eastAsia"/>
                <w:color w:val="auto"/>
                <w:vertAlign w:val="baseline"/>
              </w:rPr>
            </w:pPr>
          </w:p>
        </w:tc>
        <w:tc>
          <w:tcPr>
            <w:tcW w:w="1089" w:type="dxa"/>
            <w:vAlign w:val="top"/>
          </w:tcPr>
          <w:p>
            <w:pPr>
              <w:adjustRightInd w:val="0"/>
              <w:snapToGrid w:val="0"/>
              <w:rPr>
                <w:rFonts w:hint="eastAsia"/>
                <w:color w:val="auto"/>
                <w:vertAlign w:val="baseline"/>
              </w:rPr>
            </w:pPr>
          </w:p>
        </w:tc>
        <w:tc>
          <w:tcPr>
            <w:tcW w:w="1411" w:type="dxa"/>
            <w:vAlign w:val="top"/>
          </w:tcPr>
          <w:p>
            <w:pPr>
              <w:adjustRightInd w:val="0"/>
              <w:snapToGrid w:val="0"/>
              <w:rPr>
                <w:rFonts w:hint="eastAsia"/>
                <w:color w:val="auto"/>
                <w:vertAlign w:val="baseline"/>
              </w:rPr>
            </w:pPr>
          </w:p>
        </w:tc>
        <w:tc>
          <w:tcPr>
            <w:tcW w:w="1250" w:type="dxa"/>
            <w:vAlign w:val="top"/>
          </w:tcPr>
          <w:p>
            <w:pPr>
              <w:adjustRightInd w:val="0"/>
              <w:snapToGrid w:val="0"/>
              <w:rPr>
                <w:rFonts w:hint="eastAsia"/>
                <w:color w:val="auto"/>
                <w:vertAlign w:val="baseline"/>
              </w:rPr>
            </w:pPr>
          </w:p>
        </w:tc>
        <w:tc>
          <w:tcPr>
            <w:tcW w:w="1178" w:type="dxa"/>
            <w:vAlign w:val="top"/>
          </w:tcPr>
          <w:p>
            <w:pPr>
              <w:adjustRightInd w:val="0"/>
              <w:snapToGrid w:val="0"/>
              <w:rPr>
                <w:rFonts w:hint="eastAsia"/>
                <w:color w:val="auto"/>
                <w:vertAlign w:val="baseline"/>
              </w:rPr>
            </w:pPr>
          </w:p>
        </w:tc>
        <w:tc>
          <w:tcPr>
            <w:tcW w:w="1817" w:type="dxa"/>
            <w:vAlign w:val="top"/>
          </w:tcPr>
          <w:p>
            <w:pPr>
              <w:adjustRightInd w:val="0"/>
              <w:snapToGrid w:val="0"/>
              <w:rPr>
                <w:rFonts w:hint="eastAsia"/>
                <w:color w:val="auto"/>
                <w:vertAlign w:val="baseline"/>
              </w:rPr>
            </w:pPr>
          </w:p>
        </w:tc>
        <w:tc>
          <w:tcPr>
            <w:tcW w:w="1249" w:type="dxa"/>
            <w:vAlign w:val="top"/>
          </w:tcPr>
          <w:p>
            <w:pPr>
              <w:adjustRightInd w:val="0"/>
              <w:snapToGrid w:val="0"/>
              <w:rPr>
                <w:rFonts w:hint="eastAsia"/>
                <w:color w:val="auto"/>
                <w:vertAlign w:val="baseline"/>
              </w:rPr>
            </w:pPr>
          </w:p>
        </w:tc>
        <w:tc>
          <w:tcPr>
            <w:tcW w:w="1603" w:type="dxa"/>
            <w:vAlign w:val="top"/>
          </w:tcPr>
          <w:p>
            <w:pPr>
              <w:adjustRightInd w:val="0"/>
              <w:snapToGrid w:val="0"/>
              <w:rPr>
                <w:rFonts w:hint="eastAsia"/>
                <w:color w:val="auto"/>
                <w:vertAlign w:val="baseline"/>
              </w:rPr>
            </w:pPr>
          </w:p>
        </w:tc>
        <w:tc>
          <w:tcPr>
            <w:tcW w:w="1223" w:type="dxa"/>
            <w:vAlign w:val="top"/>
          </w:tcPr>
          <w:p>
            <w:pPr>
              <w:adjustRightInd w:val="0"/>
              <w:snapToGrid w:val="0"/>
              <w:rPr>
                <w:rFonts w:hint="eastAsia"/>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Align w:val="top"/>
          </w:tcPr>
          <w:p>
            <w:pPr>
              <w:adjustRightInd w:val="0"/>
              <w:snapToGrid w:val="0"/>
              <w:rPr>
                <w:rFonts w:hint="eastAsia"/>
                <w:color w:val="auto"/>
                <w:vertAlign w:val="baseline"/>
              </w:rPr>
            </w:pPr>
          </w:p>
        </w:tc>
        <w:tc>
          <w:tcPr>
            <w:tcW w:w="768" w:type="dxa"/>
            <w:vAlign w:val="top"/>
          </w:tcPr>
          <w:p>
            <w:pPr>
              <w:adjustRightInd w:val="0"/>
              <w:snapToGrid w:val="0"/>
              <w:rPr>
                <w:rFonts w:hint="eastAsia"/>
                <w:color w:val="auto"/>
                <w:vertAlign w:val="baseline"/>
              </w:rPr>
            </w:pPr>
          </w:p>
        </w:tc>
        <w:tc>
          <w:tcPr>
            <w:tcW w:w="1089" w:type="dxa"/>
            <w:vAlign w:val="top"/>
          </w:tcPr>
          <w:p>
            <w:pPr>
              <w:adjustRightInd w:val="0"/>
              <w:snapToGrid w:val="0"/>
              <w:rPr>
                <w:rFonts w:hint="eastAsia"/>
                <w:color w:val="auto"/>
                <w:vertAlign w:val="baseline"/>
              </w:rPr>
            </w:pPr>
          </w:p>
        </w:tc>
        <w:tc>
          <w:tcPr>
            <w:tcW w:w="1411" w:type="dxa"/>
            <w:vAlign w:val="top"/>
          </w:tcPr>
          <w:p>
            <w:pPr>
              <w:adjustRightInd w:val="0"/>
              <w:snapToGrid w:val="0"/>
              <w:rPr>
                <w:rFonts w:hint="eastAsia"/>
                <w:color w:val="auto"/>
                <w:vertAlign w:val="baseline"/>
              </w:rPr>
            </w:pPr>
          </w:p>
        </w:tc>
        <w:tc>
          <w:tcPr>
            <w:tcW w:w="1250" w:type="dxa"/>
            <w:vAlign w:val="top"/>
          </w:tcPr>
          <w:p>
            <w:pPr>
              <w:adjustRightInd w:val="0"/>
              <w:snapToGrid w:val="0"/>
              <w:rPr>
                <w:rFonts w:hint="eastAsia"/>
                <w:color w:val="auto"/>
                <w:vertAlign w:val="baseline"/>
              </w:rPr>
            </w:pPr>
          </w:p>
        </w:tc>
        <w:tc>
          <w:tcPr>
            <w:tcW w:w="1178" w:type="dxa"/>
            <w:vAlign w:val="top"/>
          </w:tcPr>
          <w:p>
            <w:pPr>
              <w:adjustRightInd w:val="0"/>
              <w:snapToGrid w:val="0"/>
              <w:rPr>
                <w:rFonts w:hint="eastAsia"/>
                <w:color w:val="auto"/>
                <w:vertAlign w:val="baseline"/>
              </w:rPr>
            </w:pPr>
          </w:p>
        </w:tc>
        <w:tc>
          <w:tcPr>
            <w:tcW w:w="1817" w:type="dxa"/>
            <w:vAlign w:val="top"/>
          </w:tcPr>
          <w:p>
            <w:pPr>
              <w:adjustRightInd w:val="0"/>
              <w:snapToGrid w:val="0"/>
              <w:rPr>
                <w:rFonts w:hint="eastAsia"/>
                <w:color w:val="auto"/>
                <w:vertAlign w:val="baseline"/>
              </w:rPr>
            </w:pPr>
          </w:p>
        </w:tc>
        <w:tc>
          <w:tcPr>
            <w:tcW w:w="1249" w:type="dxa"/>
            <w:vAlign w:val="top"/>
          </w:tcPr>
          <w:p>
            <w:pPr>
              <w:adjustRightInd w:val="0"/>
              <w:snapToGrid w:val="0"/>
              <w:rPr>
                <w:rFonts w:hint="eastAsia"/>
                <w:color w:val="auto"/>
                <w:vertAlign w:val="baseline"/>
              </w:rPr>
            </w:pPr>
          </w:p>
        </w:tc>
        <w:tc>
          <w:tcPr>
            <w:tcW w:w="1603" w:type="dxa"/>
            <w:vAlign w:val="top"/>
          </w:tcPr>
          <w:p>
            <w:pPr>
              <w:adjustRightInd w:val="0"/>
              <w:snapToGrid w:val="0"/>
              <w:rPr>
                <w:rFonts w:hint="eastAsia"/>
                <w:color w:val="auto"/>
                <w:vertAlign w:val="baseline"/>
              </w:rPr>
            </w:pPr>
          </w:p>
        </w:tc>
        <w:tc>
          <w:tcPr>
            <w:tcW w:w="1223" w:type="dxa"/>
            <w:vAlign w:val="top"/>
          </w:tcPr>
          <w:p>
            <w:pPr>
              <w:adjustRightInd w:val="0"/>
              <w:snapToGrid w:val="0"/>
              <w:rPr>
                <w:rFonts w:hint="eastAsia"/>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Align w:val="top"/>
          </w:tcPr>
          <w:p>
            <w:pPr>
              <w:adjustRightInd w:val="0"/>
              <w:snapToGrid w:val="0"/>
              <w:rPr>
                <w:rFonts w:hint="eastAsia"/>
                <w:color w:val="auto"/>
                <w:vertAlign w:val="baseline"/>
              </w:rPr>
            </w:pPr>
          </w:p>
        </w:tc>
        <w:tc>
          <w:tcPr>
            <w:tcW w:w="768" w:type="dxa"/>
            <w:vAlign w:val="top"/>
          </w:tcPr>
          <w:p>
            <w:pPr>
              <w:adjustRightInd w:val="0"/>
              <w:snapToGrid w:val="0"/>
              <w:rPr>
                <w:rFonts w:hint="eastAsia"/>
                <w:color w:val="auto"/>
                <w:vertAlign w:val="baseline"/>
              </w:rPr>
            </w:pPr>
          </w:p>
        </w:tc>
        <w:tc>
          <w:tcPr>
            <w:tcW w:w="1089" w:type="dxa"/>
            <w:vAlign w:val="top"/>
          </w:tcPr>
          <w:p>
            <w:pPr>
              <w:adjustRightInd w:val="0"/>
              <w:snapToGrid w:val="0"/>
              <w:rPr>
                <w:rFonts w:hint="eastAsia"/>
                <w:color w:val="auto"/>
                <w:vertAlign w:val="baseline"/>
              </w:rPr>
            </w:pPr>
          </w:p>
        </w:tc>
        <w:tc>
          <w:tcPr>
            <w:tcW w:w="1411" w:type="dxa"/>
            <w:vAlign w:val="top"/>
          </w:tcPr>
          <w:p>
            <w:pPr>
              <w:adjustRightInd w:val="0"/>
              <w:snapToGrid w:val="0"/>
              <w:rPr>
                <w:rFonts w:hint="eastAsia"/>
                <w:color w:val="auto"/>
                <w:vertAlign w:val="baseline"/>
              </w:rPr>
            </w:pPr>
          </w:p>
        </w:tc>
        <w:tc>
          <w:tcPr>
            <w:tcW w:w="1250" w:type="dxa"/>
            <w:vAlign w:val="top"/>
          </w:tcPr>
          <w:p>
            <w:pPr>
              <w:adjustRightInd w:val="0"/>
              <w:snapToGrid w:val="0"/>
              <w:rPr>
                <w:rFonts w:hint="eastAsia"/>
                <w:color w:val="auto"/>
                <w:vertAlign w:val="baseline"/>
              </w:rPr>
            </w:pPr>
          </w:p>
        </w:tc>
        <w:tc>
          <w:tcPr>
            <w:tcW w:w="1178" w:type="dxa"/>
            <w:vAlign w:val="top"/>
          </w:tcPr>
          <w:p>
            <w:pPr>
              <w:adjustRightInd w:val="0"/>
              <w:snapToGrid w:val="0"/>
              <w:rPr>
                <w:rFonts w:hint="eastAsia"/>
                <w:color w:val="auto"/>
                <w:vertAlign w:val="baseline"/>
              </w:rPr>
            </w:pPr>
          </w:p>
        </w:tc>
        <w:tc>
          <w:tcPr>
            <w:tcW w:w="1817" w:type="dxa"/>
            <w:vAlign w:val="top"/>
          </w:tcPr>
          <w:p>
            <w:pPr>
              <w:adjustRightInd w:val="0"/>
              <w:snapToGrid w:val="0"/>
              <w:rPr>
                <w:rFonts w:hint="eastAsia"/>
                <w:color w:val="auto"/>
                <w:vertAlign w:val="baseline"/>
              </w:rPr>
            </w:pPr>
          </w:p>
        </w:tc>
        <w:tc>
          <w:tcPr>
            <w:tcW w:w="1249" w:type="dxa"/>
            <w:vAlign w:val="top"/>
          </w:tcPr>
          <w:p>
            <w:pPr>
              <w:adjustRightInd w:val="0"/>
              <w:snapToGrid w:val="0"/>
              <w:rPr>
                <w:rFonts w:hint="eastAsia"/>
                <w:color w:val="auto"/>
                <w:vertAlign w:val="baseline"/>
              </w:rPr>
            </w:pPr>
          </w:p>
        </w:tc>
        <w:tc>
          <w:tcPr>
            <w:tcW w:w="1603" w:type="dxa"/>
            <w:vAlign w:val="top"/>
          </w:tcPr>
          <w:p>
            <w:pPr>
              <w:adjustRightInd w:val="0"/>
              <w:snapToGrid w:val="0"/>
              <w:rPr>
                <w:rFonts w:hint="eastAsia"/>
                <w:color w:val="auto"/>
                <w:vertAlign w:val="baseline"/>
              </w:rPr>
            </w:pPr>
          </w:p>
        </w:tc>
        <w:tc>
          <w:tcPr>
            <w:tcW w:w="1223" w:type="dxa"/>
            <w:vAlign w:val="top"/>
          </w:tcPr>
          <w:p>
            <w:pPr>
              <w:adjustRightInd w:val="0"/>
              <w:snapToGrid w:val="0"/>
              <w:rPr>
                <w:rFonts w:hint="eastAsia"/>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Align w:val="top"/>
          </w:tcPr>
          <w:p>
            <w:pPr>
              <w:adjustRightInd w:val="0"/>
              <w:snapToGrid w:val="0"/>
              <w:rPr>
                <w:rFonts w:hint="eastAsia"/>
                <w:color w:val="auto"/>
                <w:vertAlign w:val="baseline"/>
              </w:rPr>
            </w:pPr>
          </w:p>
        </w:tc>
        <w:tc>
          <w:tcPr>
            <w:tcW w:w="768" w:type="dxa"/>
            <w:vAlign w:val="top"/>
          </w:tcPr>
          <w:p>
            <w:pPr>
              <w:adjustRightInd w:val="0"/>
              <w:snapToGrid w:val="0"/>
              <w:rPr>
                <w:rFonts w:hint="eastAsia"/>
                <w:color w:val="auto"/>
                <w:vertAlign w:val="baseline"/>
              </w:rPr>
            </w:pPr>
          </w:p>
        </w:tc>
        <w:tc>
          <w:tcPr>
            <w:tcW w:w="1089" w:type="dxa"/>
            <w:vAlign w:val="top"/>
          </w:tcPr>
          <w:p>
            <w:pPr>
              <w:adjustRightInd w:val="0"/>
              <w:snapToGrid w:val="0"/>
              <w:rPr>
                <w:rFonts w:hint="eastAsia"/>
                <w:color w:val="auto"/>
                <w:vertAlign w:val="baseline"/>
              </w:rPr>
            </w:pPr>
          </w:p>
        </w:tc>
        <w:tc>
          <w:tcPr>
            <w:tcW w:w="1411" w:type="dxa"/>
            <w:vAlign w:val="top"/>
          </w:tcPr>
          <w:p>
            <w:pPr>
              <w:adjustRightInd w:val="0"/>
              <w:snapToGrid w:val="0"/>
              <w:rPr>
                <w:rFonts w:hint="eastAsia"/>
                <w:color w:val="auto"/>
                <w:vertAlign w:val="baseline"/>
              </w:rPr>
            </w:pPr>
          </w:p>
        </w:tc>
        <w:tc>
          <w:tcPr>
            <w:tcW w:w="1250" w:type="dxa"/>
            <w:vAlign w:val="top"/>
          </w:tcPr>
          <w:p>
            <w:pPr>
              <w:adjustRightInd w:val="0"/>
              <w:snapToGrid w:val="0"/>
              <w:rPr>
                <w:rFonts w:hint="eastAsia"/>
                <w:color w:val="auto"/>
                <w:vertAlign w:val="baseline"/>
              </w:rPr>
            </w:pPr>
          </w:p>
        </w:tc>
        <w:tc>
          <w:tcPr>
            <w:tcW w:w="1178" w:type="dxa"/>
            <w:vAlign w:val="top"/>
          </w:tcPr>
          <w:p>
            <w:pPr>
              <w:adjustRightInd w:val="0"/>
              <w:snapToGrid w:val="0"/>
              <w:rPr>
                <w:rFonts w:hint="eastAsia"/>
                <w:color w:val="auto"/>
                <w:vertAlign w:val="baseline"/>
              </w:rPr>
            </w:pPr>
          </w:p>
        </w:tc>
        <w:tc>
          <w:tcPr>
            <w:tcW w:w="1817" w:type="dxa"/>
            <w:vAlign w:val="top"/>
          </w:tcPr>
          <w:p>
            <w:pPr>
              <w:adjustRightInd w:val="0"/>
              <w:snapToGrid w:val="0"/>
              <w:rPr>
                <w:rFonts w:hint="eastAsia"/>
                <w:color w:val="auto"/>
                <w:vertAlign w:val="baseline"/>
              </w:rPr>
            </w:pPr>
          </w:p>
        </w:tc>
        <w:tc>
          <w:tcPr>
            <w:tcW w:w="1249" w:type="dxa"/>
            <w:vAlign w:val="top"/>
          </w:tcPr>
          <w:p>
            <w:pPr>
              <w:adjustRightInd w:val="0"/>
              <w:snapToGrid w:val="0"/>
              <w:rPr>
                <w:rFonts w:hint="eastAsia"/>
                <w:color w:val="auto"/>
                <w:vertAlign w:val="baseline"/>
              </w:rPr>
            </w:pPr>
          </w:p>
        </w:tc>
        <w:tc>
          <w:tcPr>
            <w:tcW w:w="1603" w:type="dxa"/>
            <w:vAlign w:val="top"/>
          </w:tcPr>
          <w:p>
            <w:pPr>
              <w:adjustRightInd w:val="0"/>
              <w:snapToGrid w:val="0"/>
              <w:rPr>
                <w:rFonts w:hint="eastAsia"/>
                <w:color w:val="auto"/>
                <w:vertAlign w:val="baseline"/>
              </w:rPr>
            </w:pPr>
          </w:p>
        </w:tc>
        <w:tc>
          <w:tcPr>
            <w:tcW w:w="1223" w:type="dxa"/>
            <w:vAlign w:val="top"/>
          </w:tcPr>
          <w:p>
            <w:pPr>
              <w:adjustRightInd w:val="0"/>
              <w:snapToGrid w:val="0"/>
              <w:rPr>
                <w:rFonts w:hint="eastAsia"/>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Align w:val="top"/>
          </w:tcPr>
          <w:p>
            <w:pPr>
              <w:adjustRightInd w:val="0"/>
              <w:snapToGrid w:val="0"/>
              <w:rPr>
                <w:rFonts w:hint="eastAsia"/>
                <w:color w:val="auto"/>
                <w:vertAlign w:val="baseline"/>
              </w:rPr>
            </w:pPr>
          </w:p>
        </w:tc>
        <w:tc>
          <w:tcPr>
            <w:tcW w:w="768" w:type="dxa"/>
            <w:vAlign w:val="top"/>
          </w:tcPr>
          <w:p>
            <w:pPr>
              <w:adjustRightInd w:val="0"/>
              <w:snapToGrid w:val="0"/>
              <w:rPr>
                <w:rFonts w:hint="eastAsia"/>
                <w:color w:val="auto"/>
                <w:vertAlign w:val="baseline"/>
              </w:rPr>
            </w:pPr>
          </w:p>
        </w:tc>
        <w:tc>
          <w:tcPr>
            <w:tcW w:w="1089" w:type="dxa"/>
            <w:vAlign w:val="top"/>
          </w:tcPr>
          <w:p>
            <w:pPr>
              <w:adjustRightInd w:val="0"/>
              <w:snapToGrid w:val="0"/>
              <w:rPr>
                <w:rFonts w:hint="eastAsia"/>
                <w:color w:val="auto"/>
                <w:vertAlign w:val="baseline"/>
              </w:rPr>
            </w:pPr>
          </w:p>
        </w:tc>
        <w:tc>
          <w:tcPr>
            <w:tcW w:w="1411" w:type="dxa"/>
            <w:vAlign w:val="top"/>
          </w:tcPr>
          <w:p>
            <w:pPr>
              <w:adjustRightInd w:val="0"/>
              <w:snapToGrid w:val="0"/>
              <w:rPr>
                <w:rFonts w:hint="eastAsia"/>
                <w:color w:val="auto"/>
                <w:vertAlign w:val="baseline"/>
              </w:rPr>
            </w:pPr>
          </w:p>
        </w:tc>
        <w:tc>
          <w:tcPr>
            <w:tcW w:w="1250" w:type="dxa"/>
            <w:vAlign w:val="top"/>
          </w:tcPr>
          <w:p>
            <w:pPr>
              <w:adjustRightInd w:val="0"/>
              <w:snapToGrid w:val="0"/>
              <w:rPr>
                <w:rFonts w:hint="eastAsia"/>
                <w:color w:val="auto"/>
                <w:vertAlign w:val="baseline"/>
              </w:rPr>
            </w:pPr>
          </w:p>
        </w:tc>
        <w:tc>
          <w:tcPr>
            <w:tcW w:w="1178" w:type="dxa"/>
            <w:vAlign w:val="top"/>
          </w:tcPr>
          <w:p>
            <w:pPr>
              <w:adjustRightInd w:val="0"/>
              <w:snapToGrid w:val="0"/>
              <w:rPr>
                <w:rFonts w:hint="eastAsia"/>
                <w:color w:val="auto"/>
                <w:vertAlign w:val="baseline"/>
              </w:rPr>
            </w:pPr>
          </w:p>
        </w:tc>
        <w:tc>
          <w:tcPr>
            <w:tcW w:w="1817" w:type="dxa"/>
            <w:vAlign w:val="top"/>
          </w:tcPr>
          <w:p>
            <w:pPr>
              <w:adjustRightInd w:val="0"/>
              <w:snapToGrid w:val="0"/>
              <w:rPr>
                <w:rFonts w:hint="eastAsia"/>
                <w:color w:val="auto"/>
                <w:vertAlign w:val="baseline"/>
              </w:rPr>
            </w:pPr>
          </w:p>
        </w:tc>
        <w:tc>
          <w:tcPr>
            <w:tcW w:w="1249" w:type="dxa"/>
            <w:vAlign w:val="top"/>
          </w:tcPr>
          <w:p>
            <w:pPr>
              <w:adjustRightInd w:val="0"/>
              <w:snapToGrid w:val="0"/>
              <w:rPr>
                <w:rFonts w:hint="eastAsia"/>
                <w:color w:val="auto"/>
                <w:vertAlign w:val="baseline"/>
              </w:rPr>
            </w:pPr>
          </w:p>
        </w:tc>
        <w:tc>
          <w:tcPr>
            <w:tcW w:w="1603" w:type="dxa"/>
            <w:vAlign w:val="top"/>
          </w:tcPr>
          <w:p>
            <w:pPr>
              <w:adjustRightInd w:val="0"/>
              <w:snapToGrid w:val="0"/>
              <w:rPr>
                <w:rFonts w:hint="eastAsia"/>
                <w:color w:val="auto"/>
                <w:vertAlign w:val="baseline"/>
              </w:rPr>
            </w:pPr>
          </w:p>
        </w:tc>
        <w:tc>
          <w:tcPr>
            <w:tcW w:w="1223" w:type="dxa"/>
            <w:vAlign w:val="top"/>
          </w:tcPr>
          <w:p>
            <w:pPr>
              <w:adjustRightInd w:val="0"/>
              <w:snapToGrid w:val="0"/>
              <w:rPr>
                <w:rFonts w:hint="eastAsia"/>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Align w:val="top"/>
          </w:tcPr>
          <w:p>
            <w:pPr>
              <w:adjustRightInd w:val="0"/>
              <w:snapToGrid w:val="0"/>
              <w:rPr>
                <w:rFonts w:hint="eastAsia"/>
                <w:color w:val="auto"/>
                <w:vertAlign w:val="baseline"/>
              </w:rPr>
            </w:pPr>
          </w:p>
        </w:tc>
        <w:tc>
          <w:tcPr>
            <w:tcW w:w="768" w:type="dxa"/>
            <w:vAlign w:val="top"/>
          </w:tcPr>
          <w:p>
            <w:pPr>
              <w:adjustRightInd w:val="0"/>
              <w:snapToGrid w:val="0"/>
              <w:rPr>
                <w:rFonts w:hint="eastAsia"/>
                <w:color w:val="auto"/>
                <w:vertAlign w:val="baseline"/>
              </w:rPr>
            </w:pPr>
          </w:p>
        </w:tc>
        <w:tc>
          <w:tcPr>
            <w:tcW w:w="1089" w:type="dxa"/>
            <w:vAlign w:val="top"/>
          </w:tcPr>
          <w:p>
            <w:pPr>
              <w:adjustRightInd w:val="0"/>
              <w:snapToGrid w:val="0"/>
              <w:rPr>
                <w:rFonts w:hint="eastAsia"/>
                <w:color w:val="auto"/>
                <w:vertAlign w:val="baseline"/>
              </w:rPr>
            </w:pPr>
          </w:p>
        </w:tc>
        <w:tc>
          <w:tcPr>
            <w:tcW w:w="1411" w:type="dxa"/>
            <w:vAlign w:val="top"/>
          </w:tcPr>
          <w:p>
            <w:pPr>
              <w:adjustRightInd w:val="0"/>
              <w:snapToGrid w:val="0"/>
              <w:rPr>
                <w:rFonts w:hint="eastAsia"/>
                <w:color w:val="auto"/>
                <w:vertAlign w:val="baseline"/>
              </w:rPr>
            </w:pPr>
          </w:p>
        </w:tc>
        <w:tc>
          <w:tcPr>
            <w:tcW w:w="1250" w:type="dxa"/>
            <w:vAlign w:val="top"/>
          </w:tcPr>
          <w:p>
            <w:pPr>
              <w:adjustRightInd w:val="0"/>
              <w:snapToGrid w:val="0"/>
              <w:rPr>
                <w:rFonts w:hint="eastAsia"/>
                <w:color w:val="auto"/>
                <w:vertAlign w:val="baseline"/>
              </w:rPr>
            </w:pPr>
          </w:p>
        </w:tc>
        <w:tc>
          <w:tcPr>
            <w:tcW w:w="1178" w:type="dxa"/>
            <w:vAlign w:val="top"/>
          </w:tcPr>
          <w:p>
            <w:pPr>
              <w:adjustRightInd w:val="0"/>
              <w:snapToGrid w:val="0"/>
              <w:rPr>
                <w:rFonts w:hint="eastAsia"/>
                <w:color w:val="auto"/>
                <w:vertAlign w:val="baseline"/>
              </w:rPr>
            </w:pPr>
          </w:p>
        </w:tc>
        <w:tc>
          <w:tcPr>
            <w:tcW w:w="1817" w:type="dxa"/>
            <w:vAlign w:val="top"/>
          </w:tcPr>
          <w:p>
            <w:pPr>
              <w:adjustRightInd w:val="0"/>
              <w:snapToGrid w:val="0"/>
              <w:rPr>
                <w:rFonts w:hint="eastAsia"/>
                <w:color w:val="auto"/>
                <w:vertAlign w:val="baseline"/>
              </w:rPr>
            </w:pPr>
          </w:p>
        </w:tc>
        <w:tc>
          <w:tcPr>
            <w:tcW w:w="1249" w:type="dxa"/>
            <w:vAlign w:val="top"/>
          </w:tcPr>
          <w:p>
            <w:pPr>
              <w:adjustRightInd w:val="0"/>
              <w:snapToGrid w:val="0"/>
              <w:rPr>
                <w:rFonts w:hint="eastAsia"/>
                <w:color w:val="auto"/>
                <w:vertAlign w:val="baseline"/>
              </w:rPr>
            </w:pPr>
          </w:p>
        </w:tc>
        <w:tc>
          <w:tcPr>
            <w:tcW w:w="1603" w:type="dxa"/>
            <w:vAlign w:val="top"/>
          </w:tcPr>
          <w:p>
            <w:pPr>
              <w:adjustRightInd w:val="0"/>
              <w:snapToGrid w:val="0"/>
              <w:rPr>
                <w:rFonts w:hint="eastAsia"/>
                <w:color w:val="auto"/>
                <w:vertAlign w:val="baseline"/>
              </w:rPr>
            </w:pPr>
          </w:p>
        </w:tc>
        <w:tc>
          <w:tcPr>
            <w:tcW w:w="1223" w:type="dxa"/>
            <w:vAlign w:val="top"/>
          </w:tcPr>
          <w:p>
            <w:pPr>
              <w:adjustRightInd w:val="0"/>
              <w:snapToGrid w:val="0"/>
              <w:rPr>
                <w:rFonts w:hint="eastAsia"/>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2" w:type="dxa"/>
            <w:vAlign w:val="top"/>
          </w:tcPr>
          <w:p>
            <w:pPr>
              <w:adjustRightInd w:val="0"/>
              <w:snapToGrid w:val="0"/>
              <w:rPr>
                <w:rFonts w:hint="eastAsia"/>
                <w:color w:val="auto"/>
                <w:vertAlign w:val="baseline"/>
              </w:rPr>
            </w:pPr>
          </w:p>
        </w:tc>
        <w:tc>
          <w:tcPr>
            <w:tcW w:w="768" w:type="dxa"/>
            <w:vAlign w:val="top"/>
          </w:tcPr>
          <w:p>
            <w:pPr>
              <w:adjustRightInd w:val="0"/>
              <w:snapToGrid w:val="0"/>
              <w:rPr>
                <w:rFonts w:hint="eastAsia"/>
                <w:color w:val="auto"/>
                <w:vertAlign w:val="baseline"/>
              </w:rPr>
            </w:pPr>
          </w:p>
        </w:tc>
        <w:tc>
          <w:tcPr>
            <w:tcW w:w="1089" w:type="dxa"/>
            <w:vAlign w:val="top"/>
          </w:tcPr>
          <w:p>
            <w:pPr>
              <w:adjustRightInd w:val="0"/>
              <w:snapToGrid w:val="0"/>
              <w:rPr>
                <w:rFonts w:hint="eastAsia"/>
                <w:color w:val="auto"/>
                <w:vertAlign w:val="baseline"/>
              </w:rPr>
            </w:pPr>
          </w:p>
        </w:tc>
        <w:tc>
          <w:tcPr>
            <w:tcW w:w="1411" w:type="dxa"/>
            <w:vAlign w:val="top"/>
          </w:tcPr>
          <w:p>
            <w:pPr>
              <w:adjustRightInd w:val="0"/>
              <w:snapToGrid w:val="0"/>
              <w:rPr>
                <w:rFonts w:hint="eastAsia"/>
                <w:color w:val="auto"/>
                <w:vertAlign w:val="baseline"/>
              </w:rPr>
            </w:pPr>
          </w:p>
        </w:tc>
        <w:tc>
          <w:tcPr>
            <w:tcW w:w="1250" w:type="dxa"/>
            <w:vAlign w:val="top"/>
          </w:tcPr>
          <w:p>
            <w:pPr>
              <w:adjustRightInd w:val="0"/>
              <w:snapToGrid w:val="0"/>
              <w:rPr>
                <w:rFonts w:hint="eastAsia"/>
                <w:color w:val="auto"/>
                <w:vertAlign w:val="baseline"/>
              </w:rPr>
            </w:pPr>
          </w:p>
        </w:tc>
        <w:tc>
          <w:tcPr>
            <w:tcW w:w="1178" w:type="dxa"/>
            <w:vAlign w:val="top"/>
          </w:tcPr>
          <w:p>
            <w:pPr>
              <w:adjustRightInd w:val="0"/>
              <w:snapToGrid w:val="0"/>
              <w:rPr>
                <w:rFonts w:hint="eastAsia"/>
                <w:color w:val="auto"/>
                <w:vertAlign w:val="baseline"/>
              </w:rPr>
            </w:pPr>
          </w:p>
        </w:tc>
        <w:tc>
          <w:tcPr>
            <w:tcW w:w="1817" w:type="dxa"/>
            <w:vAlign w:val="top"/>
          </w:tcPr>
          <w:p>
            <w:pPr>
              <w:adjustRightInd w:val="0"/>
              <w:snapToGrid w:val="0"/>
              <w:rPr>
                <w:rFonts w:hint="eastAsia"/>
                <w:color w:val="auto"/>
                <w:vertAlign w:val="baseline"/>
              </w:rPr>
            </w:pPr>
          </w:p>
        </w:tc>
        <w:tc>
          <w:tcPr>
            <w:tcW w:w="1249" w:type="dxa"/>
            <w:vAlign w:val="top"/>
          </w:tcPr>
          <w:p>
            <w:pPr>
              <w:adjustRightInd w:val="0"/>
              <w:snapToGrid w:val="0"/>
              <w:rPr>
                <w:rFonts w:hint="eastAsia"/>
                <w:color w:val="auto"/>
                <w:vertAlign w:val="baseline"/>
              </w:rPr>
            </w:pPr>
          </w:p>
        </w:tc>
        <w:tc>
          <w:tcPr>
            <w:tcW w:w="1603" w:type="dxa"/>
            <w:vAlign w:val="top"/>
          </w:tcPr>
          <w:p>
            <w:pPr>
              <w:adjustRightInd w:val="0"/>
              <w:snapToGrid w:val="0"/>
              <w:rPr>
                <w:rFonts w:hint="eastAsia"/>
                <w:color w:val="auto"/>
                <w:vertAlign w:val="baseline"/>
              </w:rPr>
            </w:pPr>
          </w:p>
        </w:tc>
        <w:tc>
          <w:tcPr>
            <w:tcW w:w="1223" w:type="dxa"/>
            <w:vAlign w:val="top"/>
          </w:tcPr>
          <w:p>
            <w:pPr>
              <w:adjustRightInd w:val="0"/>
              <w:snapToGrid w:val="0"/>
              <w:rPr>
                <w:rFonts w:hint="eastAsia"/>
                <w:color w:val="auto"/>
                <w:vertAlign w:val="baseline"/>
              </w:rPr>
            </w:pPr>
          </w:p>
        </w:tc>
      </w:tr>
    </w:tbl>
    <w:p>
      <w:pPr>
        <w:rPr>
          <w:rFonts w:hint="eastAsia"/>
          <w:color w:val="auto"/>
          <w:lang w:eastAsia="zh-CN"/>
        </w:rPr>
      </w:pPr>
    </w:p>
    <w:p>
      <w:pPr>
        <w:ind w:firstLine="320" w:firstLineChars="100"/>
        <w:rPr>
          <w:rFonts w:hint="default" w:eastAsia="宋体"/>
          <w:color w:val="auto"/>
          <w:lang w:val="en-US" w:eastAsia="zh-CN"/>
        </w:rPr>
        <w:sectPr>
          <w:pgSz w:w="16838" w:h="11906" w:orient="landscape"/>
          <w:pgMar w:top="1531" w:right="1701" w:bottom="1531" w:left="1701" w:header="851" w:footer="1417" w:gutter="0"/>
          <w:cols w:space="0" w:num="1"/>
          <w:rtlGutter w:val="0"/>
          <w:docGrid w:type="lines" w:linePitch="315" w:charSpace="0"/>
        </w:sectPr>
      </w:pPr>
    </w:p>
    <w:p>
      <w:pPr>
        <w:keepNext w:val="0"/>
        <w:keepLines w:val="0"/>
        <w:pageBreakBefore w:val="0"/>
        <w:widowControl w:val="0"/>
        <w:kinsoku/>
        <w:wordWrap/>
        <w:overflowPunct/>
        <w:topLinePunct w:val="0"/>
        <w:autoSpaceDE/>
        <w:autoSpaceDN/>
        <w:bidi w:val="0"/>
        <w:adjustRightInd w:val="0"/>
        <w:snapToGrid w:val="0"/>
        <w:spacing w:line="590" w:lineRule="exact"/>
        <w:jc w:val="both"/>
        <w:textAlignment w:val="auto"/>
        <w:outlineLvl w:val="9"/>
        <w:rPr>
          <w:rFonts w:hint="eastAsia" w:ascii="黑体" w:hAnsi="黑体" w:eastAsia="黑体" w:cs="黑体"/>
          <w:snapToGrid w:val="0"/>
          <w:color w:val="auto"/>
          <w:w w:val="100"/>
          <w:kern w:val="0"/>
          <w:sz w:val="32"/>
          <w:szCs w:val="32"/>
          <w:lang w:eastAsia="zh-CN"/>
        </w:rPr>
      </w:pPr>
      <w:r>
        <w:rPr>
          <w:rFonts w:hint="eastAsia" w:ascii="黑体" w:hAnsi="黑体" w:eastAsia="黑体" w:cs="黑体"/>
          <w:snapToGrid w:val="0"/>
          <w:color w:val="auto"/>
          <w:w w:val="100"/>
          <w:kern w:val="0"/>
          <w:sz w:val="32"/>
          <w:szCs w:val="32"/>
          <w:lang w:eastAsia="zh-CN"/>
        </w:rPr>
        <w:t>附件</w:t>
      </w:r>
      <w:r>
        <w:rPr>
          <w:rFonts w:hint="eastAsia" w:ascii="黑体" w:hAnsi="黑体" w:eastAsia="黑体" w:cs="黑体"/>
          <w:snapToGrid w:val="0"/>
          <w:color w:val="auto"/>
          <w:w w:val="100"/>
          <w:kern w:val="0"/>
          <w:sz w:val="32"/>
          <w:szCs w:val="32"/>
          <w:lang w:val="en-US" w:eastAsia="zh-CN"/>
        </w:rPr>
        <w:t>5</w:t>
      </w:r>
    </w:p>
    <w:p>
      <w:pPr>
        <w:keepNext w:val="0"/>
        <w:keepLines w:val="0"/>
        <w:pageBreakBefore w:val="0"/>
        <w:widowControl w:val="0"/>
        <w:kinsoku/>
        <w:wordWrap/>
        <w:overflowPunct/>
        <w:topLinePunct w:val="0"/>
        <w:autoSpaceDE/>
        <w:autoSpaceDN/>
        <w:bidi w:val="0"/>
        <w:adjustRightInd w:val="0"/>
        <w:snapToGrid w:val="0"/>
        <w:spacing w:line="590" w:lineRule="exact"/>
        <w:jc w:val="both"/>
        <w:textAlignment w:val="auto"/>
        <w:outlineLvl w:val="9"/>
        <w:rPr>
          <w:rFonts w:hint="eastAsia" w:ascii="Times New Roman" w:hAnsi="Times New Roman" w:eastAsia="华文中宋" w:cs="Times New Roman"/>
          <w:snapToGrid w:val="0"/>
          <w:color w:val="auto"/>
          <w:w w:val="100"/>
          <w:kern w:val="0"/>
          <w:sz w:val="44"/>
          <w:szCs w:val="44"/>
          <w:lang w:val="en-US" w:eastAsia="zh-CN"/>
        </w:rPr>
      </w:pPr>
    </w:p>
    <w:p>
      <w:pPr>
        <w:adjustRightInd w:val="0"/>
        <w:snapToGrid w:val="0"/>
        <w:spacing w:line="590" w:lineRule="exact"/>
        <w:jc w:val="center"/>
        <w:outlineLvl w:val="9"/>
        <w:rPr>
          <w:rFonts w:hint="eastAsia" w:ascii="方正小标宋简体" w:hAnsi="方正小标宋简体" w:eastAsia="方正小标宋简体" w:cs="方正小标宋简体"/>
          <w:snapToGrid w:val="0"/>
          <w:color w:val="auto"/>
          <w:w w:val="100"/>
          <w:kern w:val="0"/>
          <w:sz w:val="44"/>
          <w:szCs w:val="44"/>
          <w:lang w:val="en-US" w:eastAsia="zh-CN"/>
        </w:rPr>
      </w:pPr>
      <w:r>
        <w:rPr>
          <w:rFonts w:hint="eastAsia" w:ascii="方正小标宋简体" w:hAnsi="方正小标宋简体" w:eastAsia="方正小标宋简体" w:cs="方正小标宋简体"/>
          <w:snapToGrid w:val="0"/>
          <w:color w:val="auto"/>
          <w:w w:val="100"/>
          <w:kern w:val="0"/>
          <w:sz w:val="44"/>
          <w:szCs w:val="44"/>
          <w:lang w:val="en-US" w:eastAsia="zh-CN"/>
        </w:rPr>
        <w:t>XXX项目未重复申请财政资金补助承诺函</w:t>
      </w:r>
    </w:p>
    <w:p>
      <w:pPr>
        <w:adjustRightInd w:val="0"/>
        <w:snapToGrid w:val="0"/>
        <w:spacing w:line="590" w:lineRule="exact"/>
        <w:jc w:val="both"/>
        <w:outlineLvl w:val="9"/>
        <w:rPr>
          <w:rFonts w:hint="eastAsia" w:ascii="Times New Roman" w:hAnsi="Times New Roman" w:eastAsia="华文中宋" w:cs="Times New Roman"/>
          <w:snapToGrid w:val="0"/>
          <w:color w:val="auto"/>
          <w:w w:val="100"/>
          <w:kern w:val="0"/>
          <w:sz w:val="44"/>
          <w:szCs w:val="44"/>
          <w:lang w:val="en-US" w:eastAsia="zh-CN"/>
        </w:rPr>
      </w:pPr>
    </w:p>
    <w:p>
      <w:pPr>
        <w:keepNext w:val="0"/>
        <w:keepLines w:val="0"/>
        <w:pageBreakBefore w:val="0"/>
        <w:widowControl w:val="0"/>
        <w:kinsoku/>
        <w:wordWrap/>
        <w:overflowPunct/>
        <w:topLinePunct w:val="0"/>
        <w:autoSpaceDE/>
        <w:autoSpaceDN/>
        <w:bidi w:val="0"/>
        <w:adjustRightInd w:val="0"/>
        <w:snapToGrid w:val="0"/>
        <w:spacing w:line="590" w:lineRule="exact"/>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广东省农业农村厅:</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根据《</w:t>
      </w:r>
      <w:r>
        <w:rPr>
          <w:rFonts w:hint="eastAsia" w:ascii="仿宋_GB2312" w:hAnsi="仿宋_GB2312" w:eastAsia="仿宋_GB2312" w:cs="仿宋_GB2312"/>
          <w:snapToGrid w:val="0"/>
          <w:color w:val="auto"/>
          <w:kern w:val="0"/>
          <w:sz w:val="32"/>
          <w:szCs w:val="32"/>
          <w:lang w:val="en-US" w:eastAsia="zh-CN"/>
        </w:rPr>
        <w:t>关于印发&lt;2022-2023年乡村振兴战略专项省级种业振兴行动项目入库申报指南&gt;的通知</w:t>
      </w:r>
      <w:r>
        <w:rPr>
          <w:rFonts w:hint="eastAsia" w:ascii="仿宋_GB2312" w:hAnsi="仿宋_GB2312" w:eastAsia="仿宋_GB2312" w:cs="仿宋_GB2312"/>
          <w:snapToGrid w:val="0"/>
          <w:color w:val="auto"/>
          <w:kern w:val="0"/>
          <w:sz w:val="32"/>
          <w:szCs w:val="32"/>
          <w:lang w:val="zh-CN"/>
        </w:rPr>
        <w:t>》，我单位拟申报“</w:t>
      </w:r>
      <w:r>
        <w:rPr>
          <w:rFonts w:hint="eastAsia" w:ascii="仿宋_GB2312" w:hAnsi="仿宋_GB2312" w:eastAsia="仿宋_GB2312" w:cs="仿宋_GB2312"/>
          <w:snapToGrid w:val="0"/>
          <w:color w:val="auto"/>
          <w:kern w:val="0"/>
          <w:sz w:val="32"/>
          <w:szCs w:val="32"/>
          <w:lang w:val="en-US" w:eastAsia="zh-CN"/>
        </w:rPr>
        <w:t>XX项目</w:t>
      </w:r>
      <w:r>
        <w:rPr>
          <w:rFonts w:hint="eastAsia" w:ascii="仿宋_GB2312" w:hAnsi="仿宋_GB2312" w:eastAsia="仿宋_GB2312" w:cs="仿宋_GB2312"/>
          <w:snapToGrid w:val="0"/>
          <w:color w:val="auto"/>
          <w:kern w:val="0"/>
          <w:sz w:val="32"/>
          <w:szCs w:val="32"/>
          <w:lang w:val="zh-CN"/>
        </w:rPr>
        <w:t>”，总计投资</w:t>
      </w:r>
      <w:r>
        <w:rPr>
          <w:rFonts w:hint="eastAsia" w:ascii="仿宋_GB2312" w:hAnsi="仿宋_GB2312" w:eastAsia="仿宋_GB2312" w:cs="仿宋_GB2312"/>
          <w:snapToGrid w:val="0"/>
          <w:color w:val="auto"/>
          <w:kern w:val="0"/>
          <w:sz w:val="32"/>
          <w:szCs w:val="32"/>
          <w:lang w:val="en-US" w:eastAsia="zh-CN"/>
        </w:rPr>
        <w:t>XX</w:t>
      </w:r>
      <w:r>
        <w:rPr>
          <w:rFonts w:hint="eastAsia" w:ascii="仿宋_GB2312" w:hAnsi="仿宋_GB2312" w:eastAsia="仿宋_GB2312" w:cs="仿宋_GB2312"/>
          <w:snapToGrid w:val="0"/>
          <w:color w:val="auto"/>
          <w:kern w:val="0"/>
          <w:sz w:val="32"/>
          <w:szCs w:val="32"/>
          <w:lang w:val="zh-CN"/>
        </w:rPr>
        <w:t>万，其中申请</w:t>
      </w:r>
      <w:r>
        <w:rPr>
          <w:rFonts w:hint="eastAsia" w:ascii="仿宋_GB2312" w:hAnsi="仿宋_GB2312" w:eastAsia="仿宋_GB2312" w:cs="仿宋_GB2312"/>
          <w:snapToGrid w:val="0"/>
          <w:color w:val="auto"/>
          <w:kern w:val="0"/>
          <w:sz w:val="32"/>
          <w:szCs w:val="32"/>
          <w:lang w:val="zh-CN" w:eastAsia="zh-CN"/>
        </w:rPr>
        <w:t>省</w:t>
      </w:r>
      <w:r>
        <w:rPr>
          <w:rFonts w:hint="eastAsia" w:ascii="仿宋_GB2312" w:hAnsi="仿宋_GB2312" w:eastAsia="仿宋_GB2312" w:cs="仿宋_GB2312"/>
          <w:snapToGrid w:val="0"/>
          <w:color w:val="auto"/>
          <w:kern w:val="0"/>
          <w:sz w:val="32"/>
          <w:szCs w:val="32"/>
          <w:lang w:val="zh-CN"/>
        </w:rPr>
        <w:t>财政资金</w:t>
      </w:r>
      <w:r>
        <w:rPr>
          <w:rFonts w:hint="eastAsia" w:ascii="仿宋_GB2312" w:hAnsi="仿宋_GB2312" w:eastAsia="仿宋_GB2312" w:cs="仿宋_GB2312"/>
          <w:snapToGrid w:val="0"/>
          <w:color w:val="auto"/>
          <w:kern w:val="0"/>
          <w:sz w:val="32"/>
          <w:szCs w:val="32"/>
          <w:lang w:val="en-US" w:eastAsia="zh-CN"/>
        </w:rPr>
        <w:t>XX</w:t>
      </w:r>
      <w:r>
        <w:rPr>
          <w:rFonts w:hint="eastAsia" w:ascii="仿宋_GB2312" w:hAnsi="仿宋_GB2312" w:eastAsia="仿宋_GB2312" w:cs="仿宋_GB2312"/>
          <w:snapToGrid w:val="0"/>
          <w:color w:val="auto"/>
          <w:kern w:val="0"/>
          <w:sz w:val="32"/>
          <w:szCs w:val="32"/>
          <w:lang w:val="zh-CN"/>
        </w:rPr>
        <w:t xml:space="preserve">万元，单位（企业）自筹 </w:t>
      </w:r>
      <w:r>
        <w:rPr>
          <w:rFonts w:hint="eastAsia" w:ascii="仿宋_GB2312" w:hAnsi="仿宋_GB2312" w:eastAsia="仿宋_GB2312" w:cs="仿宋_GB2312"/>
          <w:snapToGrid w:val="0"/>
          <w:color w:val="auto"/>
          <w:kern w:val="0"/>
          <w:sz w:val="32"/>
          <w:szCs w:val="32"/>
          <w:lang w:val="en-US" w:eastAsia="zh-CN"/>
        </w:rPr>
        <w:t>XX</w:t>
      </w:r>
      <w:r>
        <w:rPr>
          <w:rFonts w:hint="eastAsia" w:ascii="仿宋_GB2312" w:hAnsi="仿宋_GB2312" w:eastAsia="仿宋_GB2312" w:cs="仿宋_GB2312"/>
          <w:snapToGrid w:val="0"/>
          <w:color w:val="auto"/>
          <w:kern w:val="0"/>
          <w:sz w:val="32"/>
          <w:szCs w:val="32"/>
          <w:lang w:val="zh-CN"/>
        </w:rPr>
        <w:t>万元，</w:t>
      </w:r>
      <w:r>
        <w:rPr>
          <w:rFonts w:hint="eastAsia" w:ascii="仿宋_GB2312" w:hAnsi="仿宋_GB2312" w:eastAsia="仿宋_GB2312" w:cs="仿宋_GB2312"/>
          <w:snapToGrid w:val="0"/>
          <w:color w:val="auto"/>
          <w:kern w:val="0"/>
          <w:sz w:val="32"/>
          <w:szCs w:val="32"/>
          <w:lang w:val="en-US" w:eastAsia="zh-CN"/>
        </w:rPr>
        <w:t>XXX</w:t>
      </w:r>
      <w:r>
        <w:rPr>
          <w:rFonts w:hint="eastAsia" w:ascii="仿宋_GB2312" w:hAnsi="仿宋_GB2312" w:eastAsia="仿宋_GB2312" w:cs="仿宋_GB2312"/>
          <w:snapToGrid w:val="0"/>
          <w:color w:val="auto"/>
          <w:kern w:val="0"/>
          <w:sz w:val="32"/>
          <w:szCs w:val="32"/>
          <w:lang w:val="zh-CN"/>
        </w:rPr>
        <w:t>项目</w:t>
      </w:r>
      <w:r>
        <w:rPr>
          <w:rFonts w:hint="eastAsia" w:ascii="仿宋_GB2312" w:hAnsi="仿宋_GB2312" w:eastAsia="仿宋_GB2312" w:cs="仿宋_GB2312"/>
          <w:snapToGrid w:val="0"/>
          <w:color w:val="auto"/>
          <w:kern w:val="0"/>
          <w:sz w:val="32"/>
          <w:szCs w:val="32"/>
          <w:lang w:val="en-US" w:eastAsia="zh-CN"/>
        </w:rPr>
        <w:t>不重复申请财政资金，研究成果不套用，</w:t>
      </w:r>
      <w:r>
        <w:rPr>
          <w:rFonts w:hint="eastAsia" w:ascii="仿宋_GB2312" w:hAnsi="仿宋_GB2312" w:eastAsia="仿宋_GB2312" w:cs="仿宋_GB2312"/>
          <w:snapToGrid w:val="0"/>
          <w:color w:val="auto"/>
          <w:kern w:val="0"/>
          <w:sz w:val="32"/>
          <w:szCs w:val="32"/>
          <w:lang w:val="zh-CN"/>
        </w:rPr>
        <w:t>项目未申请申报同一类品种且研究方向相同的财政补助资金。</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特此承诺。</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outlineLvl w:val="9"/>
        <w:rPr>
          <w:rFonts w:hint="eastAsia" w:ascii="Times New Roman" w:hAnsi="Times New Roman" w:eastAsia="仿宋_GB2312" w:cs="Times New Roman"/>
          <w:snapToGrid w:val="0"/>
          <w:color w:val="auto"/>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outlineLvl w:val="9"/>
        <w:rPr>
          <w:rFonts w:hint="eastAsia" w:ascii="Times New Roman" w:hAnsi="Times New Roman" w:eastAsia="仿宋_GB2312" w:cs="Times New Roman"/>
          <w:snapToGrid w:val="0"/>
          <w:color w:val="auto"/>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outlineLvl w:val="9"/>
        <w:rPr>
          <w:rFonts w:hint="eastAsia" w:ascii="Times New Roman" w:hAnsi="Times New Roman" w:eastAsia="仿宋_GB2312" w:cs="Times New Roman"/>
          <w:snapToGrid w:val="0"/>
          <w:color w:val="auto"/>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90" w:lineRule="exact"/>
        <w:ind w:firstLine="5760" w:firstLineChars="1800"/>
        <w:textAlignment w:val="auto"/>
        <w:outlineLvl w:val="9"/>
        <w:rPr>
          <w:rFonts w:hint="eastAsia"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申报单位</w:t>
      </w:r>
    </w:p>
    <w:p>
      <w:pPr>
        <w:keepNext w:val="0"/>
        <w:keepLines w:val="0"/>
        <w:pageBreakBefore w:val="0"/>
        <w:widowControl w:val="0"/>
        <w:kinsoku/>
        <w:wordWrap/>
        <w:overflowPunct/>
        <w:topLinePunct w:val="0"/>
        <w:autoSpaceDE/>
        <w:autoSpaceDN/>
        <w:bidi w:val="0"/>
        <w:adjustRightInd w:val="0"/>
        <w:snapToGrid w:val="0"/>
        <w:spacing w:line="590" w:lineRule="exact"/>
        <w:ind w:firstLine="5120" w:firstLineChars="16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202</w:t>
      </w:r>
      <w:r>
        <w:rPr>
          <w:rFonts w:hint="eastAsia" w:ascii="仿宋_GB2312" w:hAnsi="仿宋_GB2312" w:eastAsia="仿宋_GB2312" w:cs="仿宋_GB2312"/>
          <w:snapToGrid w:val="0"/>
          <w:color w:val="auto"/>
          <w:kern w:val="0"/>
          <w:sz w:val="32"/>
          <w:szCs w:val="32"/>
          <w:lang w:val="en-US" w:eastAsia="zh-CN"/>
        </w:rPr>
        <w:t>2年8</w:t>
      </w:r>
      <w:r>
        <w:rPr>
          <w:rFonts w:hint="eastAsia" w:ascii="仿宋_GB2312" w:hAnsi="仿宋_GB2312" w:eastAsia="仿宋_GB2312" w:cs="仿宋_GB2312"/>
          <w:snapToGrid w:val="0"/>
          <w:color w:val="auto"/>
          <w:kern w:val="0"/>
          <w:sz w:val="32"/>
          <w:szCs w:val="32"/>
          <w:lang w:val="zh-CN"/>
        </w:rPr>
        <w:t>月</w:t>
      </w:r>
      <w:r>
        <w:rPr>
          <w:rFonts w:hint="eastAsia" w:ascii="仿宋_GB2312" w:hAnsi="仿宋_GB2312" w:eastAsia="仿宋_GB2312" w:cs="仿宋_GB2312"/>
          <w:snapToGrid w:val="0"/>
          <w:color w:val="auto"/>
          <w:kern w:val="0"/>
          <w:sz w:val="32"/>
          <w:szCs w:val="32"/>
          <w:lang w:val="en-US" w:eastAsia="zh-CN"/>
        </w:rPr>
        <w:t>XX</w:t>
      </w:r>
      <w:r>
        <w:rPr>
          <w:rFonts w:hint="eastAsia" w:ascii="仿宋_GB2312" w:hAnsi="仿宋_GB2312" w:eastAsia="仿宋_GB2312" w:cs="仿宋_GB2312"/>
          <w:snapToGrid w:val="0"/>
          <w:color w:val="auto"/>
          <w:kern w:val="0"/>
          <w:sz w:val="32"/>
          <w:szCs w:val="32"/>
          <w:lang w:val="zh-CN" w:eastAsia="zh-CN"/>
        </w:rPr>
        <w:t>日</w:t>
      </w:r>
    </w:p>
    <w:p>
      <w:pPr>
        <w:keepNext w:val="0"/>
        <w:keepLines w:val="0"/>
        <w:pageBreakBefore w:val="0"/>
        <w:widowControl w:val="0"/>
        <w:kinsoku/>
        <w:wordWrap/>
        <w:overflowPunct/>
        <w:topLinePunct w:val="0"/>
        <w:autoSpaceDE/>
        <w:autoSpaceDN/>
        <w:bidi w:val="0"/>
        <w:adjustRightInd w:val="0"/>
        <w:snapToGrid w:val="0"/>
        <w:spacing w:line="590" w:lineRule="exact"/>
        <w:jc w:val="both"/>
        <w:textAlignment w:val="auto"/>
        <w:outlineLvl w:val="9"/>
        <w:rPr>
          <w:rFonts w:hint="eastAsia" w:ascii="仿宋_GB2312" w:hAnsi="仿宋_GB2312" w:eastAsia="仿宋_GB2312" w:cs="仿宋_GB2312"/>
          <w:snapToGrid w:val="0"/>
          <w:color w:val="auto"/>
          <w:w w:val="100"/>
          <w:kern w:val="0"/>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90" w:lineRule="exact"/>
        <w:jc w:val="both"/>
        <w:textAlignment w:val="auto"/>
        <w:outlineLvl w:val="9"/>
        <w:rPr>
          <w:rFonts w:hint="eastAsia" w:ascii="黑体" w:hAnsi="黑体" w:eastAsia="黑体" w:cs="黑体"/>
          <w:snapToGrid w:val="0"/>
          <w:color w:val="auto"/>
          <w:w w:val="100"/>
          <w:kern w:val="0"/>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outlineLvl w:val="9"/>
        <w:rPr>
          <w:rFonts w:hint="eastAsia" w:ascii="Times New Roman" w:hAnsi="Times New Roman" w:eastAsia="仿宋_GB2312" w:cs="Times New Roman"/>
          <w:snapToGrid w:val="0"/>
          <w:color w:val="auto"/>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90" w:lineRule="exact"/>
        <w:jc w:val="both"/>
        <w:textAlignment w:val="auto"/>
        <w:outlineLvl w:val="9"/>
        <w:rPr>
          <w:rFonts w:hint="eastAsia" w:ascii="黑体" w:hAnsi="黑体" w:eastAsia="黑体" w:cs="黑体"/>
          <w:snapToGrid w:val="0"/>
          <w:color w:val="auto"/>
          <w:w w:val="100"/>
          <w:kern w:val="0"/>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90" w:lineRule="exact"/>
        <w:jc w:val="both"/>
        <w:textAlignment w:val="auto"/>
        <w:outlineLvl w:val="9"/>
        <w:rPr>
          <w:rFonts w:hint="eastAsia" w:ascii="黑体" w:hAnsi="黑体" w:eastAsia="黑体" w:cs="黑体"/>
          <w:snapToGrid w:val="0"/>
          <w:color w:val="auto"/>
          <w:w w:val="100"/>
          <w:kern w:val="0"/>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90" w:lineRule="exact"/>
        <w:jc w:val="both"/>
        <w:textAlignment w:val="auto"/>
        <w:outlineLvl w:val="9"/>
        <w:rPr>
          <w:rFonts w:hint="eastAsia" w:ascii="黑体" w:hAnsi="黑体" w:eastAsia="黑体" w:cs="黑体"/>
          <w:snapToGrid w:val="0"/>
          <w:color w:val="auto"/>
          <w:w w:val="100"/>
          <w:kern w:val="0"/>
          <w:sz w:val="32"/>
          <w:szCs w:val="32"/>
          <w:lang w:eastAsia="zh-CN"/>
        </w:rPr>
      </w:pPr>
      <w:r>
        <w:rPr>
          <w:rFonts w:hint="eastAsia" w:ascii="黑体" w:hAnsi="黑体" w:eastAsia="黑体" w:cs="黑体"/>
          <w:snapToGrid w:val="0"/>
          <w:color w:val="auto"/>
          <w:w w:val="100"/>
          <w:kern w:val="0"/>
          <w:sz w:val="32"/>
          <w:szCs w:val="32"/>
          <w:lang w:eastAsia="zh-CN"/>
        </w:rPr>
        <w:br w:type="page"/>
      </w:r>
    </w:p>
    <w:p>
      <w:pPr>
        <w:keepNext w:val="0"/>
        <w:keepLines w:val="0"/>
        <w:pageBreakBefore w:val="0"/>
        <w:widowControl w:val="0"/>
        <w:kinsoku/>
        <w:wordWrap/>
        <w:overflowPunct/>
        <w:topLinePunct w:val="0"/>
        <w:autoSpaceDE/>
        <w:autoSpaceDN/>
        <w:bidi w:val="0"/>
        <w:adjustRightInd w:val="0"/>
        <w:snapToGrid w:val="0"/>
        <w:spacing w:line="590" w:lineRule="exact"/>
        <w:jc w:val="both"/>
        <w:textAlignment w:val="auto"/>
        <w:outlineLvl w:val="9"/>
        <w:rPr>
          <w:rFonts w:hint="eastAsia" w:ascii="黑体" w:hAnsi="黑体" w:eastAsia="黑体" w:cs="黑体"/>
          <w:snapToGrid w:val="0"/>
          <w:color w:val="auto"/>
          <w:w w:val="100"/>
          <w:kern w:val="0"/>
          <w:sz w:val="32"/>
          <w:szCs w:val="32"/>
          <w:lang w:eastAsia="zh-CN"/>
        </w:rPr>
      </w:pPr>
      <w:r>
        <w:rPr>
          <w:rFonts w:hint="eastAsia" w:ascii="黑体" w:hAnsi="黑体" w:eastAsia="黑体" w:cs="黑体"/>
          <w:snapToGrid w:val="0"/>
          <w:color w:val="auto"/>
          <w:w w:val="100"/>
          <w:kern w:val="0"/>
          <w:sz w:val="32"/>
          <w:szCs w:val="32"/>
          <w:lang w:eastAsia="zh-CN"/>
        </w:rPr>
        <w:t>附件</w:t>
      </w:r>
      <w:r>
        <w:rPr>
          <w:rFonts w:hint="eastAsia" w:ascii="黑体" w:hAnsi="黑体" w:eastAsia="黑体" w:cs="黑体"/>
          <w:snapToGrid w:val="0"/>
          <w:color w:val="auto"/>
          <w:w w:val="100"/>
          <w:kern w:val="0"/>
          <w:sz w:val="32"/>
          <w:szCs w:val="32"/>
          <w:lang w:val="en-US" w:eastAsia="zh-CN"/>
        </w:rPr>
        <w:t>6</w:t>
      </w:r>
    </w:p>
    <w:p>
      <w:pPr>
        <w:keepNext w:val="0"/>
        <w:keepLines w:val="0"/>
        <w:pageBreakBefore w:val="0"/>
        <w:widowControl w:val="0"/>
        <w:kinsoku/>
        <w:wordWrap/>
        <w:overflowPunct/>
        <w:topLinePunct w:val="0"/>
        <w:autoSpaceDE/>
        <w:autoSpaceDN/>
        <w:bidi w:val="0"/>
        <w:adjustRightInd w:val="0"/>
        <w:snapToGrid w:val="0"/>
        <w:spacing w:line="590" w:lineRule="exact"/>
        <w:jc w:val="both"/>
        <w:textAlignment w:val="auto"/>
        <w:outlineLvl w:val="9"/>
        <w:rPr>
          <w:rFonts w:hint="eastAsia" w:ascii="Times New Roman" w:hAnsi="Times New Roman" w:eastAsia="华文中宋" w:cs="Times New Roman"/>
          <w:snapToGrid w:val="0"/>
          <w:color w:val="auto"/>
          <w:w w:val="100"/>
          <w:kern w:val="0"/>
          <w:sz w:val="44"/>
          <w:szCs w:val="44"/>
          <w:lang w:val="en-US" w:eastAsia="zh-CN"/>
        </w:rPr>
      </w:pPr>
    </w:p>
    <w:p>
      <w:pPr>
        <w:keepNext w:val="0"/>
        <w:keepLines w:val="0"/>
        <w:pageBreakBefore w:val="0"/>
        <w:widowControl w:val="0"/>
        <w:kinsoku/>
        <w:wordWrap/>
        <w:overflowPunct/>
        <w:topLinePunct w:val="0"/>
        <w:autoSpaceDE/>
        <w:autoSpaceDN/>
        <w:bidi w:val="0"/>
        <w:adjustRightInd w:val="0"/>
        <w:snapToGrid w:val="0"/>
        <w:spacing w:line="590" w:lineRule="exact"/>
        <w:jc w:val="center"/>
        <w:textAlignment w:val="auto"/>
        <w:outlineLvl w:val="9"/>
        <w:rPr>
          <w:rFonts w:hint="eastAsia" w:ascii="方正小标宋简体" w:hAnsi="方正小标宋简体" w:eastAsia="方正小标宋简体" w:cs="方正小标宋简体"/>
          <w:snapToGrid w:val="0"/>
          <w:color w:val="auto"/>
          <w:w w:val="100"/>
          <w:kern w:val="0"/>
          <w:sz w:val="44"/>
          <w:szCs w:val="44"/>
        </w:rPr>
      </w:pPr>
      <w:r>
        <w:rPr>
          <w:rFonts w:hint="eastAsia" w:ascii="方正小标宋简体" w:hAnsi="方正小标宋简体" w:eastAsia="方正小标宋简体" w:cs="方正小标宋简体"/>
          <w:snapToGrid w:val="0"/>
          <w:color w:val="auto"/>
          <w:w w:val="100"/>
          <w:kern w:val="0"/>
          <w:sz w:val="44"/>
          <w:szCs w:val="44"/>
          <w:lang w:val="en-US" w:eastAsia="zh-CN"/>
        </w:rPr>
        <w:t>XXX项目</w:t>
      </w:r>
      <w:r>
        <w:rPr>
          <w:rFonts w:hint="eastAsia" w:ascii="方正小标宋简体" w:hAnsi="方正小标宋简体" w:eastAsia="方正小标宋简体" w:cs="方正小标宋简体"/>
          <w:snapToGrid w:val="0"/>
          <w:color w:val="auto"/>
          <w:w w:val="100"/>
          <w:kern w:val="0"/>
          <w:sz w:val="44"/>
          <w:szCs w:val="44"/>
        </w:rPr>
        <w:t>配套资金承诺函</w:t>
      </w:r>
    </w:p>
    <w:p>
      <w:pPr>
        <w:adjustRightInd w:val="0"/>
        <w:snapToGrid w:val="0"/>
        <w:spacing w:line="590" w:lineRule="exact"/>
        <w:rPr>
          <w:rFonts w:hint="eastAsia" w:ascii="仿宋" w:hAnsi="仿宋" w:eastAsia="仿宋" w:cs="仿宋"/>
          <w:snapToGrid w:val="0"/>
          <w:color w:val="auto"/>
          <w:kern w:val="0"/>
          <w:sz w:val="24"/>
          <w:szCs w:val="24"/>
        </w:rPr>
      </w:pPr>
    </w:p>
    <w:p>
      <w:pPr>
        <w:keepNext w:val="0"/>
        <w:keepLines w:val="0"/>
        <w:pageBreakBefore w:val="0"/>
        <w:widowControl w:val="0"/>
        <w:kinsoku/>
        <w:wordWrap/>
        <w:overflowPunct/>
        <w:topLinePunct w:val="0"/>
        <w:autoSpaceDE/>
        <w:autoSpaceDN/>
        <w:bidi w:val="0"/>
        <w:adjustRightInd w:val="0"/>
        <w:snapToGrid w:val="0"/>
        <w:spacing w:line="590" w:lineRule="exact"/>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广东省农业农村厅:</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根据《</w:t>
      </w:r>
      <w:r>
        <w:rPr>
          <w:rFonts w:hint="eastAsia" w:ascii="仿宋_GB2312" w:hAnsi="仿宋_GB2312" w:eastAsia="仿宋_GB2312" w:cs="仿宋_GB2312"/>
          <w:snapToGrid w:val="0"/>
          <w:color w:val="auto"/>
          <w:kern w:val="0"/>
          <w:sz w:val="32"/>
          <w:szCs w:val="32"/>
          <w:lang w:val="en-US" w:eastAsia="zh-CN"/>
        </w:rPr>
        <w:t>关于印发&lt;2022-2023年乡村振兴战略专项省级种业振兴行动项目入库申报指南&gt;的通知</w:t>
      </w:r>
      <w:r>
        <w:rPr>
          <w:rFonts w:hint="eastAsia" w:ascii="仿宋_GB2312" w:hAnsi="仿宋_GB2312" w:eastAsia="仿宋_GB2312" w:cs="仿宋_GB2312"/>
          <w:snapToGrid w:val="0"/>
          <w:color w:val="auto"/>
          <w:kern w:val="0"/>
          <w:sz w:val="32"/>
          <w:szCs w:val="32"/>
          <w:lang w:val="zh-CN"/>
        </w:rPr>
        <w:t>》，我单位拟申报“</w:t>
      </w:r>
      <w:r>
        <w:rPr>
          <w:rFonts w:hint="eastAsia" w:ascii="仿宋_GB2312" w:hAnsi="仿宋_GB2312" w:eastAsia="仿宋_GB2312" w:cs="仿宋_GB2312"/>
          <w:snapToGrid w:val="0"/>
          <w:color w:val="auto"/>
          <w:kern w:val="0"/>
          <w:sz w:val="32"/>
          <w:szCs w:val="32"/>
          <w:lang w:val="en-US" w:eastAsia="zh-CN"/>
        </w:rPr>
        <w:t>XX项目</w:t>
      </w:r>
      <w:r>
        <w:rPr>
          <w:rFonts w:hint="eastAsia" w:ascii="仿宋_GB2312" w:hAnsi="仿宋_GB2312" w:eastAsia="仿宋_GB2312" w:cs="仿宋_GB2312"/>
          <w:snapToGrid w:val="0"/>
          <w:color w:val="auto"/>
          <w:kern w:val="0"/>
          <w:sz w:val="32"/>
          <w:szCs w:val="32"/>
          <w:lang w:val="zh-CN"/>
        </w:rPr>
        <w:t>”，总计投资</w:t>
      </w:r>
      <w:r>
        <w:rPr>
          <w:rFonts w:hint="eastAsia" w:ascii="仿宋_GB2312" w:hAnsi="仿宋_GB2312" w:eastAsia="仿宋_GB2312" w:cs="仿宋_GB2312"/>
          <w:snapToGrid w:val="0"/>
          <w:color w:val="auto"/>
          <w:kern w:val="0"/>
          <w:sz w:val="32"/>
          <w:szCs w:val="32"/>
          <w:lang w:val="en-US" w:eastAsia="zh-CN"/>
        </w:rPr>
        <w:t>XX</w:t>
      </w:r>
      <w:r>
        <w:rPr>
          <w:rFonts w:hint="eastAsia" w:ascii="仿宋_GB2312" w:hAnsi="仿宋_GB2312" w:eastAsia="仿宋_GB2312" w:cs="仿宋_GB2312"/>
          <w:snapToGrid w:val="0"/>
          <w:color w:val="auto"/>
          <w:kern w:val="0"/>
          <w:sz w:val="32"/>
          <w:szCs w:val="32"/>
          <w:lang w:val="zh-CN"/>
        </w:rPr>
        <w:t>万，其中申请</w:t>
      </w:r>
      <w:r>
        <w:rPr>
          <w:rFonts w:hint="eastAsia" w:ascii="仿宋_GB2312" w:hAnsi="仿宋_GB2312" w:eastAsia="仿宋_GB2312" w:cs="仿宋_GB2312"/>
          <w:snapToGrid w:val="0"/>
          <w:color w:val="auto"/>
          <w:kern w:val="0"/>
          <w:sz w:val="32"/>
          <w:szCs w:val="32"/>
          <w:lang w:val="zh-CN" w:eastAsia="zh-CN"/>
        </w:rPr>
        <w:t>省</w:t>
      </w:r>
      <w:r>
        <w:rPr>
          <w:rFonts w:hint="eastAsia" w:ascii="仿宋_GB2312" w:hAnsi="仿宋_GB2312" w:eastAsia="仿宋_GB2312" w:cs="仿宋_GB2312"/>
          <w:snapToGrid w:val="0"/>
          <w:color w:val="auto"/>
          <w:kern w:val="0"/>
          <w:sz w:val="32"/>
          <w:szCs w:val="32"/>
          <w:lang w:val="zh-CN"/>
        </w:rPr>
        <w:t>财政资金</w:t>
      </w:r>
      <w:r>
        <w:rPr>
          <w:rFonts w:hint="eastAsia" w:ascii="仿宋_GB2312" w:hAnsi="仿宋_GB2312" w:eastAsia="仿宋_GB2312" w:cs="仿宋_GB2312"/>
          <w:snapToGrid w:val="0"/>
          <w:color w:val="auto"/>
          <w:kern w:val="0"/>
          <w:sz w:val="32"/>
          <w:szCs w:val="32"/>
          <w:lang w:val="en-US" w:eastAsia="zh-CN"/>
        </w:rPr>
        <w:t>XX</w:t>
      </w:r>
      <w:r>
        <w:rPr>
          <w:rFonts w:hint="eastAsia" w:ascii="仿宋_GB2312" w:hAnsi="仿宋_GB2312" w:eastAsia="仿宋_GB2312" w:cs="仿宋_GB2312"/>
          <w:snapToGrid w:val="0"/>
          <w:color w:val="auto"/>
          <w:kern w:val="0"/>
          <w:sz w:val="32"/>
          <w:szCs w:val="32"/>
          <w:lang w:val="zh-CN"/>
        </w:rPr>
        <w:t>万元，单位（企业）自筹</w:t>
      </w:r>
      <w:r>
        <w:rPr>
          <w:rFonts w:hint="eastAsia" w:ascii="仿宋_GB2312" w:hAnsi="仿宋_GB2312" w:eastAsia="仿宋_GB2312" w:cs="仿宋_GB2312"/>
          <w:snapToGrid w:val="0"/>
          <w:color w:val="auto"/>
          <w:kern w:val="0"/>
          <w:sz w:val="32"/>
          <w:szCs w:val="32"/>
          <w:lang w:val="en-US" w:eastAsia="zh-CN"/>
        </w:rPr>
        <w:t>XX</w:t>
      </w:r>
      <w:r>
        <w:rPr>
          <w:rFonts w:hint="eastAsia" w:ascii="仿宋_GB2312" w:hAnsi="仿宋_GB2312" w:eastAsia="仿宋_GB2312" w:cs="仿宋_GB2312"/>
          <w:snapToGrid w:val="0"/>
          <w:color w:val="auto"/>
          <w:kern w:val="0"/>
          <w:sz w:val="32"/>
          <w:szCs w:val="32"/>
          <w:lang w:val="zh-CN"/>
        </w:rPr>
        <w:t>万元，项目不涉及地方财政，不会造成地方财政隐性债务。</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根据有关要求，我单位承诺:配套资金</w:t>
      </w:r>
      <w:r>
        <w:rPr>
          <w:rFonts w:hint="eastAsia" w:ascii="仿宋_GB2312" w:hAnsi="仿宋_GB2312" w:eastAsia="仿宋_GB2312" w:cs="仿宋_GB2312"/>
          <w:snapToGrid w:val="0"/>
          <w:color w:val="auto"/>
          <w:kern w:val="0"/>
          <w:sz w:val="32"/>
          <w:szCs w:val="32"/>
          <w:lang w:val="en-US" w:eastAsia="zh-CN"/>
        </w:rPr>
        <w:t>XX</w:t>
      </w:r>
      <w:r>
        <w:rPr>
          <w:rFonts w:hint="eastAsia" w:ascii="仿宋_GB2312" w:hAnsi="仿宋_GB2312" w:eastAsia="仿宋_GB2312" w:cs="仿宋_GB2312"/>
          <w:snapToGrid w:val="0"/>
          <w:color w:val="auto"/>
          <w:kern w:val="0"/>
          <w:sz w:val="32"/>
          <w:szCs w:val="32"/>
          <w:lang w:val="zh-CN"/>
        </w:rPr>
        <w:t>万元均由本单位承担，并保证资金按项目实施计划按时到位。</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特此承诺。</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outlineLvl w:val="9"/>
        <w:rPr>
          <w:rFonts w:hint="eastAsia" w:ascii="仿宋_GB2312" w:hAnsi="仿宋_GB2312" w:eastAsia="仿宋_GB2312" w:cs="仿宋_GB2312"/>
          <w:snapToGrid w:val="0"/>
          <w:color w:val="auto"/>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90" w:lineRule="exact"/>
        <w:ind w:firstLine="5760" w:firstLineChars="1800"/>
        <w:textAlignment w:val="auto"/>
        <w:outlineLvl w:val="9"/>
        <w:rPr>
          <w:rFonts w:hint="eastAsia"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申报单位</w:t>
      </w:r>
    </w:p>
    <w:p>
      <w:pPr>
        <w:keepNext w:val="0"/>
        <w:keepLines w:val="0"/>
        <w:pageBreakBefore w:val="0"/>
        <w:widowControl w:val="0"/>
        <w:kinsoku/>
        <w:wordWrap/>
        <w:overflowPunct/>
        <w:topLinePunct w:val="0"/>
        <w:autoSpaceDE/>
        <w:autoSpaceDN/>
        <w:bidi w:val="0"/>
        <w:adjustRightInd w:val="0"/>
        <w:snapToGrid w:val="0"/>
        <w:spacing w:line="590" w:lineRule="exact"/>
        <w:ind w:firstLine="5120" w:firstLineChars="1600"/>
        <w:textAlignment w:val="auto"/>
        <w:outlineLvl w:val="9"/>
        <w:rPr>
          <w:rFonts w:hint="eastAsia" w:ascii="仿宋_GB2312" w:hAnsi="仿宋_GB2312" w:eastAsia="仿宋_GB2312" w:cs="仿宋_GB2312"/>
          <w:snapToGrid w:val="0"/>
          <w:color w:val="auto"/>
          <w:kern w:val="0"/>
          <w:sz w:val="32"/>
          <w:szCs w:val="32"/>
          <w:lang w:val="zh-CN"/>
        </w:rPr>
      </w:pPr>
      <w:r>
        <w:rPr>
          <w:rFonts w:hint="eastAsia" w:ascii="仿宋_GB2312" w:hAnsi="仿宋_GB2312" w:eastAsia="仿宋_GB2312" w:cs="仿宋_GB2312"/>
          <w:snapToGrid w:val="0"/>
          <w:color w:val="auto"/>
          <w:kern w:val="0"/>
          <w:sz w:val="32"/>
          <w:szCs w:val="32"/>
          <w:lang w:val="zh-CN"/>
        </w:rPr>
        <w:t>202</w:t>
      </w:r>
      <w:r>
        <w:rPr>
          <w:rFonts w:hint="eastAsia" w:ascii="仿宋_GB2312" w:hAnsi="仿宋_GB2312" w:eastAsia="仿宋_GB2312" w:cs="仿宋_GB2312"/>
          <w:snapToGrid w:val="0"/>
          <w:color w:val="auto"/>
          <w:kern w:val="0"/>
          <w:sz w:val="32"/>
          <w:szCs w:val="32"/>
          <w:lang w:val="en-US" w:eastAsia="zh-CN"/>
        </w:rPr>
        <w:t>2年8</w:t>
      </w:r>
      <w:r>
        <w:rPr>
          <w:rFonts w:hint="eastAsia" w:ascii="仿宋_GB2312" w:hAnsi="仿宋_GB2312" w:eastAsia="仿宋_GB2312" w:cs="仿宋_GB2312"/>
          <w:snapToGrid w:val="0"/>
          <w:color w:val="auto"/>
          <w:kern w:val="0"/>
          <w:sz w:val="32"/>
          <w:szCs w:val="32"/>
          <w:lang w:val="zh-CN"/>
        </w:rPr>
        <w:t>月</w:t>
      </w:r>
      <w:r>
        <w:rPr>
          <w:rFonts w:hint="eastAsia" w:ascii="仿宋_GB2312" w:hAnsi="仿宋_GB2312" w:eastAsia="仿宋_GB2312" w:cs="仿宋_GB2312"/>
          <w:snapToGrid w:val="0"/>
          <w:color w:val="auto"/>
          <w:kern w:val="0"/>
          <w:sz w:val="32"/>
          <w:szCs w:val="32"/>
          <w:lang w:val="en-US" w:eastAsia="zh-CN"/>
        </w:rPr>
        <w:t>XX</w:t>
      </w:r>
      <w:r>
        <w:rPr>
          <w:rFonts w:hint="eastAsia" w:ascii="仿宋_GB2312" w:hAnsi="仿宋_GB2312" w:eastAsia="仿宋_GB2312" w:cs="仿宋_GB2312"/>
          <w:snapToGrid w:val="0"/>
          <w:color w:val="auto"/>
          <w:kern w:val="0"/>
          <w:sz w:val="32"/>
          <w:szCs w:val="32"/>
          <w:lang w:val="zh-CN" w:eastAsia="zh-CN"/>
        </w:rPr>
        <w:t>日</w:t>
      </w:r>
    </w:p>
    <w:p>
      <w:pPr>
        <w:keepNext w:val="0"/>
        <w:keepLines w:val="0"/>
        <w:pageBreakBefore w:val="0"/>
        <w:kinsoku/>
        <w:wordWrap/>
        <w:topLinePunct w:val="0"/>
        <w:bidi w:val="0"/>
        <w:adjustRightInd w:val="0"/>
        <w:snapToGrid w:val="0"/>
        <w:spacing w:line="590" w:lineRule="exact"/>
        <w:jc w:val="both"/>
        <w:outlineLvl w:val="9"/>
        <w:rPr>
          <w:rFonts w:hint="eastAsia" w:ascii="仿宋_GB2312" w:hAnsi="仿宋_GB2312" w:eastAsia="仿宋_GB2312" w:cs="仿宋_GB2312"/>
          <w:b w:val="0"/>
          <w:bCs w:val="0"/>
          <w:snapToGrid w:val="0"/>
          <w:color w:val="auto"/>
          <w:kern w:val="0"/>
          <w:sz w:val="32"/>
          <w:szCs w:val="32"/>
          <w:lang w:eastAsia="zh-CN"/>
        </w:rPr>
        <w:sectPr>
          <w:footerReference r:id="rId3" w:type="default"/>
          <w:pgSz w:w="11906" w:h="16838"/>
          <w:pgMar w:top="1871" w:right="1531" w:bottom="1871" w:left="1531" w:header="850" w:footer="1417" w:gutter="0"/>
          <w:pgNumType w:fmt="decimal"/>
          <w:cols w:space="0" w:num="1"/>
          <w:rtlGutter w:val="0"/>
          <w:docGrid w:type="lines" w:linePitch="595" w:charSpace="0"/>
        </w:sectPr>
      </w:pPr>
    </w:p>
    <w:p>
      <w:pPr>
        <w:adjustRightInd w:val="0"/>
        <w:snapToGrid w:val="0"/>
        <w:spacing w:line="590" w:lineRule="exact"/>
        <w:rPr>
          <w:rFonts w:hint="default" w:ascii="黑体" w:hAnsi="黑体" w:eastAsia="黑体" w:cs="黑体"/>
          <w:b w:val="0"/>
          <w:bCs w:val="0"/>
          <w:snapToGrid w:val="0"/>
          <w:color w:val="auto"/>
          <w:kern w:val="0"/>
          <w:sz w:val="32"/>
          <w:szCs w:val="32"/>
          <w:lang w:val="en-US" w:eastAsia="zh-CN"/>
        </w:rPr>
      </w:pPr>
      <w:r>
        <w:rPr>
          <w:rFonts w:hint="eastAsia" w:ascii="黑体" w:hAnsi="黑体" w:eastAsia="黑体" w:cs="黑体"/>
          <w:b w:val="0"/>
          <w:bCs w:val="0"/>
          <w:snapToGrid w:val="0"/>
          <w:color w:val="auto"/>
          <w:kern w:val="0"/>
          <w:sz w:val="32"/>
          <w:szCs w:val="32"/>
          <w:lang w:val="en-US" w:eastAsia="zh-CN"/>
        </w:rPr>
        <w:t>附件7</w:t>
      </w:r>
    </w:p>
    <w:p>
      <w:pPr>
        <w:keepNext w:val="0"/>
        <w:keepLines w:val="0"/>
        <w:pageBreakBefore w:val="0"/>
        <w:widowControl w:val="0"/>
        <w:kinsoku/>
        <w:wordWrap/>
        <w:overflowPunct/>
        <w:topLinePunct w:val="0"/>
        <w:autoSpaceDE/>
        <w:autoSpaceDN/>
        <w:bidi w:val="0"/>
        <w:adjustRightInd w:val="0"/>
        <w:snapToGrid w:val="0"/>
        <w:spacing w:line="700" w:lineRule="exact"/>
        <w:jc w:val="both"/>
        <w:textAlignment w:val="auto"/>
        <w:rPr>
          <w:rFonts w:hint="eastAsia" w:ascii="方正小标宋简体" w:hAnsi="方正小标宋简体" w:eastAsia="方正小标宋简体" w:cs="方正小标宋简体"/>
          <w:b/>
          <w:bCs/>
          <w:snapToGrid w:val="0"/>
          <w:color w:val="auto"/>
          <w:kern w:val="0"/>
          <w:sz w:val="44"/>
          <w:szCs w:val="44"/>
          <w:lang w:val="en-US" w:eastAsia="zh-CN"/>
        </w:rPr>
      </w:pPr>
    </w:p>
    <w:p>
      <w:pPr>
        <w:keepNext w:val="0"/>
        <w:keepLines w:val="0"/>
        <w:pageBreakBefore w:val="0"/>
        <w:widowControl w:val="0"/>
        <w:kinsoku/>
        <w:wordWrap/>
        <w:overflowPunct/>
        <w:topLinePunct w:val="0"/>
        <w:autoSpaceDE/>
        <w:autoSpaceDN/>
        <w:bidi w:val="0"/>
        <w:adjustRightInd w:val="0"/>
        <w:snapToGrid w:val="0"/>
        <w:spacing w:line="700" w:lineRule="exact"/>
        <w:jc w:val="both"/>
        <w:textAlignment w:val="auto"/>
        <w:rPr>
          <w:rFonts w:hint="eastAsia" w:ascii="方正小标宋简体" w:hAnsi="方正小标宋简体" w:eastAsia="方正小标宋简体" w:cs="方正小标宋简体"/>
          <w:b/>
          <w:bCs/>
          <w:snapToGrid w:val="0"/>
          <w:color w:val="auto"/>
          <w:kern w:val="0"/>
          <w:sz w:val="44"/>
          <w:szCs w:val="44"/>
          <w:lang w:val="en-US" w:eastAsia="zh-CN"/>
        </w:rPr>
      </w:pPr>
    </w:p>
    <w:p>
      <w:pPr>
        <w:bidi w:val="0"/>
        <w:adjustRightInd w:val="0"/>
        <w:snapToGrid w:val="0"/>
        <w:spacing w:line="700" w:lineRule="exact"/>
        <w:jc w:val="center"/>
        <w:outlineLvl w:val="9"/>
        <w:rPr>
          <w:rFonts w:hint="eastAsia" w:ascii="方正小标宋简体" w:hAnsi="方正小标宋简体" w:eastAsia="方正小标宋简体" w:cs="方正小标宋简体"/>
          <w:snapToGrid w:val="0"/>
          <w:spacing w:val="0"/>
          <w:kern w:val="0"/>
          <w:sz w:val="48"/>
          <w:szCs w:val="48"/>
          <w:lang w:val="en-US" w:eastAsia="zh-CN"/>
        </w:rPr>
      </w:pPr>
      <w:r>
        <w:rPr>
          <w:rFonts w:hint="eastAsia" w:ascii="方正小标宋简体" w:hAnsi="方正小标宋简体" w:eastAsia="方正小标宋简体" w:cs="方正小标宋简体"/>
          <w:snapToGrid w:val="0"/>
          <w:spacing w:val="0"/>
          <w:kern w:val="0"/>
          <w:sz w:val="48"/>
          <w:szCs w:val="48"/>
          <w:lang w:val="en-US" w:eastAsia="zh-CN"/>
        </w:rPr>
        <w:t>广东省农业农村厅种业振兴行动</w:t>
      </w:r>
    </w:p>
    <w:p>
      <w:pPr>
        <w:bidi w:val="0"/>
        <w:adjustRightInd w:val="0"/>
        <w:snapToGrid w:val="0"/>
        <w:spacing w:line="700" w:lineRule="exact"/>
        <w:jc w:val="center"/>
        <w:outlineLvl w:val="9"/>
        <w:rPr>
          <w:rFonts w:hint="eastAsia" w:ascii="方正小标宋简体" w:hAnsi="方正小标宋简体" w:eastAsia="方正小标宋简体" w:cs="方正小标宋简体"/>
          <w:snapToGrid w:val="0"/>
          <w:spacing w:val="0"/>
          <w:kern w:val="0"/>
          <w:sz w:val="48"/>
          <w:szCs w:val="48"/>
          <w:lang w:val="en-US" w:eastAsia="zh-CN"/>
        </w:rPr>
      </w:pPr>
      <w:r>
        <w:rPr>
          <w:rFonts w:hint="eastAsia" w:ascii="方正小标宋简体" w:hAnsi="方正小标宋简体" w:eastAsia="方正小标宋简体" w:cs="方正小标宋简体"/>
          <w:snapToGrid w:val="0"/>
          <w:spacing w:val="0"/>
          <w:kern w:val="0"/>
          <w:sz w:val="48"/>
          <w:szCs w:val="48"/>
          <w:lang w:val="en-US" w:eastAsia="zh-CN"/>
        </w:rPr>
        <w:t>（专项）申报书模板</w:t>
      </w:r>
    </w:p>
    <w:p>
      <w:pPr>
        <w:keepNext w:val="0"/>
        <w:keepLines w:val="0"/>
        <w:pageBreakBefore w:val="0"/>
        <w:kinsoku/>
        <w:wordWrap/>
        <w:topLinePunct w:val="0"/>
        <w:bidi w:val="0"/>
        <w:adjustRightInd w:val="0"/>
        <w:snapToGrid w:val="0"/>
        <w:spacing w:line="700" w:lineRule="exact"/>
        <w:rPr>
          <w:rFonts w:ascii="宋体" w:hAnsi="宋体"/>
          <w:snapToGrid w:val="0"/>
          <w:color w:val="auto"/>
          <w:kern w:val="0"/>
          <w:sz w:val="28"/>
          <w:szCs w:val="28"/>
        </w:rPr>
      </w:pPr>
    </w:p>
    <w:p>
      <w:pPr>
        <w:keepNext w:val="0"/>
        <w:keepLines w:val="0"/>
        <w:pageBreakBefore w:val="0"/>
        <w:kinsoku/>
        <w:wordWrap/>
        <w:topLinePunct w:val="0"/>
        <w:bidi w:val="0"/>
        <w:adjustRightInd w:val="0"/>
        <w:snapToGrid w:val="0"/>
        <w:spacing w:line="590" w:lineRule="exact"/>
        <w:ind w:firstLine="536"/>
        <w:rPr>
          <w:rFonts w:ascii="宋体" w:hAnsi="宋体"/>
          <w:snapToGrid w:val="0"/>
          <w:color w:val="auto"/>
          <w:kern w:val="0"/>
          <w:sz w:val="28"/>
          <w:szCs w:val="28"/>
        </w:rPr>
      </w:pPr>
    </w:p>
    <w:p>
      <w:pPr>
        <w:keepNext w:val="0"/>
        <w:keepLines w:val="0"/>
        <w:pageBreakBefore w:val="0"/>
        <w:kinsoku/>
        <w:wordWrap/>
        <w:topLinePunct w:val="0"/>
        <w:bidi w:val="0"/>
        <w:adjustRightInd w:val="0"/>
        <w:snapToGrid w:val="0"/>
        <w:spacing w:line="590" w:lineRule="exact"/>
        <w:ind w:firstLine="536"/>
        <w:rPr>
          <w:rFonts w:ascii="宋体" w:hAnsi="宋体"/>
          <w:snapToGrid w:val="0"/>
          <w:color w:val="auto"/>
          <w:kern w:val="0"/>
          <w:sz w:val="28"/>
          <w:szCs w:val="28"/>
        </w:rPr>
      </w:pPr>
    </w:p>
    <w:p>
      <w:pPr>
        <w:adjustRightInd w:val="0"/>
        <w:snapToGrid w:val="0"/>
        <w:spacing w:line="590" w:lineRule="exact"/>
        <w:outlineLvl w:val="9"/>
        <w:rPr>
          <w:snapToGrid w:val="0"/>
          <w:kern w:val="0"/>
        </w:rPr>
      </w:pPr>
    </w:p>
    <w:tbl>
      <w:tblPr>
        <w:tblStyle w:val="12"/>
        <w:tblW w:w="8472" w:type="dxa"/>
        <w:jc w:val="center"/>
        <w:tblLayout w:type="fixed"/>
        <w:tblCellMar>
          <w:top w:w="0" w:type="dxa"/>
          <w:left w:w="108" w:type="dxa"/>
          <w:bottom w:w="0" w:type="dxa"/>
          <w:right w:w="108" w:type="dxa"/>
        </w:tblCellMar>
      </w:tblPr>
      <w:tblGrid>
        <w:gridCol w:w="2632"/>
        <w:gridCol w:w="5840"/>
      </w:tblGrid>
      <w:tr>
        <w:tblPrEx>
          <w:tblCellMar>
            <w:top w:w="0" w:type="dxa"/>
            <w:left w:w="108" w:type="dxa"/>
            <w:bottom w:w="0" w:type="dxa"/>
            <w:right w:w="108" w:type="dxa"/>
          </w:tblCellMar>
        </w:tblPrEx>
        <w:trPr>
          <w:jc w:val="center"/>
        </w:trPr>
        <w:tc>
          <w:tcPr>
            <w:tcW w:w="2632" w:type="dxa"/>
            <w:vAlign w:val="center"/>
          </w:tcPr>
          <w:p>
            <w:pPr>
              <w:keepNext w:val="0"/>
              <w:keepLines w:val="0"/>
              <w:pageBreakBefore w:val="0"/>
              <w:kinsoku/>
              <w:wordWrap/>
              <w:topLinePunct w:val="0"/>
              <w:bidi w:val="0"/>
              <w:adjustRightInd w:val="0"/>
              <w:snapToGrid w:val="0"/>
              <w:spacing w:line="590" w:lineRule="exact"/>
              <w:jc w:val="both"/>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项</w:t>
            </w:r>
            <w:r>
              <w:rPr>
                <w:rFonts w:hint="eastAsia" w:ascii="仿宋_GB2312" w:hAnsi="仿宋_GB2312" w:eastAsia="仿宋_GB2312" w:cs="仿宋_GB2312"/>
                <w:snapToGrid w:val="0"/>
                <w:color w:val="auto"/>
                <w:kern w:val="0"/>
                <w:sz w:val="32"/>
                <w:szCs w:val="32"/>
                <w:lang w:val="en-US" w:eastAsia="zh-CN"/>
              </w:rPr>
              <w:t xml:space="preserve"> </w:t>
            </w:r>
            <w:r>
              <w:rPr>
                <w:rFonts w:hint="eastAsia" w:ascii="仿宋_GB2312" w:hAnsi="仿宋_GB2312" w:eastAsia="仿宋_GB2312" w:cs="仿宋_GB2312"/>
                <w:snapToGrid w:val="0"/>
                <w:color w:val="auto"/>
                <w:kern w:val="0"/>
                <w:sz w:val="32"/>
                <w:szCs w:val="32"/>
              </w:rPr>
              <w:t>目</w:t>
            </w:r>
            <w:r>
              <w:rPr>
                <w:rFonts w:hint="eastAsia" w:ascii="仿宋_GB2312" w:hAnsi="仿宋_GB2312" w:eastAsia="仿宋_GB2312" w:cs="仿宋_GB2312"/>
                <w:snapToGrid w:val="0"/>
                <w:color w:val="auto"/>
                <w:kern w:val="0"/>
                <w:sz w:val="32"/>
                <w:szCs w:val="32"/>
                <w:lang w:val="en-US" w:eastAsia="zh-CN"/>
              </w:rPr>
              <w:t xml:space="preserve"> </w:t>
            </w:r>
            <w:r>
              <w:rPr>
                <w:rFonts w:hint="eastAsia" w:ascii="仿宋_GB2312" w:hAnsi="仿宋_GB2312" w:eastAsia="仿宋_GB2312" w:cs="仿宋_GB2312"/>
                <w:snapToGrid w:val="0"/>
                <w:color w:val="auto"/>
                <w:kern w:val="0"/>
                <w:sz w:val="32"/>
                <w:szCs w:val="32"/>
              </w:rPr>
              <w:t>名</w:t>
            </w:r>
            <w:r>
              <w:rPr>
                <w:rFonts w:hint="eastAsia" w:ascii="仿宋_GB2312" w:hAnsi="仿宋_GB2312" w:eastAsia="仿宋_GB2312" w:cs="仿宋_GB2312"/>
                <w:snapToGrid w:val="0"/>
                <w:color w:val="auto"/>
                <w:kern w:val="0"/>
                <w:sz w:val="32"/>
                <w:szCs w:val="32"/>
                <w:lang w:val="en-US" w:eastAsia="zh-CN"/>
              </w:rPr>
              <w:t xml:space="preserve"> </w:t>
            </w:r>
            <w:r>
              <w:rPr>
                <w:rFonts w:hint="eastAsia" w:ascii="仿宋_GB2312" w:hAnsi="仿宋_GB2312" w:eastAsia="仿宋_GB2312" w:cs="仿宋_GB2312"/>
                <w:snapToGrid w:val="0"/>
                <w:color w:val="auto"/>
                <w:kern w:val="0"/>
                <w:sz w:val="32"/>
                <w:szCs w:val="32"/>
              </w:rPr>
              <w:t>称：</w:t>
            </w:r>
          </w:p>
        </w:tc>
        <w:tc>
          <w:tcPr>
            <w:tcW w:w="5840" w:type="dxa"/>
            <w:tcBorders>
              <w:bottom w:val="single" w:color="auto" w:sz="4" w:space="0"/>
            </w:tcBorders>
            <w:vAlign w:val="center"/>
          </w:tcPr>
          <w:p>
            <w:pPr>
              <w:keepNext w:val="0"/>
              <w:keepLines w:val="0"/>
              <w:pageBreakBefore w:val="0"/>
              <w:kinsoku/>
              <w:wordWrap/>
              <w:topLinePunct w:val="0"/>
              <w:bidi w:val="0"/>
              <w:adjustRightInd w:val="0"/>
              <w:snapToGrid w:val="0"/>
              <w:spacing w:line="590" w:lineRule="exact"/>
              <w:ind w:firstLine="536"/>
              <w:jc w:val="both"/>
              <w:rPr>
                <w:rFonts w:hint="eastAsia" w:ascii="仿宋_GB2312" w:hAnsi="仿宋_GB2312" w:eastAsia="仿宋_GB2312" w:cs="仿宋_GB2312"/>
                <w:snapToGrid w:val="0"/>
                <w:color w:val="auto"/>
                <w:kern w:val="0"/>
                <w:sz w:val="32"/>
                <w:szCs w:val="32"/>
              </w:rPr>
            </w:pPr>
          </w:p>
        </w:tc>
      </w:tr>
      <w:tr>
        <w:tblPrEx>
          <w:tblCellMar>
            <w:top w:w="0" w:type="dxa"/>
            <w:left w:w="108" w:type="dxa"/>
            <w:bottom w:w="0" w:type="dxa"/>
            <w:right w:w="108" w:type="dxa"/>
          </w:tblCellMar>
        </w:tblPrEx>
        <w:trPr>
          <w:jc w:val="center"/>
        </w:trPr>
        <w:tc>
          <w:tcPr>
            <w:tcW w:w="2632" w:type="dxa"/>
            <w:vAlign w:val="center"/>
          </w:tcPr>
          <w:p>
            <w:pPr>
              <w:keepNext w:val="0"/>
              <w:keepLines w:val="0"/>
              <w:pageBreakBefore w:val="0"/>
              <w:kinsoku/>
              <w:wordWrap/>
              <w:topLinePunct w:val="0"/>
              <w:bidi w:val="0"/>
              <w:adjustRightInd w:val="0"/>
              <w:snapToGrid w:val="0"/>
              <w:spacing w:line="590" w:lineRule="exact"/>
              <w:jc w:val="both"/>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申 报 单 位：</w:t>
            </w:r>
          </w:p>
        </w:tc>
        <w:tc>
          <w:tcPr>
            <w:tcW w:w="5840" w:type="dxa"/>
            <w:tcBorders>
              <w:bottom w:val="single" w:color="auto" w:sz="4" w:space="0"/>
            </w:tcBorders>
            <w:vAlign w:val="center"/>
          </w:tcPr>
          <w:p>
            <w:pPr>
              <w:keepNext w:val="0"/>
              <w:keepLines w:val="0"/>
              <w:pageBreakBefore w:val="0"/>
              <w:kinsoku/>
              <w:wordWrap/>
              <w:topLinePunct w:val="0"/>
              <w:bidi w:val="0"/>
              <w:adjustRightInd w:val="0"/>
              <w:snapToGrid w:val="0"/>
              <w:spacing w:line="590" w:lineRule="exact"/>
              <w:ind w:firstLine="536"/>
              <w:rPr>
                <w:rFonts w:hint="eastAsia" w:ascii="仿宋_GB2312" w:hAnsi="仿宋_GB2312" w:eastAsia="仿宋_GB2312" w:cs="仿宋_GB2312"/>
                <w:snapToGrid w:val="0"/>
                <w:color w:val="auto"/>
                <w:kern w:val="0"/>
                <w:sz w:val="32"/>
                <w:szCs w:val="32"/>
              </w:rPr>
            </w:pPr>
          </w:p>
        </w:tc>
      </w:tr>
      <w:tr>
        <w:tblPrEx>
          <w:tblCellMar>
            <w:top w:w="0" w:type="dxa"/>
            <w:left w:w="108" w:type="dxa"/>
            <w:bottom w:w="0" w:type="dxa"/>
            <w:right w:w="108" w:type="dxa"/>
          </w:tblCellMar>
        </w:tblPrEx>
        <w:trPr>
          <w:jc w:val="center"/>
        </w:trPr>
        <w:tc>
          <w:tcPr>
            <w:tcW w:w="2632" w:type="dxa"/>
            <w:vAlign w:val="center"/>
          </w:tcPr>
          <w:p>
            <w:pPr>
              <w:keepNext w:val="0"/>
              <w:keepLines w:val="0"/>
              <w:pageBreakBefore w:val="0"/>
              <w:kinsoku/>
              <w:wordWrap/>
              <w:topLinePunct w:val="0"/>
              <w:bidi w:val="0"/>
              <w:adjustRightInd w:val="0"/>
              <w:snapToGrid w:val="0"/>
              <w:spacing w:line="590" w:lineRule="exact"/>
              <w:jc w:val="both"/>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lang w:val="en-US" w:eastAsia="zh-CN"/>
              </w:rPr>
              <w:t>项目</w:t>
            </w:r>
            <w:r>
              <w:rPr>
                <w:rFonts w:hint="eastAsia" w:ascii="仿宋_GB2312" w:hAnsi="仿宋_GB2312" w:eastAsia="仿宋_GB2312" w:cs="仿宋_GB2312"/>
                <w:snapToGrid w:val="0"/>
                <w:color w:val="auto"/>
                <w:kern w:val="0"/>
                <w:sz w:val="32"/>
                <w:szCs w:val="32"/>
              </w:rPr>
              <w:t>负责人：</w:t>
            </w:r>
          </w:p>
        </w:tc>
        <w:tc>
          <w:tcPr>
            <w:tcW w:w="5840" w:type="dxa"/>
            <w:tcBorders>
              <w:top w:val="single" w:color="auto" w:sz="4" w:space="0"/>
              <w:bottom w:val="single" w:color="auto" w:sz="4" w:space="0"/>
            </w:tcBorders>
            <w:vAlign w:val="center"/>
          </w:tcPr>
          <w:p>
            <w:pPr>
              <w:keepNext w:val="0"/>
              <w:keepLines w:val="0"/>
              <w:pageBreakBefore w:val="0"/>
              <w:kinsoku/>
              <w:wordWrap/>
              <w:topLinePunct w:val="0"/>
              <w:bidi w:val="0"/>
              <w:adjustRightInd w:val="0"/>
              <w:snapToGrid w:val="0"/>
              <w:spacing w:line="590" w:lineRule="exact"/>
              <w:ind w:firstLine="536"/>
              <w:rPr>
                <w:rFonts w:hint="eastAsia" w:ascii="仿宋_GB2312" w:hAnsi="仿宋_GB2312" w:eastAsia="仿宋_GB2312" w:cs="仿宋_GB2312"/>
                <w:snapToGrid w:val="0"/>
                <w:color w:val="auto"/>
                <w:kern w:val="0"/>
                <w:sz w:val="32"/>
                <w:szCs w:val="32"/>
              </w:rPr>
            </w:pPr>
          </w:p>
        </w:tc>
      </w:tr>
      <w:tr>
        <w:tblPrEx>
          <w:tblCellMar>
            <w:top w:w="0" w:type="dxa"/>
            <w:left w:w="108" w:type="dxa"/>
            <w:bottom w:w="0" w:type="dxa"/>
            <w:right w:w="108" w:type="dxa"/>
          </w:tblCellMar>
        </w:tblPrEx>
        <w:trPr>
          <w:jc w:val="center"/>
        </w:trPr>
        <w:tc>
          <w:tcPr>
            <w:tcW w:w="2632" w:type="dxa"/>
            <w:vAlign w:val="center"/>
          </w:tcPr>
          <w:p>
            <w:pPr>
              <w:keepNext w:val="0"/>
              <w:keepLines w:val="0"/>
              <w:pageBreakBefore w:val="0"/>
              <w:kinsoku/>
              <w:wordWrap/>
              <w:topLinePunct w:val="0"/>
              <w:bidi w:val="0"/>
              <w:adjustRightInd w:val="0"/>
              <w:snapToGrid w:val="0"/>
              <w:spacing w:line="590" w:lineRule="exact"/>
              <w:jc w:val="both"/>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lang w:val="en-US" w:eastAsia="zh-CN"/>
              </w:rPr>
              <w:t>主 管 单 位</w:t>
            </w:r>
            <w:r>
              <w:rPr>
                <w:rFonts w:hint="eastAsia" w:ascii="仿宋_GB2312" w:hAnsi="仿宋_GB2312" w:eastAsia="仿宋_GB2312" w:cs="仿宋_GB2312"/>
                <w:snapToGrid w:val="0"/>
                <w:color w:val="auto"/>
                <w:kern w:val="0"/>
                <w:sz w:val="32"/>
                <w:szCs w:val="32"/>
              </w:rPr>
              <w:t>：</w:t>
            </w:r>
          </w:p>
        </w:tc>
        <w:tc>
          <w:tcPr>
            <w:tcW w:w="5840" w:type="dxa"/>
            <w:tcBorders>
              <w:top w:val="single" w:color="auto" w:sz="4" w:space="0"/>
              <w:bottom w:val="single" w:color="auto" w:sz="4" w:space="0"/>
            </w:tcBorders>
            <w:vAlign w:val="center"/>
          </w:tcPr>
          <w:p>
            <w:pPr>
              <w:keepNext w:val="0"/>
              <w:keepLines w:val="0"/>
              <w:pageBreakBefore w:val="0"/>
              <w:kinsoku/>
              <w:wordWrap/>
              <w:topLinePunct w:val="0"/>
              <w:bidi w:val="0"/>
              <w:adjustRightInd w:val="0"/>
              <w:snapToGrid w:val="0"/>
              <w:spacing w:line="590" w:lineRule="exact"/>
              <w:ind w:firstLine="536"/>
              <w:rPr>
                <w:rFonts w:hint="eastAsia" w:ascii="仿宋_GB2312" w:hAnsi="仿宋_GB2312" w:eastAsia="仿宋_GB2312" w:cs="仿宋_GB2312"/>
                <w:snapToGrid w:val="0"/>
                <w:color w:val="auto"/>
                <w:kern w:val="0"/>
                <w:sz w:val="32"/>
                <w:szCs w:val="32"/>
              </w:rPr>
            </w:pPr>
          </w:p>
        </w:tc>
      </w:tr>
      <w:tr>
        <w:tblPrEx>
          <w:tblCellMar>
            <w:top w:w="0" w:type="dxa"/>
            <w:left w:w="108" w:type="dxa"/>
            <w:bottom w:w="0" w:type="dxa"/>
            <w:right w:w="108" w:type="dxa"/>
          </w:tblCellMar>
        </w:tblPrEx>
        <w:trPr>
          <w:jc w:val="center"/>
        </w:trPr>
        <w:tc>
          <w:tcPr>
            <w:tcW w:w="2632" w:type="dxa"/>
            <w:vAlign w:val="center"/>
          </w:tcPr>
          <w:p>
            <w:pPr>
              <w:keepNext w:val="0"/>
              <w:keepLines w:val="0"/>
              <w:pageBreakBefore w:val="0"/>
              <w:kinsoku/>
              <w:wordWrap/>
              <w:topLinePunct w:val="0"/>
              <w:bidi w:val="0"/>
              <w:adjustRightInd w:val="0"/>
              <w:snapToGrid w:val="0"/>
              <w:spacing w:line="590" w:lineRule="exact"/>
              <w:jc w:val="both"/>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申 报 日 期：</w:t>
            </w:r>
          </w:p>
        </w:tc>
        <w:tc>
          <w:tcPr>
            <w:tcW w:w="5840" w:type="dxa"/>
            <w:vAlign w:val="center"/>
          </w:tcPr>
          <w:p>
            <w:pPr>
              <w:keepNext w:val="0"/>
              <w:keepLines w:val="0"/>
              <w:pageBreakBefore w:val="0"/>
              <w:kinsoku/>
              <w:wordWrap/>
              <w:topLinePunct w:val="0"/>
              <w:bidi w:val="0"/>
              <w:adjustRightInd w:val="0"/>
              <w:snapToGrid w:val="0"/>
              <w:spacing w:line="590" w:lineRule="exact"/>
              <w:ind w:firstLine="616"/>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 xml:space="preserve">       </w:t>
            </w:r>
          </w:p>
        </w:tc>
      </w:tr>
      <w:tr>
        <w:tblPrEx>
          <w:tblCellMar>
            <w:top w:w="0" w:type="dxa"/>
            <w:left w:w="108" w:type="dxa"/>
            <w:bottom w:w="0" w:type="dxa"/>
            <w:right w:w="108" w:type="dxa"/>
          </w:tblCellMar>
        </w:tblPrEx>
        <w:trPr>
          <w:jc w:val="center"/>
        </w:trPr>
        <w:tc>
          <w:tcPr>
            <w:tcW w:w="2632" w:type="dxa"/>
            <w:vAlign w:val="center"/>
          </w:tcPr>
          <w:p>
            <w:pPr>
              <w:keepNext w:val="0"/>
              <w:keepLines w:val="0"/>
              <w:pageBreakBefore w:val="0"/>
              <w:kinsoku/>
              <w:wordWrap/>
              <w:topLinePunct w:val="0"/>
              <w:bidi w:val="0"/>
              <w:adjustRightInd w:val="0"/>
              <w:snapToGrid w:val="0"/>
              <w:spacing w:line="590" w:lineRule="exact"/>
              <w:jc w:val="both"/>
              <w:rPr>
                <w:rFonts w:hint="eastAsia" w:ascii="仿宋_GB2312" w:hAnsi="仿宋_GB2312" w:eastAsia="仿宋_GB2312" w:cs="仿宋_GB2312"/>
                <w:snapToGrid w:val="0"/>
                <w:color w:val="auto"/>
                <w:kern w:val="0"/>
                <w:sz w:val="32"/>
                <w:szCs w:val="32"/>
              </w:rPr>
            </w:pPr>
          </w:p>
        </w:tc>
        <w:tc>
          <w:tcPr>
            <w:tcW w:w="5840" w:type="dxa"/>
            <w:tcBorders>
              <w:bottom w:val="single" w:color="auto" w:sz="4" w:space="0"/>
            </w:tcBorders>
            <w:vAlign w:val="center"/>
          </w:tcPr>
          <w:p>
            <w:pPr>
              <w:keepNext w:val="0"/>
              <w:keepLines w:val="0"/>
              <w:pageBreakBefore w:val="0"/>
              <w:kinsoku/>
              <w:wordWrap/>
              <w:topLinePunct w:val="0"/>
              <w:bidi w:val="0"/>
              <w:adjustRightInd w:val="0"/>
              <w:snapToGrid w:val="0"/>
              <w:spacing w:line="590" w:lineRule="exact"/>
              <w:ind w:firstLine="616"/>
              <w:rPr>
                <w:rFonts w:hint="eastAsia" w:ascii="仿宋_GB2312" w:hAnsi="仿宋_GB2312" w:eastAsia="仿宋_GB2312" w:cs="仿宋_GB2312"/>
                <w:snapToGrid w:val="0"/>
                <w:color w:val="auto"/>
                <w:kern w:val="0"/>
                <w:sz w:val="32"/>
                <w:szCs w:val="32"/>
              </w:rPr>
            </w:pPr>
          </w:p>
        </w:tc>
      </w:tr>
    </w:tbl>
    <w:p>
      <w:pPr>
        <w:keepNext w:val="0"/>
        <w:keepLines w:val="0"/>
        <w:pageBreakBefore w:val="0"/>
        <w:kinsoku/>
        <w:wordWrap/>
        <w:topLinePunct w:val="0"/>
        <w:bidi w:val="0"/>
        <w:adjustRightInd w:val="0"/>
        <w:snapToGrid w:val="0"/>
        <w:spacing w:line="590" w:lineRule="exact"/>
        <w:ind w:firstLine="536"/>
        <w:rPr>
          <w:rFonts w:ascii="宋体" w:hAnsi="宋体"/>
          <w:snapToGrid w:val="0"/>
          <w:color w:val="auto"/>
          <w:kern w:val="0"/>
          <w:sz w:val="28"/>
          <w:szCs w:val="28"/>
        </w:rPr>
      </w:pPr>
    </w:p>
    <w:p>
      <w:pPr>
        <w:keepNext w:val="0"/>
        <w:keepLines w:val="0"/>
        <w:pageBreakBefore w:val="0"/>
        <w:kinsoku/>
        <w:wordWrap/>
        <w:topLinePunct w:val="0"/>
        <w:bidi w:val="0"/>
        <w:adjustRightInd w:val="0"/>
        <w:snapToGrid w:val="0"/>
        <w:spacing w:line="590" w:lineRule="exact"/>
        <w:ind w:firstLine="536"/>
        <w:rPr>
          <w:rFonts w:ascii="宋体" w:hAnsi="宋体"/>
          <w:snapToGrid w:val="0"/>
          <w:color w:val="auto"/>
          <w:kern w:val="0"/>
          <w:sz w:val="28"/>
          <w:szCs w:val="28"/>
        </w:rPr>
      </w:pPr>
    </w:p>
    <w:p>
      <w:pPr>
        <w:keepNext w:val="0"/>
        <w:keepLines w:val="0"/>
        <w:pageBreakBefore w:val="0"/>
        <w:kinsoku/>
        <w:wordWrap/>
        <w:topLinePunct w:val="0"/>
        <w:bidi w:val="0"/>
        <w:adjustRightInd w:val="0"/>
        <w:snapToGrid w:val="0"/>
        <w:spacing w:line="590" w:lineRule="exact"/>
        <w:outlineLvl w:val="9"/>
        <w:rPr>
          <w:rFonts w:ascii="宋体" w:hAnsi="宋体"/>
          <w:snapToGrid w:val="0"/>
          <w:color w:val="auto"/>
          <w:kern w:val="0"/>
          <w:sz w:val="28"/>
          <w:szCs w:val="28"/>
        </w:rPr>
      </w:pPr>
    </w:p>
    <w:p>
      <w:pPr>
        <w:keepNext w:val="0"/>
        <w:keepLines w:val="0"/>
        <w:pageBreakBefore w:val="0"/>
        <w:kinsoku/>
        <w:wordWrap/>
        <w:topLinePunct w:val="0"/>
        <w:bidi w:val="0"/>
        <w:adjustRightInd w:val="0"/>
        <w:snapToGrid w:val="0"/>
        <w:spacing w:line="590" w:lineRule="exact"/>
        <w:ind w:firstLine="0" w:firstLineChars="0"/>
        <w:jc w:val="center"/>
        <w:rPr>
          <w:rFonts w:hint="eastAsia" w:ascii="楷体_GB2312" w:hAnsi="楷体_GB2312" w:eastAsia="楷体_GB2312" w:cs="楷体_GB2312"/>
          <w:b w:val="0"/>
          <w:bCs/>
          <w:snapToGrid w:val="0"/>
          <w:color w:val="auto"/>
          <w:kern w:val="0"/>
          <w:sz w:val="32"/>
          <w:szCs w:val="32"/>
        </w:rPr>
      </w:pPr>
      <w:r>
        <w:rPr>
          <w:rFonts w:hint="eastAsia" w:ascii="楷体_GB2312" w:hAnsi="楷体_GB2312" w:eastAsia="楷体_GB2312" w:cs="楷体_GB2312"/>
          <w:b w:val="0"/>
          <w:bCs/>
          <w:snapToGrid w:val="0"/>
          <w:color w:val="auto"/>
          <w:kern w:val="0"/>
          <w:sz w:val="32"/>
          <w:szCs w:val="32"/>
        </w:rPr>
        <w:t>广东省农业农村厅制</w:t>
      </w:r>
    </w:p>
    <w:p>
      <w:pPr>
        <w:keepNext w:val="0"/>
        <w:keepLines w:val="0"/>
        <w:pageBreakBefore w:val="0"/>
        <w:kinsoku/>
        <w:wordWrap/>
        <w:topLinePunct w:val="0"/>
        <w:bidi w:val="0"/>
        <w:adjustRightInd w:val="0"/>
        <w:snapToGrid w:val="0"/>
        <w:spacing w:line="590" w:lineRule="exact"/>
        <w:jc w:val="center"/>
        <w:rPr>
          <w:rFonts w:hint="eastAsia" w:ascii="楷体_GB2312" w:hAnsi="楷体_GB2312" w:eastAsia="楷体_GB2312" w:cs="楷体_GB2312"/>
          <w:b w:val="0"/>
          <w:bCs/>
          <w:snapToGrid w:val="0"/>
          <w:color w:val="auto"/>
          <w:kern w:val="0"/>
          <w:sz w:val="32"/>
          <w:szCs w:val="32"/>
        </w:rPr>
      </w:pPr>
      <w:r>
        <w:rPr>
          <w:rFonts w:hint="eastAsia" w:ascii="楷体_GB2312" w:hAnsi="楷体_GB2312" w:eastAsia="楷体_GB2312" w:cs="楷体_GB2312"/>
          <w:b w:val="0"/>
          <w:bCs/>
          <w:snapToGrid w:val="0"/>
          <w:color w:val="auto"/>
          <w:kern w:val="0"/>
          <w:sz w:val="32"/>
          <w:szCs w:val="32"/>
        </w:rPr>
        <w:t>二Ο二   年   月</w:t>
      </w:r>
    </w:p>
    <w:p>
      <w:pPr>
        <w:keepNext w:val="0"/>
        <w:keepLines w:val="0"/>
        <w:pageBreakBefore w:val="0"/>
        <w:kinsoku/>
        <w:wordWrap/>
        <w:topLinePunct w:val="0"/>
        <w:bidi w:val="0"/>
        <w:adjustRightInd w:val="0"/>
        <w:snapToGrid w:val="0"/>
        <w:spacing w:line="590" w:lineRule="exact"/>
        <w:jc w:val="center"/>
        <w:rPr>
          <w:rFonts w:hint="eastAsia" w:ascii="楷体_GB2312" w:hAnsi="楷体_GB2312" w:eastAsia="楷体_GB2312" w:cs="楷体_GB2312"/>
          <w:b w:val="0"/>
          <w:bCs/>
          <w:snapToGrid w:val="0"/>
          <w:color w:val="auto"/>
          <w:kern w:val="0"/>
          <w:sz w:val="32"/>
          <w:szCs w:val="32"/>
        </w:rPr>
        <w:sectPr>
          <w:footerReference r:id="rId4"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keepNext w:val="0"/>
        <w:keepLines w:val="0"/>
        <w:pageBreakBefore w:val="0"/>
        <w:kinsoku/>
        <w:wordWrap/>
        <w:topLinePunct w:val="0"/>
        <w:bidi w:val="0"/>
        <w:adjustRightInd w:val="0"/>
        <w:snapToGrid w:val="0"/>
        <w:spacing w:line="500" w:lineRule="exact"/>
        <w:jc w:val="center"/>
        <w:rPr>
          <w:rFonts w:hint="eastAsia" w:ascii="方正小标宋简体" w:hAnsi="方正小标宋简体" w:eastAsia="方正小标宋简体" w:cs="方正小标宋简体"/>
          <w:snapToGrid w:val="0"/>
          <w:color w:val="auto"/>
          <w:kern w:val="0"/>
          <w:sz w:val="44"/>
          <w:szCs w:val="44"/>
        </w:rPr>
      </w:pPr>
      <w:r>
        <w:rPr>
          <w:rFonts w:hint="eastAsia" w:ascii="方正小标宋简体" w:hAnsi="方正小标宋简体" w:eastAsia="方正小标宋简体" w:cs="方正小标宋简体"/>
          <w:snapToGrid w:val="0"/>
          <w:color w:val="auto"/>
          <w:kern w:val="0"/>
          <w:sz w:val="44"/>
          <w:szCs w:val="44"/>
        </w:rPr>
        <w:t>诚信承诺书</w:t>
      </w:r>
    </w:p>
    <w:p>
      <w:pPr>
        <w:keepNext w:val="0"/>
        <w:keepLines w:val="0"/>
        <w:pageBreakBefore w:val="0"/>
        <w:kinsoku/>
        <w:wordWrap/>
        <w:topLinePunct w:val="0"/>
        <w:bidi w:val="0"/>
        <w:adjustRightInd w:val="0"/>
        <w:snapToGrid w:val="0"/>
        <w:spacing w:line="500" w:lineRule="exact"/>
        <w:ind w:firstLine="608" w:firstLineChars="190"/>
        <w:rPr>
          <w:rFonts w:hint="eastAsia" w:ascii="仿宋_GB2312" w:hAnsi="仿宋_GB2312" w:eastAsia="仿宋_GB2312" w:cs="仿宋_GB2312"/>
          <w:color w:val="auto"/>
          <w:kern w:val="0"/>
          <w:sz w:val="32"/>
          <w:szCs w:val="32"/>
        </w:rPr>
      </w:pPr>
    </w:p>
    <w:p>
      <w:pPr>
        <w:keepNext w:val="0"/>
        <w:keepLines w:val="0"/>
        <w:pageBreakBefore w:val="0"/>
        <w:kinsoku/>
        <w:wordWrap/>
        <w:topLinePunct w:val="0"/>
        <w:bidi w:val="0"/>
        <w:adjustRightInd w:val="0"/>
        <w:snapToGrid w:val="0"/>
        <w:spacing w:line="500" w:lineRule="exact"/>
        <w:ind w:firstLine="608" w:firstLineChars="19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本人根据</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rPr>
        <w:t>立项指南的要求，自愿提交立项申请书，在此郑重承诺：所申报材料和相关内容真实有效，不存在以下违背科研诚信要求的行为。</w:t>
      </w:r>
    </w:p>
    <w:p>
      <w:pPr>
        <w:keepNext w:val="0"/>
        <w:keepLines w:val="0"/>
        <w:pageBreakBefore w:val="0"/>
        <w:kinsoku/>
        <w:wordWrap/>
        <w:topLinePunct w:val="0"/>
        <w:bidi w:val="0"/>
        <w:adjustRightInd w:val="0"/>
        <w:snapToGrid w:val="0"/>
        <w:spacing w:line="500" w:lineRule="exact"/>
        <w:ind w:firstLine="608" w:firstLineChars="19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（一）抄袭、剽窃、侵占他人成果；</w:t>
      </w:r>
    </w:p>
    <w:p>
      <w:pPr>
        <w:keepNext w:val="0"/>
        <w:keepLines w:val="0"/>
        <w:pageBreakBefore w:val="0"/>
        <w:kinsoku/>
        <w:wordWrap/>
        <w:topLinePunct w:val="0"/>
        <w:bidi w:val="0"/>
        <w:adjustRightInd w:val="0"/>
        <w:snapToGrid w:val="0"/>
        <w:spacing w:line="500" w:lineRule="exact"/>
        <w:ind w:firstLine="604" w:firstLineChars="18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（二）编制工作过程，伪造、篡改数据、图表、结论；</w:t>
      </w:r>
    </w:p>
    <w:p>
      <w:pPr>
        <w:keepNext w:val="0"/>
        <w:keepLines w:val="0"/>
        <w:pageBreakBefore w:val="0"/>
        <w:kinsoku/>
        <w:wordWrap/>
        <w:topLinePunct w:val="0"/>
        <w:bidi w:val="0"/>
        <w:adjustRightInd w:val="0"/>
        <w:snapToGrid w:val="0"/>
        <w:spacing w:line="500" w:lineRule="exact"/>
        <w:ind w:firstLine="608" w:firstLineChars="19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（三）购买、代写论文或课题申请书，虚构同行评议专家及评议意见；</w:t>
      </w:r>
    </w:p>
    <w:p>
      <w:pPr>
        <w:keepNext w:val="0"/>
        <w:keepLines w:val="0"/>
        <w:pageBreakBefore w:val="0"/>
        <w:kinsoku/>
        <w:wordWrap/>
        <w:topLinePunct w:val="0"/>
        <w:bidi w:val="0"/>
        <w:adjustRightInd w:val="0"/>
        <w:snapToGrid w:val="0"/>
        <w:spacing w:line="500" w:lineRule="exact"/>
        <w:ind w:firstLine="608" w:firstLineChars="19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（四）以故意提供虚假信息等弄虚作假的方式或采取贿赂、利益交换等不正当手段获取科研项目（课题）、科研资金、奖励、荣誉、职务职称等；</w:t>
      </w:r>
    </w:p>
    <w:p>
      <w:pPr>
        <w:keepNext w:val="0"/>
        <w:keepLines w:val="0"/>
        <w:pageBreakBefore w:val="0"/>
        <w:kinsoku/>
        <w:wordWrap/>
        <w:topLinePunct w:val="0"/>
        <w:bidi w:val="0"/>
        <w:adjustRightInd w:val="0"/>
        <w:snapToGrid w:val="0"/>
        <w:spacing w:line="500" w:lineRule="exact"/>
        <w:ind w:firstLine="608" w:firstLineChars="190"/>
        <w:rPr>
          <w:rFonts w:hint="eastAsia" w:ascii="仿宋_GB2312" w:hAnsi="仿宋_GB2312" w:eastAsia="仿宋_GB2312" w:cs="仿宋_GB2312"/>
          <w:color w:val="auto"/>
          <w:spacing w:val="-9"/>
          <w:kern w:val="0"/>
          <w:sz w:val="32"/>
          <w:szCs w:val="32"/>
        </w:rPr>
      </w:pPr>
      <w:r>
        <w:rPr>
          <w:rFonts w:hint="eastAsia" w:ascii="仿宋_GB2312" w:hAnsi="仿宋_GB2312" w:eastAsia="仿宋_GB2312" w:cs="仿宋_GB2312"/>
          <w:color w:val="auto"/>
          <w:kern w:val="0"/>
          <w:sz w:val="32"/>
          <w:szCs w:val="32"/>
        </w:rPr>
        <w:t>（五）</w:t>
      </w:r>
      <w:r>
        <w:rPr>
          <w:rFonts w:hint="eastAsia" w:ascii="仿宋_GB2312" w:hAnsi="仿宋_GB2312" w:eastAsia="仿宋_GB2312" w:cs="仿宋_GB2312"/>
          <w:color w:val="auto"/>
          <w:spacing w:val="-9"/>
          <w:kern w:val="0"/>
          <w:sz w:val="32"/>
          <w:szCs w:val="32"/>
        </w:rPr>
        <w:t>违反涉及人类生命健康、实验动物保护等科研伦理规范；</w:t>
      </w:r>
    </w:p>
    <w:p>
      <w:pPr>
        <w:keepNext w:val="0"/>
        <w:keepLines w:val="0"/>
        <w:pageBreakBefore w:val="0"/>
        <w:kinsoku/>
        <w:wordWrap/>
        <w:topLinePunct w:val="0"/>
        <w:bidi w:val="0"/>
        <w:adjustRightInd w:val="0"/>
        <w:snapToGrid w:val="0"/>
        <w:spacing w:line="500" w:lineRule="exact"/>
        <w:ind w:firstLine="608" w:firstLineChars="19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（六）违反研究成果署名、论文发表规范；</w:t>
      </w:r>
    </w:p>
    <w:p>
      <w:pPr>
        <w:keepNext w:val="0"/>
        <w:keepLines w:val="0"/>
        <w:pageBreakBefore w:val="0"/>
        <w:kinsoku/>
        <w:wordWrap/>
        <w:topLinePunct w:val="0"/>
        <w:bidi w:val="0"/>
        <w:adjustRightInd w:val="0"/>
        <w:snapToGrid w:val="0"/>
        <w:spacing w:line="500" w:lineRule="exact"/>
        <w:ind w:firstLine="608" w:firstLineChars="19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（七）</w:t>
      </w:r>
      <w:r>
        <w:rPr>
          <w:rFonts w:hint="eastAsia" w:ascii="仿宋_GB2312" w:hAnsi="仿宋_GB2312" w:eastAsia="仿宋_GB2312" w:cs="仿宋_GB2312"/>
          <w:color w:val="auto"/>
          <w:kern w:val="0"/>
          <w:sz w:val="32"/>
          <w:szCs w:val="32"/>
          <w:lang w:eastAsia="zh-CN"/>
        </w:rPr>
        <w:t>本课题的</w:t>
      </w:r>
      <w:r>
        <w:rPr>
          <w:rFonts w:hint="eastAsia" w:ascii="仿宋_GB2312" w:hAnsi="仿宋_GB2312" w:eastAsia="仿宋_GB2312" w:cs="仿宋_GB2312"/>
          <w:snapToGrid/>
          <w:color w:val="auto"/>
          <w:kern w:val="0"/>
          <w:sz w:val="32"/>
          <w:szCs w:val="32"/>
          <w:lang w:eastAsia="zh-CN"/>
        </w:rPr>
        <w:t>科研成果具有专用性、知识产权的专属性，不存在“一稿多投”、“以旧顶新”，以及借用项目单位原有研究成果套取、骗取科研项目资金的行为。</w:t>
      </w:r>
    </w:p>
    <w:p>
      <w:pPr>
        <w:keepNext w:val="0"/>
        <w:keepLines w:val="0"/>
        <w:pageBreakBefore w:val="0"/>
        <w:kinsoku/>
        <w:wordWrap/>
        <w:topLinePunct w:val="0"/>
        <w:bidi w:val="0"/>
        <w:adjustRightInd w:val="0"/>
        <w:snapToGrid w:val="0"/>
        <w:spacing w:line="500" w:lineRule="exact"/>
        <w:ind w:firstLine="608" w:firstLineChars="19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（八）</w:t>
      </w:r>
      <w:r>
        <w:rPr>
          <w:rFonts w:hint="eastAsia" w:ascii="仿宋_GB2312" w:hAnsi="仿宋_GB2312" w:eastAsia="仿宋_GB2312" w:cs="仿宋_GB2312"/>
          <w:color w:val="auto"/>
          <w:kern w:val="0"/>
          <w:sz w:val="32"/>
          <w:szCs w:val="32"/>
        </w:rPr>
        <w:t>其他失信行为。</w:t>
      </w:r>
    </w:p>
    <w:p>
      <w:pPr>
        <w:keepNext w:val="0"/>
        <w:keepLines w:val="0"/>
        <w:pageBreakBefore w:val="0"/>
        <w:kinsoku/>
        <w:wordWrap/>
        <w:topLinePunct w:val="0"/>
        <w:bidi w:val="0"/>
        <w:adjustRightInd w:val="0"/>
        <w:snapToGrid w:val="0"/>
        <w:spacing w:line="500" w:lineRule="exact"/>
        <w:ind w:firstLine="608" w:firstLineChars="19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如有违反，本人/本单位愿接受</w:t>
      </w:r>
      <w:r>
        <w:rPr>
          <w:rFonts w:hint="eastAsia" w:ascii="仿宋_GB2312" w:hAnsi="仿宋_GB2312" w:eastAsia="仿宋_GB2312" w:cs="仿宋_GB2312"/>
          <w:color w:val="auto"/>
          <w:kern w:val="0"/>
          <w:sz w:val="32"/>
          <w:szCs w:val="32"/>
          <w:lang w:eastAsia="zh-Hans"/>
        </w:rPr>
        <w:t>广东省农业农村厅</w:t>
      </w:r>
      <w:r>
        <w:rPr>
          <w:rFonts w:hint="eastAsia" w:ascii="仿宋_GB2312" w:hAnsi="仿宋_GB2312" w:eastAsia="仿宋_GB2312" w:cs="仿宋_GB2312"/>
          <w:color w:val="auto"/>
          <w:kern w:val="0"/>
          <w:sz w:val="32"/>
          <w:szCs w:val="32"/>
        </w:rPr>
        <w:t>做出的各项处理决定，包括但不限于停拨或核减资金，追回</w:t>
      </w:r>
      <w:r>
        <w:rPr>
          <w:rFonts w:hint="eastAsia" w:ascii="仿宋_GB2312" w:hAnsi="仿宋_GB2312" w:eastAsia="仿宋_GB2312" w:cs="仿宋_GB2312"/>
          <w:color w:val="auto"/>
          <w:kern w:val="0"/>
          <w:sz w:val="32"/>
          <w:szCs w:val="32"/>
          <w:lang w:eastAsia="zh-Hans"/>
        </w:rPr>
        <w:t>项目（课题）</w:t>
      </w:r>
      <w:r>
        <w:rPr>
          <w:rFonts w:hint="eastAsia" w:ascii="仿宋_GB2312" w:hAnsi="仿宋_GB2312" w:eastAsia="仿宋_GB2312" w:cs="仿宋_GB2312"/>
          <w:color w:val="auto"/>
          <w:kern w:val="0"/>
          <w:sz w:val="32"/>
          <w:szCs w:val="32"/>
        </w:rPr>
        <w:t>资金，取消一定期限</w:t>
      </w:r>
      <w:r>
        <w:rPr>
          <w:rFonts w:hint="eastAsia" w:ascii="仿宋_GB2312" w:hAnsi="仿宋_GB2312" w:eastAsia="仿宋_GB2312" w:cs="仿宋_GB2312"/>
          <w:color w:val="auto"/>
          <w:kern w:val="0"/>
          <w:sz w:val="32"/>
          <w:szCs w:val="32"/>
          <w:lang w:eastAsia="zh-Hans"/>
        </w:rPr>
        <w:t>广东省农业农村厅</w:t>
      </w:r>
      <w:r>
        <w:rPr>
          <w:rFonts w:hint="eastAsia" w:ascii="仿宋_GB2312" w:hAnsi="仿宋_GB2312" w:eastAsia="仿宋_GB2312" w:cs="仿宋_GB2312"/>
          <w:color w:val="auto"/>
          <w:kern w:val="0"/>
          <w:sz w:val="32"/>
          <w:szCs w:val="32"/>
        </w:rPr>
        <w:t>项目申报资格，记入</w:t>
      </w:r>
      <w:r>
        <w:rPr>
          <w:rFonts w:hint="eastAsia" w:ascii="仿宋_GB2312" w:hAnsi="仿宋_GB2312" w:eastAsia="仿宋_GB2312" w:cs="仿宋_GB2312"/>
          <w:color w:val="auto"/>
          <w:kern w:val="0"/>
          <w:sz w:val="32"/>
          <w:szCs w:val="32"/>
          <w:lang w:eastAsia="zh-Hans"/>
        </w:rPr>
        <w:t>广东省农业农村厅</w:t>
      </w:r>
      <w:r>
        <w:rPr>
          <w:rFonts w:hint="eastAsia" w:ascii="仿宋_GB2312" w:hAnsi="仿宋_GB2312" w:eastAsia="仿宋_GB2312" w:cs="仿宋_GB2312"/>
          <w:color w:val="auto"/>
          <w:kern w:val="0"/>
          <w:sz w:val="32"/>
          <w:szCs w:val="32"/>
        </w:rPr>
        <w:t>诚信异常名录等。</w:t>
      </w:r>
    </w:p>
    <w:p>
      <w:pPr>
        <w:adjustRightInd w:val="0"/>
        <w:snapToGrid w:val="0"/>
        <w:spacing w:line="500" w:lineRule="exact"/>
        <w:outlineLvl w:val="9"/>
        <w:rPr>
          <w:rFonts w:hint="eastAsia" w:ascii="仿宋_GB2312" w:hAnsi="仿宋_GB2312" w:eastAsia="仿宋_GB2312" w:cs="仿宋_GB2312"/>
          <w:color w:val="auto"/>
          <w:kern w:val="0"/>
          <w:sz w:val="32"/>
          <w:szCs w:val="32"/>
        </w:rPr>
      </w:pPr>
    </w:p>
    <w:p>
      <w:pPr>
        <w:keepNext w:val="0"/>
        <w:keepLines w:val="0"/>
        <w:pageBreakBefore w:val="0"/>
        <w:kinsoku/>
        <w:wordWrap/>
        <w:topLinePunct w:val="0"/>
        <w:bidi w:val="0"/>
        <w:adjustRightInd w:val="0"/>
        <w:snapToGrid w:val="0"/>
        <w:spacing w:line="500" w:lineRule="exac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        申报单位法定代表人或授权代表人（签名）：</w:t>
      </w:r>
    </w:p>
    <w:p>
      <w:pPr>
        <w:keepNext w:val="0"/>
        <w:keepLines w:val="0"/>
        <w:pageBreakBefore w:val="0"/>
        <w:kinsoku/>
        <w:wordWrap/>
        <w:topLinePunct w:val="0"/>
        <w:bidi w:val="0"/>
        <w:adjustRightInd w:val="0"/>
        <w:snapToGrid w:val="0"/>
        <w:spacing w:line="500" w:lineRule="exac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                                负责人（签名）：</w:t>
      </w:r>
    </w:p>
    <w:p>
      <w:pPr>
        <w:keepNext w:val="0"/>
        <w:keepLines w:val="0"/>
        <w:pageBreakBefore w:val="0"/>
        <w:kinsoku/>
        <w:wordWrap/>
        <w:topLinePunct w:val="0"/>
        <w:bidi w:val="0"/>
        <w:adjustRightInd w:val="0"/>
        <w:snapToGrid w:val="0"/>
        <w:spacing w:line="500" w:lineRule="exact"/>
        <w:ind w:firstLine="2880" w:firstLineChars="9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                    年  月  日</w:t>
      </w:r>
    </w:p>
    <w:p>
      <w:pPr>
        <w:keepNext w:val="0"/>
        <w:keepLines w:val="0"/>
        <w:pageBreakBefore w:val="0"/>
        <w:kinsoku/>
        <w:wordWrap/>
        <w:topLinePunct w:val="0"/>
        <w:bidi w:val="0"/>
        <w:adjustRightInd w:val="0"/>
        <w:snapToGrid w:val="0"/>
        <w:spacing w:line="590" w:lineRule="exact"/>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br w:type="page"/>
      </w:r>
    </w:p>
    <w:p>
      <w:pPr>
        <w:keepNext w:val="0"/>
        <w:keepLines w:val="0"/>
        <w:pageBreakBefore w:val="0"/>
        <w:kinsoku/>
        <w:wordWrap/>
        <w:topLinePunct w:val="0"/>
        <w:bidi w:val="0"/>
        <w:adjustRightInd w:val="0"/>
        <w:snapToGrid w:val="0"/>
        <w:spacing w:line="580" w:lineRule="exact"/>
        <w:jc w:val="center"/>
        <w:rPr>
          <w:rFonts w:hint="eastAsia" w:ascii="方正小标宋简体" w:hAnsi="方正小标宋简体" w:eastAsia="方正小标宋简体" w:cs="方正小标宋简体"/>
          <w:snapToGrid w:val="0"/>
          <w:color w:val="auto"/>
          <w:kern w:val="0"/>
          <w:sz w:val="44"/>
          <w:szCs w:val="44"/>
        </w:rPr>
      </w:pPr>
      <w:r>
        <w:rPr>
          <w:rFonts w:hint="eastAsia" w:ascii="方正小标宋简体" w:hAnsi="方正小标宋简体" w:eastAsia="方正小标宋简体" w:cs="方正小标宋简体"/>
          <w:snapToGrid w:val="0"/>
          <w:color w:val="auto"/>
          <w:kern w:val="0"/>
          <w:sz w:val="44"/>
          <w:szCs w:val="44"/>
        </w:rPr>
        <w:t>知识产权合规性声明</w:t>
      </w:r>
    </w:p>
    <w:p>
      <w:pPr>
        <w:keepNext w:val="0"/>
        <w:keepLines w:val="0"/>
        <w:pageBreakBefore w:val="0"/>
        <w:kinsoku/>
        <w:wordWrap/>
        <w:topLinePunct w:val="0"/>
        <w:bidi w:val="0"/>
        <w:adjustRightInd w:val="0"/>
        <w:snapToGrid w:val="0"/>
        <w:spacing w:line="580" w:lineRule="exact"/>
        <w:ind w:firstLine="640" w:firstLineChars="200"/>
        <w:rPr>
          <w:rFonts w:hint="eastAsia" w:ascii="仿宋_GB2312" w:hAnsi="仿宋_GB2312" w:eastAsia="仿宋_GB2312" w:cs="仿宋_GB2312"/>
          <w:snapToGrid w:val="0"/>
          <w:color w:val="auto"/>
          <w:kern w:val="0"/>
          <w:sz w:val="32"/>
          <w:szCs w:val="32"/>
        </w:rPr>
      </w:pPr>
    </w:p>
    <w:p>
      <w:pPr>
        <w:keepNext w:val="0"/>
        <w:keepLines w:val="0"/>
        <w:pageBreakBefore w:val="0"/>
        <w:kinsoku/>
        <w:wordWrap/>
        <w:topLinePunct w:val="0"/>
        <w:bidi w:val="0"/>
        <w:adjustRightInd w:val="0"/>
        <w:snapToGrid w:val="0"/>
        <w:spacing w:line="580" w:lineRule="exact"/>
        <w:ind w:firstLine="640" w:firstLineChars="200"/>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本人根据</w:t>
      </w:r>
      <w:r>
        <w:rPr>
          <w:rFonts w:hint="eastAsia" w:ascii="仿宋_GB2312" w:hAnsi="仿宋_GB2312" w:eastAsia="仿宋_GB2312" w:cs="仿宋_GB2312"/>
          <w:snapToGrid w:val="0"/>
          <w:color w:val="auto"/>
          <w:kern w:val="0"/>
          <w:sz w:val="32"/>
          <w:szCs w:val="32"/>
          <w:u w:val="single"/>
        </w:rPr>
        <w:t xml:space="preserve">            </w:t>
      </w:r>
      <w:r>
        <w:rPr>
          <w:rFonts w:hint="eastAsia" w:ascii="仿宋_GB2312" w:hAnsi="仿宋_GB2312" w:eastAsia="仿宋_GB2312" w:cs="仿宋_GB2312"/>
          <w:snapToGrid w:val="0"/>
          <w:color w:val="auto"/>
          <w:kern w:val="0"/>
          <w:sz w:val="32"/>
          <w:szCs w:val="32"/>
        </w:rPr>
        <w:t xml:space="preserve">立项指南的要求，自愿提交立项申请书，在此郑重承诺：遵守中国知识产权法律、法规、规章、具有约束力的规范性文件及在中国适用的与知识产权有关的国际公约，所申报项目（课题）的知识产权明晰无争议，归属或技术来源正当合法，不存在以下知识产权失信违法行为： </w:t>
      </w:r>
    </w:p>
    <w:p>
      <w:pPr>
        <w:keepNext w:val="0"/>
        <w:keepLines w:val="0"/>
        <w:pageBreakBefore w:val="0"/>
        <w:kinsoku/>
        <w:wordWrap/>
        <w:topLinePunct w:val="0"/>
        <w:bidi w:val="0"/>
        <w:adjustRightInd w:val="0"/>
        <w:snapToGrid w:val="0"/>
        <w:spacing w:line="580" w:lineRule="exact"/>
        <w:ind w:firstLine="640" w:firstLineChars="200"/>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（一）提供虚假知识产权申请材料；</w:t>
      </w:r>
    </w:p>
    <w:p>
      <w:pPr>
        <w:keepNext w:val="0"/>
        <w:keepLines w:val="0"/>
        <w:pageBreakBefore w:val="0"/>
        <w:kinsoku/>
        <w:wordWrap/>
        <w:topLinePunct w:val="0"/>
        <w:bidi w:val="0"/>
        <w:adjustRightInd w:val="0"/>
        <w:snapToGrid w:val="0"/>
        <w:spacing w:line="580" w:lineRule="exact"/>
        <w:ind w:firstLine="640" w:firstLineChars="200"/>
        <w:rPr>
          <w:rFonts w:hint="eastAsia" w:ascii="仿宋_GB2312" w:hAnsi="仿宋_GB2312" w:eastAsia="仿宋_GB2312" w:cs="仿宋_GB2312"/>
          <w:snapToGrid w:val="0"/>
          <w:color w:val="auto"/>
          <w:spacing w:val="-9"/>
          <w:kern w:val="0"/>
          <w:sz w:val="32"/>
          <w:szCs w:val="32"/>
        </w:rPr>
      </w:pPr>
      <w:r>
        <w:rPr>
          <w:rFonts w:hint="eastAsia" w:ascii="仿宋_GB2312" w:hAnsi="仿宋_GB2312" w:eastAsia="仿宋_GB2312" w:cs="仿宋_GB2312"/>
          <w:snapToGrid w:val="0"/>
          <w:color w:val="auto"/>
          <w:kern w:val="0"/>
          <w:sz w:val="32"/>
          <w:szCs w:val="32"/>
        </w:rPr>
        <w:t>（二）拒</w:t>
      </w:r>
      <w:r>
        <w:rPr>
          <w:rFonts w:hint="eastAsia" w:ascii="仿宋_GB2312" w:hAnsi="仿宋_GB2312" w:eastAsia="仿宋_GB2312" w:cs="仿宋_GB2312"/>
          <w:snapToGrid w:val="0"/>
          <w:color w:val="auto"/>
          <w:spacing w:val="-9"/>
          <w:kern w:val="0"/>
          <w:sz w:val="32"/>
          <w:szCs w:val="32"/>
        </w:rPr>
        <w:t>不执行生效的知识产权行政处理决定或者司法裁判；</w:t>
      </w:r>
    </w:p>
    <w:p>
      <w:pPr>
        <w:keepNext w:val="0"/>
        <w:keepLines w:val="0"/>
        <w:pageBreakBefore w:val="0"/>
        <w:kinsoku/>
        <w:wordWrap/>
        <w:topLinePunct w:val="0"/>
        <w:bidi w:val="0"/>
        <w:adjustRightInd w:val="0"/>
        <w:snapToGrid w:val="0"/>
        <w:spacing w:line="580" w:lineRule="exact"/>
        <w:ind w:firstLine="640" w:firstLineChars="200"/>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（三）侵犯他人知识产权构成犯罪；</w:t>
      </w:r>
    </w:p>
    <w:p>
      <w:pPr>
        <w:keepNext w:val="0"/>
        <w:keepLines w:val="0"/>
        <w:pageBreakBefore w:val="0"/>
        <w:kinsoku/>
        <w:wordWrap/>
        <w:topLinePunct w:val="0"/>
        <w:bidi w:val="0"/>
        <w:adjustRightInd w:val="0"/>
        <w:snapToGrid w:val="0"/>
        <w:spacing w:line="580" w:lineRule="exact"/>
        <w:ind w:firstLine="640" w:firstLineChars="200"/>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（四）有其他侵犯他人知识产权的行为造成重大社会影响。</w:t>
      </w:r>
    </w:p>
    <w:p>
      <w:pPr>
        <w:keepNext w:val="0"/>
        <w:keepLines w:val="0"/>
        <w:pageBreakBefore w:val="0"/>
        <w:kinsoku/>
        <w:wordWrap/>
        <w:topLinePunct w:val="0"/>
        <w:bidi w:val="0"/>
        <w:adjustRightInd w:val="0"/>
        <w:snapToGrid w:val="0"/>
        <w:spacing w:line="580" w:lineRule="exact"/>
        <w:ind w:firstLine="640" w:firstLineChars="200"/>
        <w:rPr>
          <w:rFonts w:hint="eastAsia"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（五）项目拟研究的成果与本单位已有或即将产生的项目成果重合，产生知识产权冲突。</w:t>
      </w:r>
    </w:p>
    <w:p>
      <w:pPr>
        <w:keepNext w:val="0"/>
        <w:keepLines w:val="0"/>
        <w:pageBreakBefore w:val="0"/>
        <w:kinsoku/>
        <w:wordWrap/>
        <w:topLinePunct w:val="0"/>
        <w:bidi w:val="0"/>
        <w:adjustRightInd w:val="0"/>
        <w:snapToGrid w:val="0"/>
        <w:spacing w:line="580" w:lineRule="exact"/>
        <w:ind w:firstLine="640" w:firstLineChars="200"/>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如有违反，本人/本单位愿接受</w:t>
      </w:r>
      <w:r>
        <w:rPr>
          <w:rFonts w:hint="eastAsia" w:ascii="仿宋_GB2312" w:hAnsi="仿宋_GB2312" w:eastAsia="仿宋_GB2312" w:cs="仿宋_GB2312"/>
          <w:snapToGrid w:val="0"/>
          <w:color w:val="auto"/>
          <w:kern w:val="0"/>
          <w:sz w:val="32"/>
          <w:szCs w:val="32"/>
          <w:lang w:eastAsia="zh-Hans"/>
        </w:rPr>
        <w:t>广东省农业农村厅</w:t>
      </w:r>
      <w:r>
        <w:rPr>
          <w:rFonts w:hint="eastAsia" w:ascii="仿宋_GB2312" w:hAnsi="仿宋_GB2312" w:eastAsia="仿宋_GB2312" w:cs="仿宋_GB2312"/>
          <w:snapToGrid w:val="0"/>
          <w:color w:val="auto"/>
          <w:kern w:val="0"/>
          <w:sz w:val="32"/>
          <w:szCs w:val="32"/>
        </w:rPr>
        <w:t>做出的各项处理决定，包括但不限于停拨或核减资金，追回</w:t>
      </w:r>
      <w:r>
        <w:rPr>
          <w:rFonts w:hint="eastAsia" w:ascii="仿宋_GB2312" w:hAnsi="仿宋_GB2312" w:eastAsia="仿宋_GB2312" w:cs="仿宋_GB2312"/>
          <w:snapToGrid w:val="0"/>
          <w:color w:val="auto"/>
          <w:kern w:val="0"/>
          <w:sz w:val="32"/>
          <w:szCs w:val="32"/>
          <w:lang w:eastAsia="zh-Hans"/>
        </w:rPr>
        <w:t>项目（课题）</w:t>
      </w:r>
      <w:r>
        <w:rPr>
          <w:rFonts w:hint="eastAsia" w:ascii="仿宋_GB2312" w:hAnsi="仿宋_GB2312" w:eastAsia="仿宋_GB2312" w:cs="仿宋_GB2312"/>
          <w:snapToGrid w:val="0"/>
          <w:color w:val="auto"/>
          <w:kern w:val="0"/>
          <w:sz w:val="32"/>
          <w:szCs w:val="32"/>
        </w:rPr>
        <w:t>资金，取消一定期限</w:t>
      </w:r>
      <w:r>
        <w:rPr>
          <w:rFonts w:hint="eastAsia" w:ascii="仿宋_GB2312" w:hAnsi="仿宋_GB2312" w:eastAsia="仿宋_GB2312" w:cs="仿宋_GB2312"/>
          <w:snapToGrid w:val="0"/>
          <w:color w:val="auto"/>
          <w:kern w:val="0"/>
          <w:sz w:val="32"/>
          <w:szCs w:val="32"/>
          <w:lang w:eastAsia="zh-Hans"/>
        </w:rPr>
        <w:t>广东省农业农村厅</w:t>
      </w:r>
      <w:r>
        <w:rPr>
          <w:rFonts w:hint="eastAsia" w:ascii="仿宋_GB2312" w:hAnsi="仿宋_GB2312" w:eastAsia="仿宋_GB2312" w:cs="仿宋_GB2312"/>
          <w:snapToGrid w:val="0"/>
          <w:color w:val="auto"/>
          <w:kern w:val="0"/>
          <w:sz w:val="32"/>
          <w:szCs w:val="32"/>
        </w:rPr>
        <w:t>项目申报资格，记入</w:t>
      </w:r>
      <w:r>
        <w:rPr>
          <w:rFonts w:hint="eastAsia" w:ascii="仿宋_GB2312" w:hAnsi="仿宋_GB2312" w:eastAsia="仿宋_GB2312" w:cs="仿宋_GB2312"/>
          <w:snapToGrid w:val="0"/>
          <w:color w:val="auto"/>
          <w:kern w:val="0"/>
          <w:sz w:val="32"/>
          <w:szCs w:val="32"/>
          <w:lang w:eastAsia="zh-Hans"/>
        </w:rPr>
        <w:t>广东省农业农村厅</w:t>
      </w:r>
      <w:r>
        <w:rPr>
          <w:rFonts w:hint="eastAsia" w:ascii="仿宋_GB2312" w:hAnsi="仿宋_GB2312" w:eastAsia="仿宋_GB2312" w:cs="仿宋_GB2312"/>
          <w:snapToGrid w:val="0"/>
          <w:color w:val="auto"/>
          <w:kern w:val="0"/>
          <w:sz w:val="32"/>
          <w:szCs w:val="32"/>
        </w:rPr>
        <w:t>诚信异常名录等。</w:t>
      </w:r>
    </w:p>
    <w:p>
      <w:pPr>
        <w:keepNext w:val="0"/>
        <w:keepLines w:val="0"/>
        <w:pageBreakBefore w:val="0"/>
        <w:kinsoku/>
        <w:wordWrap/>
        <w:topLinePunct w:val="0"/>
        <w:bidi w:val="0"/>
        <w:adjustRightInd w:val="0"/>
        <w:snapToGrid w:val="0"/>
        <w:spacing w:line="580" w:lineRule="exact"/>
        <w:ind w:firstLine="640" w:firstLineChars="200"/>
        <w:rPr>
          <w:rFonts w:hint="eastAsia" w:ascii="仿宋_GB2312" w:hAnsi="仿宋_GB2312" w:eastAsia="仿宋_GB2312" w:cs="仿宋_GB2312"/>
          <w:snapToGrid w:val="0"/>
          <w:color w:val="auto"/>
          <w:kern w:val="0"/>
          <w:sz w:val="32"/>
          <w:szCs w:val="32"/>
        </w:rPr>
      </w:pPr>
    </w:p>
    <w:p>
      <w:pPr>
        <w:adjustRightInd w:val="0"/>
        <w:snapToGrid w:val="0"/>
        <w:spacing w:line="580" w:lineRule="exact"/>
        <w:outlineLvl w:val="9"/>
        <w:rPr>
          <w:rFonts w:hint="eastAsia" w:ascii="仿宋_GB2312" w:hAnsi="仿宋_GB2312" w:eastAsia="仿宋_GB2312" w:cs="仿宋_GB2312"/>
          <w:snapToGrid w:val="0"/>
          <w:color w:val="auto"/>
          <w:kern w:val="0"/>
          <w:sz w:val="32"/>
          <w:szCs w:val="32"/>
        </w:rPr>
      </w:pPr>
    </w:p>
    <w:p>
      <w:pPr>
        <w:keepNext w:val="0"/>
        <w:keepLines w:val="0"/>
        <w:pageBreakBefore w:val="0"/>
        <w:kinsoku/>
        <w:wordWrap/>
        <w:topLinePunct w:val="0"/>
        <w:bidi w:val="0"/>
        <w:adjustRightInd w:val="0"/>
        <w:snapToGrid w:val="0"/>
        <w:spacing w:line="580" w:lineRule="exact"/>
        <w:ind w:firstLine="640" w:firstLineChars="200"/>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 xml:space="preserve">    申报单位法定代表人或授权代表人（签名）：</w:t>
      </w:r>
    </w:p>
    <w:p>
      <w:pPr>
        <w:keepNext w:val="0"/>
        <w:keepLines w:val="0"/>
        <w:pageBreakBefore w:val="0"/>
        <w:kinsoku/>
        <w:wordWrap/>
        <w:topLinePunct w:val="0"/>
        <w:bidi w:val="0"/>
        <w:adjustRightInd w:val="0"/>
        <w:snapToGrid w:val="0"/>
        <w:spacing w:line="580" w:lineRule="exact"/>
        <w:ind w:firstLine="640" w:firstLineChars="200"/>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 xml:space="preserve">                            负责人（签名）：</w:t>
      </w:r>
    </w:p>
    <w:p>
      <w:pPr>
        <w:keepNext w:val="0"/>
        <w:keepLines w:val="0"/>
        <w:pageBreakBefore w:val="0"/>
        <w:kinsoku/>
        <w:wordWrap/>
        <w:topLinePunct w:val="0"/>
        <w:bidi w:val="0"/>
        <w:adjustRightInd w:val="0"/>
        <w:snapToGrid w:val="0"/>
        <w:spacing w:line="580" w:lineRule="exact"/>
        <w:ind w:firstLine="640" w:firstLineChars="200"/>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 xml:space="preserve">                                   年  月  日</w:t>
      </w:r>
    </w:p>
    <w:p>
      <w:pPr>
        <w:keepNext w:val="0"/>
        <w:keepLines w:val="0"/>
        <w:pageBreakBefore w:val="0"/>
        <w:kinsoku/>
        <w:wordWrap/>
        <w:topLinePunct w:val="0"/>
        <w:bidi w:val="0"/>
        <w:adjustRightInd w:val="0"/>
        <w:snapToGrid w:val="0"/>
        <w:spacing w:line="580" w:lineRule="exact"/>
        <w:ind w:firstLine="640" w:firstLineChars="200"/>
        <w:rPr>
          <w:rFonts w:hint="eastAsia" w:ascii="仿宋_GB2312" w:hAnsi="仿宋_GB2312" w:eastAsia="仿宋_GB2312" w:cs="仿宋_GB2312"/>
          <w:bCs/>
          <w:snapToGrid w:val="0"/>
          <w:color w:val="auto"/>
          <w:kern w:val="0"/>
          <w:sz w:val="32"/>
          <w:szCs w:val="32"/>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keepNext w:val="0"/>
        <w:keepLines w:val="0"/>
        <w:pageBreakBefore w:val="0"/>
        <w:kinsoku/>
        <w:wordWrap/>
        <w:topLinePunct w:val="0"/>
        <w:bidi w:val="0"/>
        <w:adjustRightInd w:val="0"/>
        <w:snapToGrid w:val="0"/>
        <w:spacing w:line="590" w:lineRule="exact"/>
        <w:ind w:firstLine="640" w:firstLineChars="200"/>
        <w:rPr>
          <w:rFonts w:hint="eastAsia" w:ascii="黑体" w:hAnsi="黑体" w:eastAsia="黑体" w:cs="黑体"/>
          <w:bCs/>
          <w:color w:val="auto"/>
          <w:kern w:val="0"/>
          <w:sz w:val="32"/>
          <w:szCs w:val="32"/>
        </w:rPr>
      </w:pPr>
      <w:r>
        <w:rPr>
          <w:rFonts w:hint="eastAsia" w:ascii="黑体" w:hAnsi="黑体" w:eastAsia="黑体" w:cs="黑体"/>
          <w:bCs/>
          <w:color w:val="auto"/>
          <w:kern w:val="0"/>
          <w:sz w:val="32"/>
          <w:szCs w:val="32"/>
        </w:rPr>
        <w:t>一、项目（课题）单位概况</w:t>
      </w:r>
    </w:p>
    <w:p>
      <w:pPr>
        <w:keepNext w:val="0"/>
        <w:keepLines w:val="0"/>
        <w:pageBreakBefore w:val="0"/>
        <w:kinsoku/>
        <w:wordWrap/>
        <w:topLinePunct w:val="0"/>
        <w:bidi w:val="0"/>
        <w:adjustRightInd w:val="0"/>
        <w:snapToGrid w:val="0"/>
        <w:spacing w:line="590" w:lineRule="exact"/>
        <w:ind w:firstLine="640" w:firstLineChars="200"/>
        <w:rPr>
          <w:rFonts w:hint="eastAsia" w:ascii="仿宋_GB2312" w:hAnsi="仿宋_GB2312" w:eastAsia="仿宋_GB2312" w:cs="仿宋_GB2312"/>
          <w:i w:val="0"/>
          <w:iCs w:val="0"/>
          <w:color w:val="auto"/>
          <w:kern w:val="0"/>
          <w:sz w:val="32"/>
          <w:szCs w:val="32"/>
        </w:rPr>
      </w:pPr>
      <w:r>
        <w:rPr>
          <w:rFonts w:hint="eastAsia" w:ascii="仿宋_GB2312" w:hAnsi="仿宋_GB2312" w:eastAsia="仿宋_GB2312" w:cs="仿宋_GB2312"/>
          <w:i w:val="0"/>
          <w:iCs w:val="0"/>
          <w:color w:val="auto"/>
          <w:kern w:val="0"/>
          <w:sz w:val="32"/>
          <w:szCs w:val="32"/>
        </w:rPr>
        <w:t>（一）包含单位性质、隶属关系、相关职能业务范围。</w:t>
      </w:r>
    </w:p>
    <w:p>
      <w:pPr>
        <w:keepNext w:val="0"/>
        <w:keepLines w:val="0"/>
        <w:pageBreakBefore w:val="0"/>
        <w:kinsoku/>
        <w:wordWrap/>
        <w:topLinePunct w:val="0"/>
        <w:bidi w:val="0"/>
        <w:adjustRightInd w:val="0"/>
        <w:snapToGrid w:val="0"/>
        <w:spacing w:line="590" w:lineRule="exact"/>
        <w:ind w:firstLine="640" w:firstLineChars="200"/>
        <w:rPr>
          <w:rFonts w:hint="eastAsia" w:ascii="仿宋_GB2312" w:hAnsi="仿宋_GB2312" w:eastAsia="仿宋_GB2312" w:cs="仿宋_GB2312"/>
          <w:i w:val="0"/>
          <w:iCs w:val="0"/>
          <w:color w:val="auto"/>
          <w:kern w:val="0"/>
          <w:sz w:val="32"/>
          <w:szCs w:val="32"/>
        </w:rPr>
      </w:pPr>
      <w:r>
        <w:rPr>
          <w:rFonts w:hint="eastAsia" w:ascii="仿宋_GB2312" w:hAnsi="仿宋_GB2312" w:eastAsia="仿宋_GB2312" w:cs="仿宋_GB2312"/>
          <w:i w:val="0"/>
          <w:iCs w:val="0"/>
          <w:color w:val="auto"/>
          <w:kern w:val="0"/>
          <w:sz w:val="32"/>
          <w:szCs w:val="32"/>
        </w:rPr>
        <w:t>（二）人员状况，包括项目（课题）的负责人及骨干人员情况和职责，从事过的相关研究和承担的同类科研任务、发明专利及获奖其概况，在国内外主要刊物上发表的与本项目（课题）相关的成果情况，人员情况应增加列表说明。</w:t>
      </w:r>
    </w:p>
    <w:p>
      <w:pPr>
        <w:keepNext w:val="0"/>
        <w:keepLines w:val="0"/>
        <w:pageBreakBefore w:val="0"/>
        <w:kinsoku/>
        <w:wordWrap/>
        <w:topLinePunct w:val="0"/>
        <w:bidi w:val="0"/>
        <w:adjustRightInd w:val="0"/>
        <w:snapToGrid w:val="0"/>
        <w:spacing w:line="590" w:lineRule="exact"/>
        <w:ind w:firstLine="640" w:firstLineChars="200"/>
        <w:rPr>
          <w:rFonts w:hint="eastAsia" w:ascii="仿宋_GB2312" w:hAnsi="仿宋_GB2312" w:eastAsia="仿宋_GB2312" w:cs="仿宋_GB2312"/>
          <w:i w:val="0"/>
          <w:iCs w:val="0"/>
          <w:color w:val="auto"/>
          <w:kern w:val="0"/>
          <w:sz w:val="32"/>
          <w:szCs w:val="32"/>
        </w:rPr>
      </w:pPr>
      <w:r>
        <w:rPr>
          <w:rFonts w:hint="eastAsia" w:ascii="仿宋_GB2312" w:hAnsi="仿宋_GB2312" w:eastAsia="仿宋_GB2312" w:cs="仿宋_GB2312"/>
          <w:i w:val="0"/>
          <w:iCs w:val="0"/>
          <w:color w:val="auto"/>
          <w:kern w:val="0"/>
          <w:sz w:val="32"/>
          <w:szCs w:val="32"/>
        </w:rPr>
        <w:t>（三）单位财务收支和资产负债简况</w:t>
      </w:r>
    </w:p>
    <w:p>
      <w:pPr>
        <w:keepNext w:val="0"/>
        <w:keepLines w:val="0"/>
        <w:pageBreakBefore w:val="0"/>
        <w:kinsoku/>
        <w:wordWrap/>
        <w:topLinePunct w:val="0"/>
        <w:bidi w:val="0"/>
        <w:adjustRightInd w:val="0"/>
        <w:snapToGrid w:val="0"/>
        <w:spacing w:line="590" w:lineRule="exact"/>
        <w:ind w:firstLine="640" w:firstLineChars="200"/>
        <w:rPr>
          <w:rFonts w:hint="eastAsia" w:ascii="仿宋_GB2312" w:hAnsi="仿宋_GB2312" w:eastAsia="仿宋_GB2312" w:cs="仿宋_GB2312"/>
          <w:i w:val="0"/>
          <w:iCs w:val="0"/>
          <w:color w:val="auto"/>
          <w:kern w:val="0"/>
          <w:sz w:val="32"/>
          <w:szCs w:val="32"/>
        </w:rPr>
      </w:pPr>
      <w:r>
        <w:rPr>
          <w:rFonts w:hint="eastAsia" w:ascii="仿宋_GB2312" w:hAnsi="仿宋_GB2312" w:eastAsia="仿宋_GB2312" w:cs="仿宋_GB2312"/>
          <w:i w:val="0"/>
          <w:iCs w:val="0"/>
          <w:color w:val="auto"/>
          <w:kern w:val="0"/>
          <w:sz w:val="32"/>
          <w:szCs w:val="32"/>
        </w:rPr>
        <w:t>（申请单位为企业必须填写，申请单位为高校、科研院所等事业单位无需填写此项）。</w:t>
      </w:r>
    </w:p>
    <w:p>
      <w:pPr>
        <w:keepNext w:val="0"/>
        <w:keepLines w:val="0"/>
        <w:pageBreakBefore w:val="0"/>
        <w:kinsoku/>
        <w:wordWrap/>
        <w:topLinePunct w:val="0"/>
        <w:bidi w:val="0"/>
        <w:adjustRightInd w:val="0"/>
        <w:snapToGrid w:val="0"/>
        <w:spacing w:line="590" w:lineRule="exact"/>
        <w:ind w:firstLine="640" w:firstLineChars="200"/>
        <w:rPr>
          <w:rFonts w:hint="eastAsia" w:ascii="仿宋_GB2312" w:hAnsi="仿宋_GB2312" w:eastAsia="仿宋_GB2312" w:cs="仿宋_GB2312"/>
          <w:i w:val="0"/>
          <w:iCs w:val="0"/>
          <w:color w:val="auto"/>
          <w:kern w:val="0"/>
          <w:sz w:val="32"/>
          <w:szCs w:val="32"/>
        </w:rPr>
      </w:pPr>
      <w:r>
        <w:rPr>
          <w:rFonts w:hint="eastAsia" w:ascii="仿宋_GB2312" w:hAnsi="仿宋_GB2312" w:eastAsia="仿宋_GB2312" w:cs="仿宋_GB2312"/>
          <w:i w:val="0"/>
          <w:iCs w:val="0"/>
          <w:color w:val="auto"/>
          <w:kern w:val="0"/>
          <w:sz w:val="32"/>
          <w:szCs w:val="32"/>
        </w:rPr>
        <w:t>（四）单位现有平台、基础设施和配套仪器设备、专业技术水平和组织管理能力等现有条件基础等内容，以及能够满足项目（课题）开展所需条件的说明。</w:t>
      </w:r>
    </w:p>
    <w:p>
      <w:pPr>
        <w:keepNext w:val="0"/>
        <w:keepLines w:val="0"/>
        <w:pageBreakBefore w:val="0"/>
        <w:kinsoku/>
        <w:wordWrap/>
        <w:topLinePunct w:val="0"/>
        <w:bidi w:val="0"/>
        <w:adjustRightInd w:val="0"/>
        <w:snapToGrid w:val="0"/>
        <w:spacing w:line="590" w:lineRule="exact"/>
        <w:ind w:firstLine="616"/>
        <w:jc w:val="center"/>
        <w:rPr>
          <w:rFonts w:hint="eastAsia" w:ascii="方正小标宋简体" w:hAnsi="方正小标宋简体" w:eastAsia="方正小标宋简体" w:cs="方正小标宋简体"/>
          <w:color w:val="auto"/>
          <w:sz w:val="32"/>
          <w:szCs w:val="32"/>
        </w:rPr>
      </w:pPr>
      <w:r>
        <w:rPr>
          <w:rFonts w:hint="eastAsia" w:eastAsia="黑体"/>
          <w:bCs/>
          <w:color w:val="auto"/>
          <w:sz w:val="28"/>
        </w:rPr>
        <w:br w:type="page"/>
      </w:r>
      <w:r>
        <w:rPr>
          <w:rFonts w:hint="eastAsia" w:ascii="方正小标宋简体" w:hAnsi="方正小标宋简体" w:eastAsia="方正小标宋简体" w:cs="方正小标宋简体"/>
          <w:b w:val="0"/>
          <w:bCs/>
          <w:color w:val="auto"/>
          <w:sz w:val="32"/>
          <w:szCs w:val="32"/>
        </w:rPr>
        <w:t>项目（课题）牵头承担单位基本情况表</w:t>
      </w:r>
    </w:p>
    <w:p>
      <w:pPr>
        <w:keepNext w:val="0"/>
        <w:keepLines w:val="0"/>
        <w:pageBreakBefore w:val="0"/>
        <w:kinsoku/>
        <w:wordWrap/>
        <w:topLinePunct w:val="0"/>
        <w:autoSpaceDE w:val="0"/>
        <w:autoSpaceDN w:val="0"/>
        <w:bidi w:val="0"/>
        <w:adjustRightInd w:val="0"/>
        <w:snapToGrid w:val="0"/>
        <w:spacing w:line="420" w:lineRule="exact"/>
        <w:ind w:firstLine="376"/>
        <w:rPr>
          <w:rFonts w:ascii="黑体" w:hAnsi="黑体" w:eastAsia="黑体" w:cs="黑体"/>
          <w:b w:val="0"/>
          <w:bCs w:val="0"/>
          <w:color w:val="auto"/>
          <w:sz w:val="20"/>
        </w:rPr>
      </w:pPr>
      <w:r>
        <w:rPr>
          <w:rFonts w:hint="eastAsia" w:ascii="黑体" w:hAnsi="黑体" w:eastAsia="黑体" w:cs="黑体"/>
          <w:b w:val="0"/>
          <w:bCs w:val="0"/>
          <w:color w:val="auto"/>
          <w:sz w:val="20"/>
        </w:rPr>
        <w:t>表A1</w:t>
      </w:r>
    </w:p>
    <w:tbl>
      <w:tblPr>
        <w:tblStyle w:val="12"/>
        <w:tblW w:w="9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2129"/>
        <w:gridCol w:w="1341"/>
        <w:gridCol w:w="817"/>
        <w:gridCol w:w="958"/>
        <w:gridCol w:w="848"/>
        <w:gridCol w:w="310"/>
        <w:gridCol w:w="309"/>
        <w:gridCol w:w="515"/>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4" w:hRule="atLeast"/>
          <w:tblHeader/>
          <w:jc w:val="center"/>
        </w:trPr>
        <w:tc>
          <w:tcPr>
            <w:tcW w:w="9009" w:type="dxa"/>
            <w:gridSpan w:val="10"/>
            <w:vAlign w:val="center"/>
          </w:tcPr>
          <w:p>
            <w:pPr>
              <w:keepNext w:val="0"/>
              <w:keepLines w:val="0"/>
              <w:pageBreakBefore w:val="0"/>
              <w:widowControl w:val="0"/>
              <w:kinsoku/>
              <w:wordWrap/>
              <w:overflowPunct/>
              <w:topLinePunct w:val="0"/>
              <w:autoSpaceDE w:val="0"/>
              <w:autoSpaceDN w:val="0"/>
              <w:bidi w:val="0"/>
              <w:adjustRightInd w:val="0"/>
              <w:snapToGrid w:val="0"/>
              <w:spacing w:before="65" w:beforeLines="15" w:line="264" w:lineRule="auto"/>
              <w:ind w:left="1100" w:hanging="1100" w:hangingChars="550"/>
              <w:textAlignment w:val="auto"/>
              <w:rPr>
                <w:rFonts w:ascii="楷体_GB2312" w:hAnsi="楷体_GB2312" w:eastAsia="楷体_GB2312"/>
                <w:color w:val="auto"/>
                <w:sz w:val="20"/>
              </w:rPr>
            </w:pPr>
            <w:r>
              <w:rPr>
                <w:rFonts w:hint="eastAsia" w:ascii="楷体_GB2312" w:hAnsi="楷体_GB2312" w:eastAsia="楷体_GB2312"/>
                <w:color w:val="auto"/>
                <w:sz w:val="20"/>
              </w:rPr>
              <w:t xml:space="preserve">填表说明：1.组织机构代码指企事业单位国家标准代码，单位若已三证合一请填写单位社会信用代码,            无组织机构代码的单位填写“000000000”； </w:t>
            </w:r>
          </w:p>
          <w:p>
            <w:pPr>
              <w:autoSpaceDE w:val="0"/>
              <w:autoSpaceDN w:val="0"/>
              <w:adjustRightInd w:val="0"/>
              <w:snapToGrid w:val="0"/>
              <w:spacing w:before="65" w:beforeLines="15" w:line="264" w:lineRule="auto"/>
              <w:ind w:left="1314" w:hanging="1400" w:hangingChars="700"/>
              <w:rPr>
                <w:rFonts w:ascii="楷体_GB2312" w:hAnsi="楷体_GB2312" w:eastAsia="楷体_GB2312"/>
                <w:color w:val="auto"/>
                <w:sz w:val="20"/>
              </w:rPr>
            </w:pPr>
            <w:r>
              <w:rPr>
                <w:rFonts w:hint="eastAsia" w:ascii="楷体_GB2312" w:hAnsi="楷体_GB2312" w:eastAsia="楷体_GB2312"/>
                <w:color w:val="auto"/>
                <w:sz w:val="20"/>
              </w:rPr>
              <w:t xml:space="preserve">       </w:t>
            </w:r>
            <w:r>
              <w:rPr>
                <w:rFonts w:ascii="楷体_GB2312" w:hAnsi="楷体_GB2312" w:eastAsia="楷体_GB2312"/>
                <w:color w:val="auto"/>
                <w:sz w:val="20"/>
              </w:rPr>
              <w:t xml:space="preserve">  </w:t>
            </w:r>
            <w:r>
              <w:rPr>
                <w:rFonts w:hint="eastAsia" w:ascii="楷体_GB2312" w:hAnsi="楷体_GB2312" w:eastAsia="楷体_GB2312"/>
                <w:color w:val="auto"/>
                <w:sz w:val="20"/>
              </w:rPr>
              <w:t xml:space="preserve"> 2.单位公章名称必须与单位名称一致；</w:t>
            </w:r>
          </w:p>
          <w:p>
            <w:pPr>
              <w:autoSpaceDE w:val="0"/>
              <w:autoSpaceDN w:val="0"/>
              <w:adjustRightInd w:val="0"/>
              <w:snapToGrid w:val="0"/>
              <w:spacing w:before="65" w:beforeLines="15" w:line="264" w:lineRule="auto"/>
              <w:ind w:left="1314" w:hanging="1400" w:hangingChars="700"/>
              <w:rPr>
                <w:rFonts w:eastAsia="楷体_GB2312"/>
                <w:color w:val="auto"/>
                <w:sz w:val="20"/>
                <w:szCs w:val="20"/>
              </w:rPr>
            </w:pPr>
            <w:r>
              <w:rPr>
                <w:rFonts w:hint="eastAsia" w:ascii="楷体_GB2312" w:hAnsi="楷体_GB2312" w:eastAsia="楷体_GB2312"/>
                <w:color w:val="auto"/>
                <w:sz w:val="20"/>
              </w:rPr>
              <w:t xml:space="preserve">       </w:t>
            </w:r>
            <w:r>
              <w:rPr>
                <w:rFonts w:ascii="楷体_GB2312" w:hAnsi="楷体_GB2312" w:eastAsia="楷体_GB2312"/>
                <w:color w:val="auto"/>
                <w:sz w:val="20"/>
              </w:rPr>
              <w:t xml:space="preserve">  </w:t>
            </w:r>
            <w:r>
              <w:rPr>
                <w:rFonts w:hint="eastAsia" w:ascii="楷体_GB2312" w:hAnsi="楷体_GB2312" w:eastAsia="楷体_GB2312"/>
                <w:color w:val="auto"/>
                <w:sz w:val="20"/>
              </w:rPr>
              <w:t xml:space="preserve"> 3.单位开户名称应与单位名称一致，如有开户名称不一致等特殊情况，必须提供证明文件。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restart"/>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牵头承担单位</w:t>
            </w:r>
          </w:p>
        </w:tc>
        <w:tc>
          <w:tcPr>
            <w:tcW w:w="2129" w:type="dxa"/>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单位名称</w:t>
            </w:r>
          </w:p>
        </w:tc>
        <w:tc>
          <w:tcPr>
            <w:tcW w:w="6413" w:type="dxa"/>
            <w:gridSpan w:val="8"/>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单位类别</w:t>
            </w:r>
          </w:p>
        </w:tc>
        <w:tc>
          <w:tcPr>
            <w:tcW w:w="6413" w:type="dxa"/>
            <w:gridSpan w:val="8"/>
            <w:vAlign w:val="center"/>
          </w:tcPr>
          <w:p>
            <w:pPr>
              <w:tabs>
                <w:tab w:val="left" w:pos="360"/>
              </w:tabs>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□科研院所      □大专院校      □企业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单位主管部门</w:t>
            </w:r>
          </w:p>
        </w:tc>
        <w:tc>
          <w:tcPr>
            <w:tcW w:w="3964" w:type="dxa"/>
            <w:gridSpan w:val="4"/>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c>
          <w:tcPr>
            <w:tcW w:w="1134" w:type="dxa"/>
            <w:gridSpan w:val="3"/>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隶属关系</w:t>
            </w:r>
          </w:p>
        </w:tc>
        <w:tc>
          <w:tcPr>
            <w:tcW w:w="1315"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中央/地方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单位组织机构代码</w:t>
            </w:r>
          </w:p>
        </w:tc>
        <w:tc>
          <w:tcPr>
            <w:tcW w:w="6413" w:type="dxa"/>
            <w:gridSpan w:val="8"/>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单位法定代表人姓名</w:t>
            </w:r>
          </w:p>
        </w:tc>
        <w:tc>
          <w:tcPr>
            <w:tcW w:w="6413" w:type="dxa"/>
            <w:gridSpan w:val="8"/>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单位开户名称</w:t>
            </w:r>
          </w:p>
        </w:tc>
        <w:tc>
          <w:tcPr>
            <w:tcW w:w="6413" w:type="dxa"/>
            <w:gridSpan w:val="8"/>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开户银行（全称）</w:t>
            </w:r>
          </w:p>
        </w:tc>
        <w:tc>
          <w:tcPr>
            <w:tcW w:w="2158" w:type="dxa"/>
            <w:gridSpan w:val="2"/>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c>
          <w:tcPr>
            <w:tcW w:w="2116" w:type="dxa"/>
            <w:gridSpan w:val="3"/>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汇入地点</w:t>
            </w:r>
          </w:p>
        </w:tc>
        <w:tc>
          <w:tcPr>
            <w:tcW w:w="2139" w:type="dxa"/>
            <w:gridSpan w:val="3"/>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省        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银行账号</w:t>
            </w:r>
          </w:p>
        </w:tc>
        <w:tc>
          <w:tcPr>
            <w:tcW w:w="2158" w:type="dxa"/>
            <w:gridSpan w:val="2"/>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c>
          <w:tcPr>
            <w:tcW w:w="2116" w:type="dxa"/>
            <w:gridSpan w:val="3"/>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银行机构代码</w:t>
            </w:r>
          </w:p>
        </w:tc>
        <w:tc>
          <w:tcPr>
            <w:tcW w:w="2139" w:type="dxa"/>
            <w:gridSpan w:val="3"/>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单位所属地区</w:t>
            </w:r>
          </w:p>
        </w:tc>
        <w:tc>
          <w:tcPr>
            <w:tcW w:w="2158" w:type="dxa"/>
            <w:gridSpan w:val="2"/>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省</w:t>
            </w:r>
          </w:p>
        </w:tc>
        <w:tc>
          <w:tcPr>
            <w:tcW w:w="1806" w:type="dxa"/>
            <w:gridSpan w:val="2"/>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地市</w:t>
            </w:r>
          </w:p>
        </w:tc>
        <w:tc>
          <w:tcPr>
            <w:tcW w:w="2449" w:type="dxa"/>
            <w:gridSpan w:val="4"/>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县市（区）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电子邮箱</w:t>
            </w:r>
          </w:p>
        </w:tc>
        <w:tc>
          <w:tcPr>
            <w:tcW w:w="6413" w:type="dxa"/>
            <w:gridSpan w:val="8"/>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通信地址</w:t>
            </w:r>
          </w:p>
        </w:tc>
        <w:tc>
          <w:tcPr>
            <w:tcW w:w="6413" w:type="dxa"/>
            <w:gridSpan w:val="8"/>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邮政编码</w:t>
            </w:r>
          </w:p>
        </w:tc>
        <w:tc>
          <w:tcPr>
            <w:tcW w:w="6413" w:type="dxa"/>
            <w:gridSpan w:val="8"/>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restart"/>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相关责任人</w:t>
            </w:r>
          </w:p>
        </w:tc>
        <w:tc>
          <w:tcPr>
            <w:tcW w:w="2129" w:type="dxa"/>
            <w:vMerge w:val="restart"/>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项目（课题）负责人</w:t>
            </w: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姓名</w:t>
            </w:r>
          </w:p>
        </w:tc>
        <w:tc>
          <w:tcPr>
            <w:tcW w:w="5072" w:type="dxa"/>
            <w:gridSpan w:val="7"/>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身份证号码</w:t>
            </w:r>
          </w:p>
        </w:tc>
        <w:tc>
          <w:tcPr>
            <w:tcW w:w="5072" w:type="dxa"/>
            <w:gridSpan w:val="7"/>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工作单位</w:t>
            </w:r>
          </w:p>
        </w:tc>
        <w:tc>
          <w:tcPr>
            <w:tcW w:w="5072" w:type="dxa"/>
            <w:gridSpan w:val="7"/>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电话号码</w:t>
            </w:r>
          </w:p>
        </w:tc>
        <w:tc>
          <w:tcPr>
            <w:tcW w:w="1775" w:type="dxa"/>
            <w:gridSpan w:val="2"/>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c>
          <w:tcPr>
            <w:tcW w:w="1467" w:type="dxa"/>
            <w:gridSpan w:val="3"/>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手机号码</w:t>
            </w:r>
          </w:p>
        </w:tc>
        <w:tc>
          <w:tcPr>
            <w:tcW w:w="1830" w:type="dxa"/>
            <w:gridSpan w:val="2"/>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电子邮箱</w:t>
            </w:r>
          </w:p>
        </w:tc>
        <w:tc>
          <w:tcPr>
            <w:tcW w:w="1775" w:type="dxa"/>
            <w:gridSpan w:val="2"/>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c>
          <w:tcPr>
            <w:tcW w:w="1467" w:type="dxa"/>
            <w:gridSpan w:val="3"/>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邮政编码</w:t>
            </w:r>
          </w:p>
        </w:tc>
        <w:tc>
          <w:tcPr>
            <w:tcW w:w="1830" w:type="dxa"/>
            <w:gridSpan w:val="2"/>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通信地址</w:t>
            </w:r>
          </w:p>
        </w:tc>
        <w:tc>
          <w:tcPr>
            <w:tcW w:w="5072" w:type="dxa"/>
            <w:gridSpan w:val="7"/>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Merge w:val="restart"/>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项目（课题）联系人</w:t>
            </w: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姓名</w:t>
            </w:r>
          </w:p>
        </w:tc>
        <w:tc>
          <w:tcPr>
            <w:tcW w:w="5072" w:type="dxa"/>
            <w:gridSpan w:val="7"/>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电话号码</w:t>
            </w:r>
          </w:p>
        </w:tc>
        <w:tc>
          <w:tcPr>
            <w:tcW w:w="1775" w:type="dxa"/>
            <w:gridSpan w:val="2"/>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c>
          <w:tcPr>
            <w:tcW w:w="1467" w:type="dxa"/>
            <w:gridSpan w:val="3"/>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手机号码</w:t>
            </w:r>
          </w:p>
        </w:tc>
        <w:tc>
          <w:tcPr>
            <w:tcW w:w="1830" w:type="dxa"/>
            <w:gridSpan w:val="2"/>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传真号码</w:t>
            </w:r>
          </w:p>
        </w:tc>
        <w:tc>
          <w:tcPr>
            <w:tcW w:w="5072" w:type="dxa"/>
            <w:gridSpan w:val="7"/>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电子邮箱</w:t>
            </w:r>
          </w:p>
        </w:tc>
        <w:tc>
          <w:tcPr>
            <w:tcW w:w="5072" w:type="dxa"/>
            <w:gridSpan w:val="7"/>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p>
        </w:tc>
        <w:tc>
          <w:tcPr>
            <w:tcW w:w="2129" w:type="dxa"/>
            <w:vMerge w:val="restart"/>
            <w:vAlign w:val="center"/>
          </w:tcPr>
          <w:p>
            <w:pPr>
              <w:autoSpaceDE w:val="0"/>
              <w:autoSpaceDN w:val="0"/>
              <w:adjustRightInd w:val="0"/>
              <w:snapToGrid w:val="0"/>
              <w:spacing w:line="276"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财务负责人</w:t>
            </w: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姓名</w:t>
            </w:r>
          </w:p>
        </w:tc>
        <w:tc>
          <w:tcPr>
            <w:tcW w:w="5072" w:type="dxa"/>
            <w:gridSpan w:val="7"/>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c>
          <w:tcPr>
            <w:tcW w:w="2129"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身份证号码</w:t>
            </w:r>
          </w:p>
        </w:tc>
        <w:tc>
          <w:tcPr>
            <w:tcW w:w="5072" w:type="dxa"/>
            <w:gridSpan w:val="7"/>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c>
          <w:tcPr>
            <w:tcW w:w="2129" w:type="dxa"/>
            <w:vMerge w:val="continue"/>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电话号码</w:t>
            </w:r>
          </w:p>
        </w:tc>
        <w:tc>
          <w:tcPr>
            <w:tcW w:w="1775" w:type="dxa"/>
            <w:gridSpan w:val="2"/>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c>
          <w:tcPr>
            <w:tcW w:w="1467" w:type="dxa"/>
            <w:gridSpan w:val="3"/>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手机号码</w:t>
            </w:r>
          </w:p>
        </w:tc>
        <w:tc>
          <w:tcPr>
            <w:tcW w:w="1830" w:type="dxa"/>
            <w:gridSpan w:val="2"/>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pPr>
              <w:autoSpaceDE w:val="0"/>
              <w:autoSpaceDN w:val="0"/>
              <w:adjustRightInd w:val="0"/>
              <w:snapToGrid w:val="0"/>
              <w:spacing w:line="276" w:lineRule="auto"/>
              <w:rPr>
                <w:color w:val="auto"/>
                <w:sz w:val="20"/>
              </w:rPr>
            </w:pPr>
          </w:p>
        </w:tc>
        <w:tc>
          <w:tcPr>
            <w:tcW w:w="2129" w:type="dxa"/>
            <w:vMerge w:val="continue"/>
            <w:vAlign w:val="center"/>
          </w:tcPr>
          <w:p>
            <w:pPr>
              <w:autoSpaceDE w:val="0"/>
              <w:autoSpaceDN w:val="0"/>
              <w:adjustRightInd w:val="0"/>
              <w:snapToGrid w:val="0"/>
              <w:spacing w:line="276" w:lineRule="auto"/>
              <w:rPr>
                <w:color w:val="auto"/>
                <w:sz w:val="20"/>
              </w:rPr>
            </w:pPr>
          </w:p>
        </w:tc>
        <w:tc>
          <w:tcPr>
            <w:tcW w:w="1341" w:type="dxa"/>
            <w:vAlign w:val="center"/>
          </w:tcPr>
          <w:p>
            <w:pPr>
              <w:autoSpaceDE w:val="0"/>
              <w:autoSpaceDN w:val="0"/>
              <w:adjustRightInd w:val="0"/>
              <w:snapToGrid w:val="0"/>
              <w:spacing w:line="276"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电子邮箱</w:t>
            </w:r>
          </w:p>
        </w:tc>
        <w:tc>
          <w:tcPr>
            <w:tcW w:w="5072" w:type="dxa"/>
            <w:gridSpan w:val="7"/>
            <w:vAlign w:val="center"/>
          </w:tcPr>
          <w:p>
            <w:pPr>
              <w:autoSpaceDE w:val="0"/>
              <w:autoSpaceDN w:val="0"/>
              <w:adjustRightInd w:val="0"/>
              <w:snapToGrid w:val="0"/>
              <w:spacing w:line="276" w:lineRule="auto"/>
              <w:rPr>
                <w:color w:val="auto"/>
                <w:sz w:val="20"/>
              </w:rPr>
            </w:pPr>
          </w:p>
        </w:tc>
      </w:tr>
    </w:tbl>
    <w:p>
      <w:pPr>
        <w:snapToGrid w:val="0"/>
        <w:spacing w:line="300" w:lineRule="auto"/>
        <w:rPr>
          <w:rFonts w:ascii="长城小标宋体" w:hAnsi="长城小标宋体" w:eastAsia="长城小标宋体"/>
          <w:color w:val="auto"/>
          <w:sz w:val="32"/>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rPr>
        <w:t>项目（课题）参与单位基本情况表</w:t>
      </w:r>
    </w:p>
    <w:p>
      <w:pPr>
        <w:autoSpaceDE w:val="0"/>
        <w:autoSpaceDN w:val="0"/>
        <w:adjustRightInd w:val="0"/>
        <w:snapToGrid w:val="0"/>
        <w:rPr>
          <w:rFonts w:ascii="黑体" w:hAnsi="黑体" w:eastAsia="黑体" w:cs="黑体"/>
          <w:b w:val="0"/>
          <w:bCs w:val="0"/>
          <w:color w:val="auto"/>
          <w:sz w:val="20"/>
        </w:rPr>
      </w:pPr>
      <w:r>
        <w:rPr>
          <w:rFonts w:hint="eastAsia" w:ascii="黑体" w:hAnsi="黑体" w:eastAsia="黑体" w:cs="黑体"/>
          <w:b w:val="0"/>
          <w:bCs w:val="0"/>
          <w:color w:val="auto"/>
          <w:sz w:val="20"/>
        </w:rPr>
        <w:t>表B1</w:t>
      </w:r>
    </w:p>
    <w:tbl>
      <w:tblPr>
        <w:tblStyle w:val="12"/>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2130"/>
        <w:gridCol w:w="1341"/>
        <w:gridCol w:w="817"/>
        <w:gridCol w:w="957"/>
        <w:gridCol w:w="849"/>
        <w:gridCol w:w="618"/>
        <w:gridCol w:w="51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1" w:hRule="atLeast"/>
          <w:tblHeader/>
          <w:jc w:val="center"/>
        </w:trPr>
        <w:tc>
          <w:tcPr>
            <w:tcW w:w="9010" w:type="dxa"/>
            <w:gridSpan w:val="9"/>
            <w:vAlign w:val="center"/>
          </w:tcPr>
          <w:p>
            <w:pPr>
              <w:keepNext w:val="0"/>
              <w:keepLines w:val="0"/>
              <w:pageBreakBefore w:val="0"/>
              <w:widowControl w:val="0"/>
              <w:kinsoku/>
              <w:wordWrap/>
              <w:overflowPunct/>
              <w:topLinePunct w:val="0"/>
              <w:autoSpaceDE w:val="0"/>
              <w:autoSpaceDN w:val="0"/>
              <w:bidi w:val="0"/>
              <w:adjustRightInd w:val="0"/>
              <w:snapToGrid w:val="0"/>
              <w:spacing w:before="65" w:beforeLines="15" w:line="264" w:lineRule="auto"/>
              <w:ind w:left="1100" w:hanging="1100" w:hangingChars="550"/>
              <w:textAlignment w:val="auto"/>
              <w:rPr>
                <w:rFonts w:eastAsia="楷体_GB2312"/>
                <w:color w:val="auto"/>
                <w:sz w:val="20"/>
                <w:szCs w:val="20"/>
              </w:rPr>
            </w:pPr>
            <w:r>
              <w:rPr>
                <w:rFonts w:hint="eastAsia" w:eastAsia="楷体_GB2312"/>
                <w:color w:val="auto"/>
                <w:sz w:val="20"/>
                <w:szCs w:val="20"/>
              </w:rPr>
              <w:t>填表说明：1.</w:t>
            </w:r>
            <w:r>
              <w:rPr>
                <w:rFonts w:hint="eastAsia" w:ascii="楷体_GB2312" w:hAnsi="楷体_GB2312" w:eastAsia="楷体_GB2312"/>
                <w:color w:val="auto"/>
                <w:sz w:val="20"/>
              </w:rPr>
              <w:t>组织机构代码指企事业单位国家标准代码，</w:t>
            </w:r>
            <w:r>
              <w:rPr>
                <w:rFonts w:hint="eastAsia" w:eastAsia="楷体_GB2312"/>
                <w:color w:val="auto"/>
                <w:sz w:val="20"/>
                <w:szCs w:val="20"/>
              </w:rPr>
              <w:t>单位若已三证合一请填写单位社会信用代码</w:t>
            </w:r>
            <w:r>
              <w:rPr>
                <w:rFonts w:hint="eastAsia" w:ascii="宋体" w:hAnsi="宋体" w:cs="宋体"/>
                <w:color w:val="auto"/>
                <w:sz w:val="20"/>
                <w:szCs w:val="20"/>
              </w:rPr>
              <w:t>，</w:t>
            </w:r>
            <w:r>
              <w:rPr>
                <w:rFonts w:hint="eastAsia" w:ascii="楷体_GB2312" w:hAnsi="楷体_GB2312" w:eastAsia="楷体_GB2312"/>
                <w:color w:val="auto"/>
                <w:sz w:val="20"/>
              </w:rPr>
              <w:t xml:space="preserve">            无组织机构代码的单位填写“000000000”</w:t>
            </w:r>
            <w:r>
              <w:rPr>
                <w:rFonts w:hint="eastAsia" w:eastAsia="楷体_GB2312"/>
                <w:color w:val="auto"/>
                <w:sz w:val="20"/>
                <w:szCs w:val="20"/>
              </w:rPr>
              <w:t>；</w:t>
            </w:r>
          </w:p>
          <w:p>
            <w:pPr>
              <w:autoSpaceDE w:val="0"/>
              <w:autoSpaceDN w:val="0"/>
              <w:adjustRightInd w:val="0"/>
              <w:snapToGrid w:val="0"/>
              <w:spacing w:before="65" w:beforeLines="15" w:line="264" w:lineRule="auto"/>
              <w:rPr>
                <w:rFonts w:eastAsia="楷体_GB2312"/>
                <w:color w:val="auto"/>
                <w:sz w:val="20"/>
                <w:szCs w:val="20"/>
              </w:rPr>
            </w:pPr>
            <w:r>
              <w:rPr>
                <w:rFonts w:hint="eastAsia" w:eastAsia="楷体_GB2312"/>
                <w:color w:val="auto"/>
                <w:sz w:val="20"/>
                <w:szCs w:val="20"/>
              </w:rPr>
              <w:t xml:space="preserve">        </w:t>
            </w:r>
            <w:r>
              <w:rPr>
                <w:rFonts w:eastAsia="楷体_GB2312"/>
                <w:color w:val="auto"/>
                <w:sz w:val="20"/>
                <w:szCs w:val="20"/>
              </w:rPr>
              <w:t xml:space="preserve">  </w:t>
            </w:r>
            <w:r>
              <w:rPr>
                <w:rFonts w:hint="eastAsia" w:eastAsia="楷体_GB2312"/>
                <w:color w:val="auto"/>
                <w:sz w:val="20"/>
                <w:szCs w:val="20"/>
              </w:rPr>
              <w:t>2.单位公章名称必须与单位名称一致。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restart"/>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参与单位</w:t>
            </w:r>
          </w:p>
        </w:tc>
        <w:tc>
          <w:tcPr>
            <w:tcW w:w="2130"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单位名称</w:t>
            </w:r>
          </w:p>
        </w:tc>
        <w:tc>
          <w:tcPr>
            <w:tcW w:w="6412" w:type="dxa"/>
            <w:gridSpan w:val="7"/>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2130"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单位类别</w:t>
            </w:r>
          </w:p>
        </w:tc>
        <w:tc>
          <w:tcPr>
            <w:tcW w:w="6412" w:type="dxa"/>
            <w:gridSpan w:val="7"/>
            <w:vAlign w:val="center"/>
          </w:tcPr>
          <w:p>
            <w:pPr>
              <w:tabs>
                <w:tab w:val="left" w:pos="360"/>
                <w:tab w:val="left" w:pos="1260"/>
              </w:tabs>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□科研院所      □大专院校      □企业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2130"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单位主管部门</w:t>
            </w:r>
          </w:p>
        </w:tc>
        <w:tc>
          <w:tcPr>
            <w:tcW w:w="3964" w:type="dxa"/>
            <w:gridSpan w:val="4"/>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1135"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隶属关系</w:t>
            </w:r>
          </w:p>
        </w:tc>
        <w:tc>
          <w:tcPr>
            <w:tcW w:w="1313"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中央/地方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2130"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单位组织机构代码</w:t>
            </w:r>
          </w:p>
        </w:tc>
        <w:tc>
          <w:tcPr>
            <w:tcW w:w="6412" w:type="dxa"/>
            <w:gridSpan w:val="7"/>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2130"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单位法定代表人姓名</w:t>
            </w:r>
          </w:p>
        </w:tc>
        <w:tc>
          <w:tcPr>
            <w:tcW w:w="6412" w:type="dxa"/>
            <w:gridSpan w:val="7"/>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2130"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单位所属地区</w:t>
            </w:r>
          </w:p>
        </w:tc>
        <w:tc>
          <w:tcPr>
            <w:tcW w:w="2158"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省</w:t>
            </w:r>
          </w:p>
        </w:tc>
        <w:tc>
          <w:tcPr>
            <w:tcW w:w="1806" w:type="dxa"/>
            <w:gridSpan w:val="2"/>
            <w:vAlign w:val="center"/>
          </w:tcPr>
          <w:p>
            <w:pPr>
              <w:adjustRightInd w:val="0"/>
              <w:snapToGrid w:val="0"/>
              <w:spacing w:before="65" w:beforeLines="15" w:line="264"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地市</w:t>
            </w:r>
          </w:p>
        </w:tc>
        <w:tc>
          <w:tcPr>
            <w:tcW w:w="2448" w:type="dxa"/>
            <w:gridSpan w:val="3"/>
            <w:vAlign w:val="center"/>
          </w:tcPr>
          <w:p>
            <w:pPr>
              <w:adjustRightInd w:val="0"/>
              <w:snapToGrid w:val="0"/>
              <w:spacing w:before="65" w:beforeLines="15" w:line="264"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县市（区）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2130"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电子邮箱</w:t>
            </w:r>
          </w:p>
        </w:tc>
        <w:tc>
          <w:tcPr>
            <w:tcW w:w="6412" w:type="dxa"/>
            <w:gridSpan w:val="7"/>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2130"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通信地址</w:t>
            </w:r>
          </w:p>
        </w:tc>
        <w:tc>
          <w:tcPr>
            <w:tcW w:w="6412" w:type="dxa"/>
            <w:gridSpan w:val="7"/>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2130"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邮政编码</w:t>
            </w:r>
          </w:p>
        </w:tc>
        <w:tc>
          <w:tcPr>
            <w:tcW w:w="6412" w:type="dxa"/>
            <w:gridSpan w:val="7"/>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restart"/>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相关责任人</w:t>
            </w:r>
          </w:p>
        </w:tc>
        <w:tc>
          <w:tcPr>
            <w:tcW w:w="2130" w:type="dxa"/>
            <w:vMerge w:val="restart"/>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参与单位负责人</w:t>
            </w: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姓名</w:t>
            </w:r>
          </w:p>
        </w:tc>
        <w:tc>
          <w:tcPr>
            <w:tcW w:w="5071" w:type="dxa"/>
            <w:gridSpan w:val="6"/>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2130"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身份证号码</w:t>
            </w:r>
          </w:p>
        </w:tc>
        <w:tc>
          <w:tcPr>
            <w:tcW w:w="5071" w:type="dxa"/>
            <w:gridSpan w:val="6"/>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2130"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工作单位</w:t>
            </w:r>
          </w:p>
        </w:tc>
        <w:tc>
          <w:tcPr>
            <w:tcW w:w="5071" w:type="dxa"/>
            <w:gridSpan w:val="6"/>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2130"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电话号码</w:t>
            </w:r>
          </w:p>
        </w:tc>
        <w:tc>
          <w:tcPr>
            <w:tcW w:w="1774"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1467"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手机号码</w:t>
            </w:r>
          </w:p>
        </w:tc>
        <w:tc>
          <w:tcPr>
            <w:tcW w:w="1830"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2130"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电子邮箱</w:t>
            </w:r>
          </w:p>
        </w:tc>
        <w:tc>
          <w:tcPr>
            <w:tcW w:w="1774"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1467"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邮政编码</w:t>
            </w:r>
          </w:p>
        </w:tc>
        <w:tc>
          <w:tcPr>
            <w:tcW w:w="1830"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2130"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通信地址</w:t>
            </w:r>
          </w:p>
        </w:tc>
        <w:tc>
          <w:tcPr>
            <w:tcW w:w="5071" w:type="dxa"/>
            <w:gridSpan w:val="6"/>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2130" w:type="dxa"/>
            <w:vMerge w:val="restart"/>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参与单位联系人</w:t>
            </w: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姓名</w:t>
            </w:r>
          </w:p>
        </w:tc>
        <w:tc>
          <w:tcPr>
            <w:tcW w:w="5071" w:type="dxa"/>
            <w:gridSpan w:val="6"/>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2130"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电话号码</w:t>
            </w:r>
          </w:p>
        </w:tc>
        <w:tc>
          <w:tcPr>
            <w:tcW w:w="1774"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1467"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手机号码</w:t>
            </w:r>
          </w:p>
        </w:tc>
        <w:tc>
          <w:tcPr>
            <w:tcW w:w="1830"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2130"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传真号码</w:t>
            </w:r>
          </w:p>
        </w:tc>
        <w:tc>
          <w:tcPr>
            <w:tcW w:w="5071" w:type="dxa"/>
            <w:gridSpan w:val="6"/>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2130"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电子邮箱</w:t>
            </w:r>
          </w:p>
        </w:tc>
        <w:tc>
          <w:tcPr>
            <w:tcW w:w="5071" w:type="dxa"/>
            <w:gridSpan w:val="6"/>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2130" w:type="dxa"/>
            <w:vMerge w:val="restart"/>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r>
              <w:rPr>
                <w:rFonts w:hint="eastAsia" w:ascii="仿宋_GB2312" w:hAnsi="仿宋_GB2312" w:eastAsia="仿宋_GB2312" w:cs="仿宋_GB2312"/>
                <w:b/>
                <w:bCs/>
                <w:color w:val="auto"/>
                <w:sz w:val="20"/>
              </w:rPr>
              <w:t>财务负责人</w:t>
            </w: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姓名</w:t>
            </w:r>
          </w:p>
        </w:tc>
        <w:tc>
          <w:tcPr>
            <w:tcW w:w="5071" w:type="dxa"/>
            <w:gridSpan w:val="6"/>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2130"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身份证号码</w:t>
            </w:r>
          </w:p>
        </w:tc>
        <w:tc>
          <w:tcPr>
            <w:tcW w:w="5071" w:type="dxa"/>
            <w:gridSpan w:val="6"/>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2130"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电话号码</w:t>
            </w:r>
          </w:p>
        </w:tc>
        <w:tc>
          <w:tcPr>
            <w:tcW w:w="1774"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1467"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手机号码</w:t>
            </w:r>
          </w:p>
        </w:tc>
        <w:tc>
          <w:tcPr>
            <w:tcW w:w="1830" w:type="dxa"/>
            <w:gridSpan w:val="2"/>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p>
        </w:tc>
        <w:tc>
          <w:tcPr>
            <w:tcW w:w="2130" w:type="dxa"/>
            <w:vMerge w:val="continue"/>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b/>
                <w:bCs/>
                <w:color w:val="auto"/>
                <w:sz w:val="20"/>
              </w:rPr>
            </w:pPr>
          </w:p>
        </w:tc>
        <w:tc>
          <w:tcPr>
            <w:tcW w:w="1341" w:type="dxa"/>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电子邮箱</w:t>
            </w:r>
          </w:p>
        </w:tc>
        <w:tc>
          <w:tcPr>
            <w:tcW w:w="5071" w:type="dxa"/>
            <w:gridSpan w:val="6"/>
            <w:vAlign w:val="center"/>
          </w:tcPr>
          <w:p>
            <w:pPr>
              <w:autoSpaceDE w:val="0"/>
              <w:autoSpaceDN w:val="0"/>
              <w:adjustRightInd w:val="0"/>
              <w:snapToGrid w:val="0"/>
              <w:spacing w:before="65" w:beforeLines="15" w:line="264" w:lineRule="auto"/>
              <w:jc w:val="center"/>
              <w:rPr>
                <w:rFonts w:hint="eastAsia" w:ascii="仿宋_GB2312" w:hAnsi="仿宋_GB2312" w:eastAsia="仿宋_GB2312" w:cs="仿宋_GB2312"/>
                <w:color w:val="auto"/>
                <w:sz w:val="20"/>
                <w:szCs w:val="20"/>
              </w:rPr>
            </w:pPr>
          </w:p>
        </w:tc>
      </w:tr>
    </w:tbl>
    <w:p>
      <w:pPr>
        <w:autoSpaceDE w:val="0"/>
        <w:autoSpaceDN w:val="0"/>
        <w:ind w:firstLine="376"/>
        <w:jc w:val="center"/>
        <w:rPr>
          <w:rFonts w:hint="eastAsia" w:ascii="方正小标宋简体" w:hAnsi="方正小标宋简体" w:eastAsia="方正小标宋简体" w:cs="方正小标宋简体"/>
          <w:color w:val="auto"/>
          <w:sz w:val="32"/>
          <w:szCs w:val="32"/>
        </w:rPr>
      </w:pPr>
      <w:r>
        <w:rPr>
          <w:rFonts w:ascii="宋体" w:hAnsi="宋体"/>
          <w:color w:val="auto"/>
          <w:sz w:val="20"/>
        </w:rPr>
        <w:br w:type="page"/>
      </w:r>
      <w:r>
        <w:rPr>
          <w:rFonts w:hint="eastAsia" w:ascii="方正小标宋简体" w:hAnsi="方正小标宋简体" w:eastAsia="方正小标宋简体" w:cs="方正小标宋简体"/>
          <w:color w:val="auto"/>
          <w:sz w:val="32"/>
          <w:szCs w:val="32"/>
        </w:rPr>
        <w:t>项目（课题）成员基本情况表</w:t>
      </w:r>
    </w:p>
    <w:p>
      <w:pPr>
        <w:autoSpaceDE w:val="0"/>
        <w:autoSpaceDN w:val="0"/>
        <w:spacing w:line="300" w:lineRule="auto"/>
        <w:rPr>
          <w:b w:val="0"/>
          <w:bCs w:val="0"/>
          <w:color w:val="auto"/>
          <w:sz w:val="20"/>
        </w:rPr>
      </w:pPr>
      <w:r>
        <w:rPr>
          <w:rFonts w:hint="eastAsia" w:ascii="黑体" w:hAnsi="黑体" w:eastAsia="黑体" w:cs="黑体"/>
          <w:b w:val="0"/>
          <w:bCs w:val="0"/>
          <w:color w:val="auto"/>
          <w:sz w:val="20"/>
        </w:rPr>
        <w:t>表B2</w:t>
      </w:r>
      <w:r>
        <w:rPr>
          <w:rFonts w:hint="eastAsia"/>
          <w:b w:val="0"/>
          <w:bCs w:val="0"/>
          <w:color w:val="auto"/>
          <w:sz w:val="20"/>
        </w:rPr>
        <w:t xml:space="preserve">    项目（课题）编号：</w:t>
      </w:r>
      <w:r>
        <w:rPr>
          <w:b w:val="0"/>
          <w:bCs w:val="0"/>
          <w:color w:val="auto"/>
          <w:sz w:val="20"/>
        </w:rPr>
        <w:tab/>
      </w:r>
      <w:r>
        <w:rPr>
          <w:rFonts w:eastAsia="楷体_GB2312"/>
          <w:b w:val="0"/>
          <w:bCs w:val="0"/>
          <w:color w:val="auto"/>
          <w:sz w:val="20"/>
        </w:rPr>
        <w:tab/>
      </w:r>
      <w:r>
        <w:rPr>
          <w:rFonts w:hint="eastAsia" w:eastAsia="楷体_GB2312"/>
          <w:b w:val="0"/>
          <w:bCs w:val="0"/>
          <w:color w:val="auto"/>
          <w:sz w:val="20"/>
        </w:rPr>
        <w:t xml:space="preserve">   　 　          </w:t>
      </w:r>
      <w:r>
        <w:rPr>
          <w:rFonts w:hint="eastAsia" w:ascii="宋体" w:hAnsi="宋体" w:eastAsia="楷体_GB2312" w:cs="宋体"/>
          <w:b w:val="0"/>
          <w:bCs w:val="0"/>
          <w:color w:val="auto"/>
          <w:sz w:val="20"/>
        </w:rPr>
        <w:t>项目</w:t>
      </w:r>
      <w:r>
        <w:rPr>
          <w:rFonts w:hint="eastAsia"/>
          <w:b w:val="0"/>
          <w:bCs w:val="0"/>
          <w:color w:val="auto"/>
          <w:sz w:val="20"/>
        </w:rPr>
        <w:t xml:space="preserve">（课题）名称： </w:t>
      </w:r>
    </w:p>
    <w:tbl>
      <w:tblPr>
        <w:tblStyle w:val="12"/>
        <w:tblW w:w="9144" w:type="dxa"/>
        <w:jc w:val="center"/>
        <w:tblLayout w:type="fixed"/>
        <w:tblCellMar>
          <w:top w:w="0" w:type="dxa"/>
          <w:left w:w="0" w:type="dxa"/>
          <w:bottom w:w="0" w:type="dxa"/>
          <w:right w:w="0" w:type="dxa"/>
        </w:tblCellMar>
      </w:tblPr>
      <w:tblGrid>
        <w:gridCol w:w="366"/>
        <w:gridCol w:w="563"/>
        <w:gridCol w:w="1565"/>
        <w:gridCol w:w="4189"/>
        <w:gridCol w:w="931"/>
        <w:gridCol w:w="980"/>
        <w:gridCol w:w="550"/>
      </w:tblGrid>
      <w:tr>
        <w:tblPrEx>
          <w:tblCellMar>
            <w:top w:w="0" w:type="dxa"/>
            <w:left w:w="0" w:type="dxa"/>
            <w:bottom w:w="0" w:type="dxa"/>
            <w:right w:w="0" w:type="dxa"/>
          </w:tblCellMar>
        </w:tblPrEx>
        <w:trPr>
          <w:cantSplit/>
          <w:trHeight w:val="1128" w:hRule="atLeast"/>
          <w:jc w:val="center"/>
        </w:trPr>
        <w:tc>
          <w:tcPr>
            <w:tcW w:w="9144" w:type="dxa"/>
            <w:gridSpan w:val="7"/>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utoSpaceDE w:val="0"/>
              <w:autoSpaceDN w:val="0"/>
              <w:adjustRightInd w:val="0"/>
              <w:snapToGrid w:val="0"/>
              <w:rPr>
                <w:rFonts w:ascii="楷体_GB2312" w:hAnsi="楷体_GB2312" w:eastAsia="楷体_GB2312"/>
                <w:color w:val="auto"/>
                <w:sz w:val="20"/>
              </w:rPr>
            </w:pPr>
            <w:r>
              <w:rPr>
                <w:rFonts w:hint="eastAsia" w:ascii="楷体_GB2312" w:hAnsi="楷体_GB2312" w:eastAsia="楷体_GB2312"/>
                <w:color w:val="auto"/>
                <w:sz w:val="20"/>
              </w:rPr>
              <w:t xml:space="preserve">填表说明：1.人员分类：负责人、骨干、其他人员； </w:t>
            </w:r>
          </w:p>
          <w:p>
            <w:pPr>
              <w:autoSpaceDE w:val="0"/>
              <w:autoSpaceDN w:val="0"/>
              <w:adjustRightInd w:val="0"/>
              <w:snapToGrid w:val="0"/>
              <w:rPr>
                <w:rFonts w:ascii="楷体_GB2312" w:hAnsi="楷体_GB2312" w:eastAsia="楷体_GB2312"/>
                <w:color w:val="auto"/>
                <w:sz w:val="20"/>
              </w:rPr>
            </w:pPr>
            <w:r>
              <w:rPr>
                <w:rFonts w:hint="eastAsia" w:ascii="楷体_GB2312" w:hAnsi="楷体_GB2312" w:eastAsia="楷体_GB2312"/>
                <w:color w:val="auto"/>
                <w:sz w:val="20"/>
              </w:rPr>
              <w:t xml:space="preserve">        </w:t>
            </w:r>
            <w:r>
              <w:rPr>
                <w:rFonts w:ascii="楷体_GB2312" w:hAnsi="楷体_GB2312" w:eastAsia="楷体_GB2312"/>
                <w:color w:val="auto"/>
                <w:sz w:val="20"/>
              </w:rPr>
              <w:t xml:space="preserve">  </w:t>
            </w:r>
            <w:r>
              <w:rPr>
                <w:rFonts w:hint="eastAsia" w:ascii="楷体_GB2312" w:hAnsi="楷体_GB2312" w:eastAsia="楷体_GB2312"/>
                <w:color w:val="auto"/>
                <w:sz w:val="20"/>
              </w:rPr>
              <w:t xml:space="preserve"> 2.职称分类：正高级、副高级、中级、初级、其他；</w:t>
            </w:r>
          </w:p>
          <w:p>
            <w:pPr>
              <w:autoSpaceDE w:val="0"/>
              <w:autoSpaceDN w:val="0"/>
              <w:adjustRightInd w:val="0"/>
              <w:snapToGrid w:val="0"/>
              <w:rPr>
                <w:rFonts w:eastAsia="楷体_GB2312"/>
                <w:color w:val="auto"/>
                <w:sz w:val="20"/>
              </w:rPr>
            </w:pPr>
            <w:r>
              <w:rPr>
                <w:rFonts w:hint="eastAsia" w:ascii="楷体_GB2312" w:hAnsi="楷体_GB2312" w:eastAsia="楷体_GB2312"/>
                <w:color w:val="auto"/>
                <w:sz w:val="20"/>
              </w:rPr>
              <w:t xml:space="preserve">         </w:t>
            </w:r>
            <w:r>
              <w:rPr>
                <w:rFonts w:ascii="楷体_GB2312" w:hAnsi="楷体_GB2312" w:eastAsia="楷体_GB2312"/>
                <w:color w:val="auto"/>
                <w:sz w:val="20"/>
              </w:rPr>
              <w:t xml:space="preserve"> </w:t>
            </w:r>
            <w:r>
              <w:rPr>
                <w:rFonts w:hint="eastAsia" w:ascii="楷体_GB2312" w:hAnsi="楷体_GB2312" w:eastAsia="楷体_GB2312"/>
                <w:color w:val="auto"/>
                <w:sz w:val="20"/>
              </w:rPr>
              <w:t xml:space="preserve"> 3.固定人员需填写人员明细。</w:t>
            </w:r>
          </w:p>
        </w:tc>
      </w:tr>
      <w:tr>
        <w:tblPrEx>
          <w:tblCellMar>
            <w:top w:w="0" w:type="dxa"/>
            <w:left w:w="0" w:type="dxa"/>
            <w:bottom w:w="0" w:type="dxa"/>
            <w:right w:w="0" w:type="dxa"/>
          </w:tblCellMar>
        </w:tblPrEx>
        <w:trPr>
          <w:cantSplit/>
          <w:trHeight w:val="1450" w:hRule="atLeast"/>
          <w:jc w:val="center"/>
        </w:trPr>
        <w:tc>
          <w:tcPr>
            <w:tcW w:w="366"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序号</w:t>
            </w:r>
          </w:p>
        </w:tc>
        <w:tc>
          <w:tcPr>
            <w:tcW w:w="56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姓名</w:t>
            </w:r>
          </w:p>
        </w:tc>
        <w:tc>
          <w:tcPr>
            <w:tcW w:w="15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身份证号码</w:t>
            </w:r>
          </w:p>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（士官证、护照）</w:t>
            </w:r>
          </w:p>
        </w:tc>
        <w:tc>
          <w:tcPr>
            <w:tcW w:w="418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工作单位</w:t>
            </w:r>
          </w:p>
          <w:p>
            <w:pPr>
              <w:adjustRightInd w:val="0"/>
              <w:snapToGrid w:val="0"/>
              <w:jc w:val="center"/>
              <w:rPr>
                <w:rFonts w:hint="eastAsia" w:ascii="仿宋_GB2312" w:hAnsi="仿宋_GB2312" w:eastAsia="仿宋_GB2312" w:cs="仿宋_GB2312"/>
                <w:color w:val="auto"/>
                <w:sz w:val="20"/>
                <w:szCs w:val="20"/>
              </w:rPr>
            </w:pPr>
          </w:p>
        </w:tc>
        <w:tc>
          <w:tcPr>
            <w:tcW w:w="93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技术职称</w:t>
            </w:r>
          </w:p>
          <w:p>
            <w:pPr>
              <w:adjustRightInd w:val="0"/>
              <w:snapToGrid w:val="0"/>
              <w:jc w:val="center"/>
              <w:rPr>
                <w:rFonts w:hint="eastAsia" w:ascii="仿宋_GB2312" w:hAnsi="仿宋_GB2312" w:eastAsia="仿宋_GB2312" w:cs="仿宋_GB2312"/>
                <w:color w:val="auto"/>
                <w:sz w:val="20"/>
                <w:szCs w:val="20"/>
              </w:rPr>
            </w:pPr>
          </w:p>
        </w:tc>
        <w:tc>
          <w:tcPr>
            <w:tcW w:w="9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投入本项目</w:t>
            </w:r>
            <w:r>
              <w:rPr>
                <w:rFonts w:hint="eastAsia" w:ascii="仿宋_GB2312" w:hAnsi="仿宋_GB2312" w:eastAsia="仿宋_GB2312" w:cs="仿宋_GB2312"/>
                <w:color w:val="auto"/>
                <w:sz w:val="20"/>
              </w:rPr>
              <w:t>（课题）</w:t>
            </w:r>
            <w:r>
              <w:rPr>
                <w:rFonts w:hint="eastAsia" w:ascii="仿宋_GB2312" w:hAnsi="仿宋_GB2312" w:eastAsia="仿宋_GB2312" w:cs="仿宋_GB2312"/>
                <w:color w:val="auto"/>
                <w:sz w:val="20"/>
                <w:szCs w:val="20"/>
              </w:rPr>
              <w:t>的全时工作时间</w:t>
            </w:r>
          </w:p>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（人月）</w:t>
            </w:r>
          </w:p>
        </w:tc>
        <w:tc>
          <w:tcPr>
            <w:tcW w:w="5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人员</w:t>
            </w:r>
          </w:p>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分类</w:t>
            </w:r>
          </w:p>
        </w:tc>
      </w:tr>
      <w:tr>
        <w:tblPrEx>
          <w:tblCellMar>
            <w:top w:w="0" w:type="dxa"/>
            <w:left w:w="0" w:type="dxa"/>
            <w:bottom w:w="0" w:type="dxa"/>
            <w:right w:w="0" w:type="dxa"/>
          </w:tblCellMar>
        </w:tblPrEx>
        <w:trPr>
          <w:cantSplit/>
          <w:trHeight w:val="397" w:hRule="atLeast"/>
          <w:jc w:val="center"/>
        </w:trPr>
        <w:tc>
          <w:tcPr>
            <w:tcW w:w="36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w:t>
            </w: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w:t>
            </w: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w:t>
            </w: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w:t>
            </w: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w:t>
            </w:r>
          </w:p>
        </w:tc>
      </w:tr>
      <w:tr>
        <w:tblPrEx>
          <w:tblCellMar>
            <w:top w:w="0" w:type="dxa"/>
            <w:left w:w="0" w:type="dxa"/>
            <w:bottom w:w="0" w:type="dxa"/>
            <w:right w:w="0" w:type="dxa"/>
          </w:tblCellMar>
        </w:tblPrEx>
        <w:trPr>
          <w:cantSplit/>
          <w:trHeight w:val="397" w:hRule="atLeast"/>
          <w:jc w:val="center"/>
        </w:trPr>
        <w:tc>
          <w:tcPr>
            <w:tcW w:w="36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cantSplit/>
          <w:trHeight w:val="397" w:hRule="atLeast"/>
          <w:jc w:val="center"/>
        </w:trPr>
        <w:tc>
          <w:tcPr>
            <w:tcW w:w="36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cantSplit/>
          <w:trHeight w:val="397" w:hRule="atLeast"/>
          <w:jc w:val="center"/>
        </w:trPr>
        <w:tc>
          <w:tcPr>
            <w:tcW w:w="36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cantSplit/>
          <w:trHeight w:val="397" w:hRule="atLeast"/>
          <w:jc w:val="center"/>
        </w:trPr>
        <w:tc>
          <w:tcPr>
            <w:tcW w:w="36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cantSplit/>
          <w:trHeight w:val="397" w:hRule="atLeast"/>
          <w:jc w:val="center"/>
        </w:trPr>
        <w:tc>
          <w:tcPr>
            <w:tcW w:w="36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cantSplit/>
          <w:trHeight w:val="397" w:hRule="atLeast"/>
          <w:jc w:val="center"/>
        </w:trPr>
        <w:tc>
          <w:tcPr>
            <w:tcW w:w="36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cantSplit/>
          <w:trHeight w:val="397" w:hRule="atLeast"/>
          <w:jc w:val="center"/>
        </w:trPr>
        <w:tc>
          <w:tcPr>
            <w:tcW w:w="36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cantSplit/>
          <w:trHeight w:val="397" w:hRule="atLeast"/>
          <w:jc w:val="center"/>
        </w:trPr>
        <w:tc>
          <w:tcPr>
            <w:tcW w:w="36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cantSplit/>
          <w:trHeight w:val="397" w:hRule="atLeast"/>
          <w:jc w:val="center"/>
        </w:trPr>
        <w:tc>
          <w:tcPr>
            <w:tcW w:w="36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cantSplit/>
          <w:trHeight w:val="397" w:hRule="atLeast"/>
          <w:jc w:val="center"/>
        </w:trPr>
        <w:tc>
          <w:tcPr>
            <w:tcW w:w="36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cantSplit/>
          <w:trHeight w:val="397" w:hRule="atLeast"/>
          <w:jc w:val="center"/>
        </w:trPr>
        <w:tc>
          <w:tcPr>
            <w:tcW w:w="36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cantSplit/>
          <w:trHeight w:val="397" w:hRule="atLeast"/>
          <w:jc w:val="center"/>
        </w:trPr>
        <w:tc>
          <w:tcPr>
            <w:tcW w:w="36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cantSplit/>
          <w:trHeight w:val="397" w:hRule="atLeast"/>
          <w:jc w:val="center"/>
        </w:trPr>
        <w:tc>
          <w:tcPr>
            <w:tcW w:w="36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color w:val="auto"/>
                <w:sz w:val="20"/>
                <w:szCs w:val="20"/>
              </w:rPr>
            </w:pPr>
          </w:p>
        </w:tc>
        <w:tc>
          <w:tcPr>
            <w:tcW w:w="5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1565"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4189"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cantSplit/>
          <w:trHeight w:val="397" w:hRule="atLeast"/>
          <w:jc w:val="center"/>
        </w:trPr>
        <w:tc>
          <w:tcPr>
            <w:tcW w:w="668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固定人员合计</w:t>
            </w: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r>
      <w:tr>
        <w:tblPrEx>
          <w:tblCellMar>
            <w:top w:w="0" w:type="dxa"/>
            <w:left w:w="0" w:type="dxa"/>
            <w:bottom w:w="0" w:type="dxa"/>
            <w:right w:w="0" w:type="dxa"/>
          </w:tblCellMar>
        </w:tblPrEx>
        <w:trPr>
          <w:cantSplit/>
          <w:trHeight w:val="397" w:hRule="atLeast"/>
          <w:jc w:val="center"/>
        </w:trPr>
        <w:tc>
          <w:tcPr>
            <w:tcW w:w="668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流动人员或临时聘用人员合计</w:t>
            </w: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r>
      <w:tr>
        <w:tblPrEx>
          <w:tblCellMar>
            <w:top w:w="0" w:type="dxa"/>
            <w:left w:w="0" w:type="dxa"/>
            <w:bottom w:w="0" w:type="dxa"/>
            <w:right w:w="0" w:type="dxa"/>
          </w:tblCellMar>
        </w:tblPrEx>
        <w:trPr>
          <w:cantSplit/>
          <w:trHeight w:val="397" w:hRule="atLeast"/>
          <w:jc w:val="center"/>
        </w:trPr>
        <w:tc>
          <w:tcPr>
            <w:tcW w:w="6683" w:type="dxa"/>
            <w:gridSpan w:val="4"/>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rPr>
            </w:pPr>
            <w:r>
              <w:rPr>
                <w:rFonts w:hint="eastAsia" w:ascii="仿宋_GB2312" w:hAnsi="仿宋_GB2312" w:eastAsia="仿宋_GB2312" w:cs="仿宋_GB2312"/>
                <w:color w:val="auto"/>
                <w:sz w:val="20"/>
              </w:rPr>
              <w:t>累计</w:t>
            </w:r>
          </w:p>
        </w:tc>
        <w:tc>
          <w:tcPr>
            <w:tcW w:w="931"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98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p>
        </w:tc>
        <w:tc>
          <w:tcPr>
            <w:tcW w:w="550" w:type="dxa"/>
            <w:tcBorders>
              <w:top w:val="nil"/>
              <w:left w:val="nil"/>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r>
    </w:tbl>
    <w:p>
      <w:pPr>
        <w:numPr>
          <w:ilvl w:val="2"/>
          <w:numId w:val="0"/>
        </w:numPr>
        <w:rPr>
          <w:color w:val="auto"/>
        </w:rPr>
      </w:pPr>
    </w:p>
    <w:p>
      <w:pPr>
        <w:rPr>
          <w:color w:val="auto"/>
        </w:rPr>
      </w:pPr>
    </w:p>
    <w:p>
      <w:pPr>
        <w:adjustRightInd w:val="0"/>
        <w:snapToGrid w:val="0"/>
        <w:spacing w:line="590" w:lineRule="exact"/>
        <w:rPr>
          <w:rFonts w:ascii="黑体" w:hAnsi="黑体" w:eastAsia="黑体" w:cs="黑体"/>
          <w:bCs/>
          <w:color w:val="auto"/>
          <w:kern w:val="0"/>
          <w:sz w:val="32"/>
          <w:szCs w:val="32"/>
        </w:rPr>
      </w:pPr>
    </w:p>
    <w:p>
      <w:pPr>
        <w:adjustRightInd w:val="0"/>
        <w:snapToGrid w:val="0"/>
        <w:spacing w:line="590" w:lineRule="exact"/>
        <w:ind w:firstLine="640" w:firstLineChars="200"/>
        <w:rPr>
          <w:rFonts w:ascii="黑体" w:hAnsi="黑体" w:eastAsia="黑体" w:cs="黑体"/>
          <w:bCs/>
          <w:color w:val="auto"/>
          <w:kern w:val="0"/>
          <w:sz w:val="32"/>
          <w:szCs w:val="32"/>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黑体" w:hAnsi="黑体" w:eastAsia="黑体" w:cs="黑体"/>
          <w:bCs/>
          <w:snapToGrid w:val="0"/>
          <w:color w:val="auto"/>
          <w:kern w:val="0"/>
          <w:sz w:val="32"/>
          <w:szCs w:val="32"/>
        </w:rPr>
      </w:pPr>
      <w:r>
        <w:rPr>
          <w:rFonts w:hint="eastAsia" w:ascii="黑体" w:hAnsi="黑体" w:eastAsia="黑体" w:cs="黑体"/>
          <w:bCs/>
          <w:snapToGrid w:val="0"/>
          <w:color w:val="auto"/>
          <w:kern w:val="0"/>
          <w:sz w:val="32"/>
          <w:szCs w:val="32"/>
        </w:rPr>
        <w:t>二、项目（课题）的立项必要性分析</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简要介绍研究/推广示范的背景意义、国内外相关的情况；预期解决的重大问题；概述项目（课题）与广东省农业领域相关规划级战略、学科发展的相关性；所面向的广东省经济社会发展需求；预期解决的重大或关键科学问题）</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（技术推广示范类项目介绍技术特点，如已经推广示范，需要介绍推广示范情况）</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黑体" w:hAnsi="黑体" w:eastAsia="黑体" w:cs="黑体"/>
          <w:bCs/>
          <w:snapToGrid w:val="0"/>
          <w:color w:val="auto"/>
          <w:kern w:val="0"/>
          <w:sz w:val="32"/>
          <w:szCs w:val="32"/>
        </w:rPr>
      </w:pPr>
      <w:r>
        <w:rPr>
          <w:rFonts w:hint="eastAsia" w:ascii="黑体" w:hAnsi="黑体" w:eastAsia="黑体" w:cs="黑体"/>
          <w:bCs/>
          <w:snapToGrid w:val="0"/>
          <w:color w:val="auto"/>
          <w:kern w:val="0"/>
          <w:sz w:val="32"/>
          <w:szCs w:val="32"/>
        </w:rPr>
        <w:t>三、项目（课题）内容</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w:t>
      </w:r>
      <w:r>
        <w:rPr>
          <w:rFonts w:hint="eastAsia" w:ascii="仿宋_GB2312" w:hAnsi="仿宋_GB2312" w:eastAsia="仿宋_GB2312" w:cs="仿宋_GB2312"/>
          <w:i w:val="0"/>
          <w:iCs w:val="0"/>
          <w:snapToGrid w:val="0"/>
          <w:color w:val="auto"/>
          <w:kern w:val="0"/>
          <w:sz w:val="32"/>
          <w:szCs w:val="32"/>
          <w:lang w:eastAsia="zh-Hans"/>
        </w:rPr>
        <w:t>分别按项目（课题）牵头承担单位和项目（课题）参与单位</w:t>
      </w:r>
      <w:r>
        <w:rPr>
          <w:rFonts w:hint="eastAsia" w:ascii="仿宋_GB2312" w:hAnsi="仿宋_GB2312" w:eastAsia="仿宋_GB2312" w:cs="仿宋_GB2312"/>
          <w:i w:val="0"/>
          <w:iCs w:val="0"/>
          <w:snapToGrid w:val="0"/>
          <w:color w:val="auto"/>
          <w:kern w:val="0"/>
          <w:sz w:val="32"/>
          <w:szCs w:val="32"/>
        </w:rPr>
        <w:t>详述项目（课题）计划开展的研究开发内容或推广内容，其中推广示范项目应对其核心技术及其配套技术进行重点描述，明确技术要点。）</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楷体_GB2312" w:hAnsi="楷体_GB2312" w:eastAsia="楷体_GB2312" w:cs="楷体_GB2312"/>
          <w:i w:val="0"/>
          <w:iCs w:val="0"/>
          <w:snapToGrid w:val="0"/>
          <w:color w:val="auto"/>
          <w:kern w:val="0"/>
          <w:sz w:val="32"/>
          <w:szCs w:val="32"/>
          <w:lang w:eastAsia="zh-Hans"/>
        </w:rPr>
      </w:pPr>
      <w:r>
        <w:rPr>
          <w:rFonts w:hint="eastAsia" w:ascii="楷体_GB2312" w:hAnsi="楷体_GB2312" w:eastAsia="楷体_GB2312" w:cs="楷体_GB2312"/>
          <w:i w:val="0"/>
          <w:iCs w:val="0"/>
          <w:snapToGrid w:val="0"/>
          <w:color w:val="auto"/>
          <w:kern w:val="0"/>
          <w:sz w:val="32"/>
          <w:szCs w:val="32"/>
          <w:lang w:eastAsia="zh-Hans"/>
        </w:rPr>
        <w:t>（一）关联关系说明</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（应如实主动说明项目（课题）承担单位之间有无关联关系，或项目（课题）负责人与参与单位之间有无关联关系。格式自拟。）</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楷体_GB2312" w:hAnsi="楷体_GB2312" w:eastAsia="楷体_GB2312" w:cs="楷体_GB2312"/>
          <w:i w:val="0"/>
          <w:iCs w:val="0"/>
          <w:snapToGrid w:val="0"/>
          <w:color w:val="auto"/>
          <w:kern w:val="0"/>
          <w:sz w:val="32"/>
          <w:szCs w:val="32"/>
          <w:lang w:eastAsia="zh-Hans"/>
        </w:rPr>
      </w:pPr>
      <w:r>
        <w:rPr>
          <w:rFonts w:hint="eastAsia" w:ascii="楷体_GB2312" w:hAnsi="楷体_GB2312" w:eastAsia="楷体_GB2312" w:cs="楷体_GB2312"/>
          <w:i w:val="0"/>
          <w:iCs w:val="0"/>
          <w:snapToGrid w:val="0"/>
          <w:color w:val="auto"/>
          <w:kern w:val="0"/>
          <w:sz w:val="32"/>
          <w:szCs w:val="32"/>
          <w:lang w:eastAsia="zh-Hans"/>
        </w:rPr>
        <w:t>（二）项目（课题）牵头承担单位</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.单位名称：</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项目（课题）负责人：</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2.研究开发内容（或推广内容）：</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楷体_GB2312" w:hAnsi="楷体_GB2312" w:eastAsia="楷体_GB2312" w:cs="楷体_GB2312"/>
          <w:i w:val="0"/>
          <w:iCs w:val="0"/>
          <w:snapToGrid w:val="0"/>
          <w:color w:val="auto"/>
          <w:kern w:val="0"/>
          <w:sz w:val="32"/>
          <w:szCs w:val="32"/>
          <w:lang w:eastAsia="zh-Hans"/>
        </w:rPr>
      </w:pPr>
      <w:r>
        <w:rPr>
          <w:rFonts w:hint="eastAsia" w:ascii="楷体_GB2312" w:hAnsi="楷体_GB2312" w:eastAsia="楷体_GB2312" w:cs="楷体_GB2312"/>
          <w:i w:val="0"/>
          <w:iCs w:val="0"/>
          <w:snapToGrid w:val="0"/>
          <w:color w:val="auto"/>
          <w:kern w:val="0"/>
          <w:sz w:val="32"/>
          <w:szCs w:val="32"/>
          <w:lang w:eastAsia="zh-Hans"/>
        </w:rPr>
        <w:t>（三）项目（课题）参与单位</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1.单位名称：</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2.研究开发内容（或推广内容）：</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黑体" w:hAnsi="黑体" w:eastAsia="黑体" w:cs="黑体"/>
          <w:bCs/>
          <w:snapToGrid w:val="0"/>
          <w:color w:val="auto"/>
          <w:kern w:val="0"/>
          <w:sz w:val="32"/>
          <w:szCs w:val="32"/>
        </w:rPr>
      </w:pPr>
      <w:r>
        <w:rPr>
          <w:rFonts w:hint="eastAsia" w:ascii="黑体" w:hAnsi="黑体" w:eastAsia="黑体" w:cs="黑体"/>
          <w:bCs/>
          <w:snapToGrid w:val="0"/>
          <w:color w:val="auto"/>
          <w:kern w:val="0"/>
          <w:sz w:val="32"/>
          <w:szCs w:val="32"/>
        </w:rPr>
        <w:t>四、项目（课题）立项的目标（绩效目标）</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（简要介绍项目（课题）的预计实现的整体目标，并对目标进行必要的分解，明确具体的目标和目标的考核指标，并提出明确的考核指标值；对预计产生的绩效效益逐项进行说明）</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（一）总体目标</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（二）总体考核指标</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（三）各任务目标及考核指标</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（技术推广示范项目详述推广示范的范围、受益对象和受益程度，重点对推广示范过程中节约成本、提升品质、增加效益、保护耕地与生态环境进行阐述）</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黑体" w:hAnsi="黑体" w:eastAsia="黑体" w:cs="黑体"/>
          <w:bCs/>
          <w:snapToGrid w:val="0"/>
          <w:color w:val="auto"/>
          <w:kern w:val="0"/>
          <w:sz w:val="32"/>
          <w:szCs w:val="32"/>
        </w:rPr>
      </w:pPr>
      <w:r>
        <w:rPr>
          <w:rFonts w:hint="eastAsia" w:ascii="黑体" w:hAnsi="黑体" w:eastAsia="黑体" w:cs="黑体"/>
          <w:bCs/>
          <w:snapToGrid w:val="0"/>
          <w:color w:val="auto"/>
          <w:kern w:val="0"/>
          <w:sz w:val="32"/>
          <w:szCs w:val="32"/>
        </w:rPr>
        <w:t>五、项目（课题）技术方案</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（简要介绍项目（课题）的技术方案，并按照任务的分解方式，对每个任务的技术路线进行说明）</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楷体_GB2312" w:hAnsi="楷体_GB2312" w:eastAsia="楷体_GB2312" w:cs="楷体_GB2312"/>
          <w:i w:val="0"/>
          <w:iCs w:val="0"/>
          <w:snapToGrid w:val="0"/>
          <w:color w:val="auto"/>
          <w:kern w:val="0"/>
          <w:sz w:val="32"/>
          <w:szCs w:val="32"/>
          <w:lang w:eastAsia="zh-Hans"/>
        </w:rPr>
      </w:pPr>
      <w:r>
        <w:rPr>
          <w:rFonts w:hint="eastAsia" w:ascii="楷体_GB2312" w:hAnsi="楷体_GB2312" w:eastAsia="楷体_GB2312" w:cs="楷体_GB2312"/>
          <w:i w:val="0"/>
          <w:iCs w:val="0"/>
          <w:snapToGrid w:val="0"/>
          <w:color w:val="auto"/>
          <w:kern w:val="0"/>
          <w:sz w:val="32"/>
          <w:szCs w:val="32"/>
          <w:lang w:eastAsia="zh-Hans"/>
        </w:rPr>
        <w:t>（一）技术路线</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1.技术方案</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2.主要技术指标和参数分析</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3.可行性分析</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4.优点和积极效果分析</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5.所要解决的关键问题分析</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楷体_GB2312" w:hAnsi="楷体_GB2312" w:eastAsia="楷体_GB2312" w:cs="楷体_GB2312"/>
          <w:i w:val="0"/>
          <w:iCs w:val="0"/>
          <w:snapToGrid w:val="0"/>
          <w:color w:val="auto"/>
          <w:kern w:val="0"/>
          <w:sz w:val="32"/>
          <w:szCs w:val="32"/>
          <w:lang w:eastAsia="zh-Hans"/>
        </w:rPr>
      </w:pPr>
      <w:r>
        <w:rPr>
          <w:rFonts w:hint="eastAsia" w:ascii="楷体_GB2312" w:hAnsi="楷体_GB2312" w:eastAsia="楷体_GB2312" w:cs="楷体_GB2312"/>
          <w:i w:val="0"/>
          <w:iCs w:val="0"/>
          <w:snapToGrid w:val="0"/>
          <w:color w:val="auto"/>
          <w:kern w:val="0"/>
          <w:sz w:val="32"/>
          <w:szCs w:val="32"/>
          <w:lang w:eastAsia="zh-Hans"/>
        </w:rPr>
        <w:t>（二）主要创新点</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1.创新的主要性质</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（包含首创性、价值性、实效性、系统性等）</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2.创新的类型</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（包含原始创新、自主创新、合作创新等）</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3.创新的价值</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楷体_GB2312" w:hAnsi="楷体_GB2312" w:eastAsia="楷体_GB2312" w:cs="楷体_GB2312"/>
          <w:i w:val="0"/>
          <w:iCs w:val="0"/>
          <w:snapToGrid w:val="0"/>
          <w:color w:val="auto"/>
          <w:kern w:val="0"/>
          <w:sz w:val="32"/>
          <w:szCs w:val="32"/>
          <w:lang w:eastAsia="zh-Hans"/>
        </w:rPr>
      </w:pPr>
      <w:r>
        <w:rPr>
          <w:rFonts w:hint="eastAsia" w:ascii="楷体_GB2312" w:hAnsi="楷体_GB2312" w:eastAsia="楷体_GB2312" w:cs="楷体_GB2312"/>
          <w:i w:val="0"/>
          <w:iCs w:val="0"/>
          <w:snapToGrid w:val="0"/>
          <w:color w:val="auto"/>
          <w:kern w:val="0"/>
          <w:sz w:val="32"/>
          <w:szCs w:val="32"/>
          <w:lang w:eastAsia="zh-Hans"/>
        </w:rPr>
        <w:t>（三）知识产权和技术标准分析</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snapToGrid w:val="0"/>
          <w:color w:val="auto"/>
          <w:kern w:val="0"/>
          <w:sz w:val="32"/>
          <w:szCs w:val="32"/>
          <w:lang w:eastAsia="zh-Hans"/>
        </w:rPr>
      </w:pPr>
      <w:r>
        <w:rPr>
          <w:rFonts w:hint="eastAsia" w:ascii="仿宋_GB2312" w:hAnsi="仿宋_GB2312" w:eastAsia="仿宋_GB2312" w:cs="仿宋_GB2312"/>
          <w:snapToGrid w:val="0"/>
          <w:color w:val="auto"/>
          <w:kern w:val="0"/>
          <w:sz w:val="32"/>
          <w:szCs w:val="32"/>
        </w:rPr>
        <w:t>1</w:t>
      </w:r>
      <w:r>
        <w:rPr>
          <w:rFonts w:hint="eastAsia" w:ascii="仿宋_GB2312" w:hAnsi="仿宋_GB2312" w:eastAsia="仿宋_GB2312" w:cs="仿宋_GB2312"/>
          <w:snapToGrid w:val="0"/>
          <w:color w:val="auto"/>
          <w:kern w:val="0"/>
          <w:sz w:val="32"/>
          <w:szCs w:val="32"/>
          <w:lang w:eastAsia="zh-Hans"/>
        </w:rPr>
        <w:t>.知识产权分析</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snapToGrid w:val="0"/>
          <w:color w:val="auto"/>
          <w:kern w:val="0"/>
          <w:sz w:val="32"/>
          <w:szCs w:val="32"/>
          <w:lang w:eastAsia="zh-Hans"/>
        </w:rPr>
      </w:pPr>
      <w:r>
        <w:rPr>
          <w:rFonts w:hint="eastAsia" w:ascii="仿宋_GB2312" w:hAnsi="仿宋_GB2312" w:eastAsia="仿宋_GB2312" w:cs="仿宋_GB2312"/>
          <w:snapToGrid w:val="0"/>
          <w:color w:val="auto"/>
          <w:kern w:val="0"/>
          <w:sz w:val="32"/>
          <w:szCs w:val="32"/>
          <w:lang w:eastAsia="zh-Hans"/>
        </w:rPr>
        <w:t>（1）知识产权专利布局分析</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snapToGrid w:val="0"/>
          <w:color w:val="auto"/>
          <w:kern w:val="0"/>
          <w:sz w:val="32"/>
          <w:szCs w:val="32"/>
          <w:lang w:eastAsia="zh-Hans"/>
        </w:rPr>
      </w:pPr>
      <w:r>
        <w:rPr>
          <w:rFonts w:hint="eastAsia" w:ascii="仿宋_GB2312" w:hAnsi="仿宋_GB2312" w:eastAsia="仿宋_GB2312" w:cs="仿宋_GB2312"/>
          <w:snapToGrid w:val="0"/>
          <w:color w:val="auto"/>
          <w:kern w:val="0"/>
          <w:sz w:val="32"/>
          <w:szCs w:val="32"/>
          <w:lang w:eastAsia="zh-Hans"/>
        </w:rPr>
        <w:t>（2）现有知识产权侵权与创新性分析</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snapToGrid w:val="0"/>
          <w:color w:val="auto"/>
          <w:kern w:val="0"/>
          <w:sz w:val="32"/>
          <w:szCs w:val="32"/>
          <w:lang w:eastAsia="zh-Hans"/>
        </w:rPr>
      </w:pPr>
      <w:r>
        <w:rPr>
          <w:rFonts w:hint="eastAsia" w:ascii="仿宋_GB2312" w:hAnsi="仿宋_GB2312" w:eastAsia="仿宋_GB2312" w:cs="仿宋_GB2312"/>
          <w:snapToGrid w:val="0"/>
          <w:color w:val="auto"/>
          <w:kern w:val="0"/>
          <w:sz w:val="32"/>
          <w:szCs w:val="32"/>
        </w:rPr>
        <w:t>（3）</w:t>
      </w:r>
      <w:r>
        <w:rPr>
          <w:rFonts w:hint="eastAsia" w:ascii="仿宋_GB2312" w:hAnsi="仿宋_GB2312" w:eastAsia="仿宋_GB2312" w:cs="仿宋_GB2312"/>
          <w:snapToGrid w:val="0"/>
          <w:color w:val="auto"/>
          <w:kern w:val="0"/>
          <w:sz w:val="32"/>
          <w:szCs w:val="32"/>
          <w:lang w:eastAsia="zh-Hans"/>
        </w:rPr>
        <w:t>项目（课题）实施许可分析</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lang w:eastAsia="zh-Hans"/>
        </w:rPr>
        <w:t>（主要分析项目（课题）形成的知识产权价值和实施许可可能性和方式等。）</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snapToGrid w:val="0"/>
          <w:color w:val="auto"/>
          <w:kern w:val="0"/>
          <w:sz w:val="32"/>
          <w:szCs w:val="32"/>
        </w:rPr>
        <w:t>2</w:t>
      </w:r>
      <w:r>
        <w:rPr>
          <w:rFonts w:hint="eastAsia" w:ascii="仿宋_GB2312" w:hAnsi="仿宋_GB2312" w:eastAsia="仿宋_GB2312" w:cs="仿宋_GB2312"/>
          <w:snapToGrid w:val="0"/>
          <w:color w:val="auto"/>
          <w:kern w:val="0"/>
          <w:sz w:val="32"/>
          <w:szCs w:val="32"/>
          <w:lang w:eastAsia="zh-Hans"/>
        </w:rPr>
        <w:t>.技术标准分析</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（从知识产权与技术标准的推动关系分析，制定技术标准）。</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楷体_GB2312" w:hAnsi="楷体_GB2312" w:eastAsia="楷体_GB2312" w:cs="楷体_GB2312"/>
          <w:i w:val="0"/>
          <w:iCs w:val="0"/>
          <w:snapToGrid w:val="0"/>
          <w:color w:val="auto"/>
          <w:kern w:val="0"/>
          <w:sz w:val="32"/>
          <w:szCs w:val="32"/>
          <w:lang w:eastAsia="zh-Hans"/>
        </w:rPr>
      </w:pPr>
      <w:r>
        <w:rPr>
          <w:rFonts w:hint="eastAsia" w:ascii="楷体_GB2312" w:hAnsi="楷体_GB2312" w:eastAsia="楷体_GB2312" w:cs="楷体_GB2312"/>
          <w:i w:val="0"/>
          <w:iCs w:val="0"/>
          <w:snapToGrid w:val="0"/>
          <w:color w:val="auto"/>
          <w:kern w:val="0"/>
          <w:sz w:val="32"/>
          <w:szCs w:val="32"/>
          <w:lang w:eastAsia="zh-CN"/>
        </w:rPr>
        <w:t>（</w:t>
      </w:r>
      <w:r>
        <w:rPr>
          <w:rFonts w:hint="eastAsia" w:ascii="楷体_GB2312" w:hAnsi="楷体_GB2312" w:eastAsia="楷体_GB2312" w:cs="楷体_GB2312"/>
          <w:i w:val="0"/>
          <w:iCs w:val="0"/>
          <w:snapToGrid w:val="0"/>
          <w:color w:val="auto"/>
          <w:kern w:val="0"/>
          <w:sz w:val="32"/>
          <w:szCs w:val="32"/>
          <w:lang w:val="en-US" w:eastAsia="zh-CN"/>
        </w:rPr>
        <w:t>四</w:t>
      </w:r>
      <w:r>
        <w:rPr>
          <w:rFonts w:hint="eastAsia" w:ascii="楷体_GB2312" w:hAnsi="楷体_GB2312" w:eastAsia="楷体_GB2312" w:cs="楷体_GB2312"/>
          <w:i w:val="0"/>
          <w:iCs w:val="0"/>
          <w:snapToGrid w:val="0"/>
          <w:color w:val="auto"/>
          <w:kern w:val="0"/>
          <w:sz w:val="32"/>
          <w:szCs w:val="32"/>
          <w:lang w:eastAsia="zh-CN"/>
        </w:rPr>
        <w:t>）</w:t>
      </w:r>
      <w:r>
        <w:rPr>
          <w:rFonts w:hint="eastAsia" w:ascii="楷体_GB2312" w:hAnsi="楷体_GB2312" w:eastAsia="楷体_GB2312" w:cs="楷体_GB2312"/>
          <w:i w:val="0"/>
          <w:iCs w:val="0"/>
          <w:snapToGrid w:val="0"/>
          <w:color w:val="auto"/>
          <w:kern w:val="0"/>
          <w:sz w:val="32"/>
          <w:szCs w:val="32"/>
          <w:lang w:eastAsia="zh-Hans"/>
        </w:rPr>
        <w:t>预期的技术成果应用和价值</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技术成果的形式</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技术成果的预期价值（成果转移转化）</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技术应用前景及潜在交易市场</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黑体" w:hAnsi="黑体" w:eastAsia="黑体" w:cs="黑体"/>
          <w:bCs/>
          <w:snapToGrid w:val="0"/>
          <w:color w:val="auto"/>
          <w:kern w:val="0"/>
          <w:sz w:val="32"/>
          <w:szCs w:val="32"/>
        </w:rPr>
      </w:pPr>
      <w:r>
        <w:rPr>
          <w:rFonts w:hint="eastAsia" w:ascii="黑体" w:hAnsi="黑体" w:eastAsia="黑体" w:cs="黑体"/>
          <w:bCs/>
          <w:snapToGrid w:val="0"/>
          <w:color w:val="auto"/>
          <w:kern w:val="0"/>
          <w:sz w:val="32"/>
          <w:szCs w:val="32"/>
        </w:rPr>
        <w:t>六、基础条件和优势</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楷体_GB2312" w:hAnsi="楷体_GB2312" w:eastAsia="楷体_GB2312" w:cs="楷体_GB2312"/>
          <w:i w:val="0"/>
          <w:iCs w:val="0"/>
          <w:snapToGrid w:val="0"/>
          <w:color w:val="auto"/>
          <w:kern w:val="0"/>
          <w:sz w:val="32"/>
          <w:szCs w:val="32"/>
        </w:rPr>
      </w:pPr>
      <w:r>
        <w:rPr>
          <w:rFonts w:hint="eastAsia" w:ascii="楷体_GB2312" w:hAnsi="楷体_GB2312" w:eastAsia="楷体_GB2312" w:cs="楷体_GB2312"/>
          <w:i w:val="0"/>
          <w:iCs w:val="0"/>
          <w:snapToGrid w:val="0"/>
          <w:color w:val="auto"/>
          <w:kern w:val="0"/>
          <w:sz w:val="32"/>
          <w:szCs w:val="32"/>
        </w:rPr>
        <w:t>（一）承担单位团队基本情况</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（与课题相关的实力和基础、以往业绩等）</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楷体_GB2312" w:hAnsi="楷体_GB2312" w:eastAsia="楷体_GB2312" w:cs="楷体_GB2312"/>
          <w:i w:val="0"/>
          <w:iCs w:val="0"/>
          <w:snapToGrid w:val="0"/>
          <w:color w:val="auto"/>
          <w:kern w:val="0"/>
          <w:sz w:val="32"/>
          <w:szCs w:val="32"/>
        </w:rPr>
      </w:pPr>
      <w:r>
        <w:rPr>
          <w:rFonts w:hint="eastAsia" w:ascii="楷体_GB2312" w:hAnsi="楷体_GB2312" w:eastAsia="楷体_GB2312" w:cs="楷体_GB2312"/>
          <w:i w:val="0"/>
          <w:iCs w:val="0"/>
          <w:snapToGrid w:val="0"/>
          <w:color w:val="auto"/>
          <w:kern w:val="0"/>
          <w:sz w:val="32"/>
          <w:szCs w:val="32"/>
        </w:rPr>
        <w:t>（二）承担单位与同类机构的比较分析</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（完成预期目标的技术、人才、机制、设施设备优势等）</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楷体_GB2312" w:hAnsi="楷体_GB2312" w:eastAsia="楷体_GB2312" w:cs="楷体_GB2312"/>
          <w:i w:val="0"/>
          <w:iCs w:val="0"/>
          <w:snapToGrid w:val="0"/>
          <w:color w:val="auto"/>
          <w:kern w:val="0"/>
          <w:sz w:val="32"/>
          <w:szCs w:val="32"/>
        </w:rPr>
      </w:pPr>
      <w:r>
        <w:rPr>
          <w:rFonts w:hint="eastAsia" w:ascii="楷体_GB2312" w:hAnsi="楷体_GB2312" w:eastAsia="楷体_GB2312" w:cs="楷体_GB2312"/>
          <w:i w:val="0"/>
          <w:iCs w:val="0"/>
          <w:snapToGrid w:val="0"/>
          <w:color w:val="auto"/>
          <w:kern w:val="0"/>
          <w:sz w:val="32"/>
          <w:szCs w:val="32"/>
        </w:rPr>
        <w:t>（三）负责人及主要骨干人员的情况</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（从事过的主要相关研究及所负责任和作用；相关研究和产业化成果、发明专利和获奖情况，在国内外主要刊物上发表的于本项目（课题）相关的研究成果情况）</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黑体" w:hAnsi="黑体" w:eastAsia="黑体" w:cs="黑体"/>
          <w:bCs/>
          <w:snapToGrid w:val="0"/>
          <w:color w:val="auto"/>
          <w:kern w:val="0"/>
          <w:sz w:val="32"/>
          <w:szCs w:val="32"/>
        </w:rPr>
      </w:pPr>
      <w:r>
        <w:rPr>
          <w:rFonts w:hint="eastAsia" w:ascii="黑体" w:hAnsi="黑体" w:eastAsia="黑体" w:cs="黑体"/>
          <w:bCs/>
          <w:snapToGrid w:val="0"/>
          <w:color w:val="auto"/>
          <w:kern w:val="0"/>
          <w:sz w:val="32"/>
          <w:szCs w:val="32"/>
          <w:lang w:val="en-US" w:eastAsia="zh-CN"/>
        </w:rPr>
        <w:t>七</w:t>
      </w:r>
      <w:r>
        <w:rPr>
          <w:rFonts w:hint="eastAsia" w:ascii="黑体" w:hAnsi="黑体" w:eastAsia="黑体" w:cs="黑体"/>
          <w:bCs/>
          <w:snapToGrid w:val="0"/>
          <w:color w:val="auto"/>
          <w:kern w:val="0"/>
          <w:sz w:val="32"/>
          <w:szCs w:val="32"/>
        </w:rPr>
        <w:t>、组织方式和管理机制</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（组织方式和机制、产学研结合、创新人才队伍的凝聚和培养等）</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黑体" w:hAnsi="黑体" w:eastAsia="黑体" w:cs="黑体"/>
          <w:bCs/>
          <w:snapToGrid w:val="0"/>
          <w:color w:val="auto"/>
          <w:kern w:val="0"/>
          <w:sz w:val="32"/>
          <w:szCs w:val="32"/>
          <w:lang w:val="en-US" w:eastAsia="zh-CN"/>
        </w:rPr>
      </w:pPr>
      <w:r>
        <w:rPr>
          <w:rFonts w:hint="eastAsia" w:ascii="黑体" w:hAnsi="黑体" w:eastAsia="黑体" w:cs="黑体"/>
          <w:bCs/>
          <w:snapToGrid w:val="0"/>
          <w:color w:val="auto"/>
          <w:kern w:val="0"/>
          <w:sz w:val="32"/>
          <w:szCs w:val="32"/>
          <w:lang w:val="en-US" w:eastAsia="zh-CN"/>
        </w:rPr>
        <w:t>八、项目（课题）进度安排</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（对项目（课题）的整体进度进行明确，对项目（课题）的进度进行必要的细化，明确每个阶段需完成的任务及目标）</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黑体" w:hAnsi="黑体" w:eastAsia="黑体" w:cs="黑体"/>
          <w:bCs/>
          <w:snapToGrid w:val="0"/>
          <w:color w:val="auto"/>
          <w:kern w:val="0"/>
          <w:sz w:val="32"/>
          <w:szCs w:val="32"/>
          <w:lang w:val="en-US" w:eastAsia="zh-CN"/>
        </w:rPr>
      </w:pPr>
      <w:r>
        <w:rPr>
          <w:rFonts w:hint="eastAsia" w:ascii="黑体" w:hAnsi="黑体" w:eastAsia="黑体" w:cs="黑体"/>
          <w:bCs/>
          <w:snapToGrid w:val="0"/>
          <w:color w:val="auto"/>
          <w:kern w:val="0"/>
          <w:sz w:val="32"/>
          <w:szCs w:val="32"/>
          <w:lang w:val="en-US" w:eastAsia="zh-CN"/>
        </w:rPr>
        <w:t>九、</w:t>
      </w:r>
      <w:r>
        <w:rPr>
          <w:rFonts w:hint="eastAsia" w:ascii="黑体" w:hAnsi="黑体" w:eastAsia="黑体" w:cs="黑体"/>
          <w:bCs/>
          <w:snapToGrid w:val="0"/>
          <w:color w:val="auto"/>
          <w:kern w:val="0"/>
          <w:sz w:val="32"/>
          <w:szCs w:val="32"/>
          <w:lang w:val="en-US" w:eastAsia="zh-Hans"/>
        </w:rPr>
        <w:t>项目（课题）</w:t>
      </w:r>
      <w:r>
        <w:rPr>
          <w:rFonts w:hint="eastAsia" w:ascii="黑体" w:hAnsi="黑体" w:eastAsia="黑体" w:cs="黑体"/>
          <w:bCs/>
          <w:snapToGrid w:val="0"/>
          <w:color w:val="auto"/>
          <w:kern w:val="0"/>
          <w:sz w:val="32"/>
          <w:szCs w:val="32"/>
          <w:lang w:val="en-US" w:eastAsia="zh-CN"/>
        </w:rPr>
        <w:t>预算</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表B3：项目（课题）预算汇总表；</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表B4-19：支出科目预算明细表；</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表B20：项目（课题）承担单位资金分配预算明细表</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（项目（课题）研究中如包含推广示范工作内容，推广示范工作预算需单独披露。项目（课题）整体为推广示范任务，则全部记入推广示范资金）</w:t>
      </w: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snapToGrid w:val="0"/>
          <w:color w:val="auto"/>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68" w:lineRule="exact"/>
        <w:ind w:firstLine="640" w:firstLineChars="200"/>
        <w:jc w:val="both"/>
        <w:textAlignment w:val="auto"/>
        <w:rPr>
          <w:rFonts w:hint="eastAsia" w:ascii="仿宋_GB2312" w:hAnsi="仿宋_GB2312" w:eastAsia="仿宋_GB2312" w:cs="仿宋_GB2312"/>
          <w:snapToGrid w:val="0"/>
          <w:color w:val="auto"/>
          <w:kern w:val="0"/>
          <w:sz w:val="32"/>
          <w:szCs w:val="32"/>
        </w:rPr>
      </w:pPr>
    </w:p>
    <w:p>
      <w:pPr>
        <w:autoSpaceDE w:val="0"/>
        <w:autoSpaceDN w:val="0"/>
        <w:spacing w:line="360" w:lineRule="auto"/>
        <w:jc w:val="center"/>
        <w:rPr>
          <w:rFonts w:eastAsia="黑体"/>
          <w:color w:val="auto"/>
          <w:sz w:val="28"/>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r>
        <w:rPr>
          <w:rFonts w:eastAsia="黑体"/>
          <w:color w:val="auto"/>
          <w:sz w:val="28"/>
        </w:rPr>
        <w:br w:type="page"/>
      </w:r>
    </w:p>
    <w:p>
      <w:pPr>
        <w:autoSpaceDE w:val="0"/>
        <w:autoSpaceDN w:val="0"/>
        <w:spacing w:line="360" w:lineRule="auto"/>
        <w:jc w:val="center"/>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rPr>
        <w:t>项目（课题）预算汇总表</w:t>
      </w:r>
    </w:p>
    <w:p>
      <w:pPr>
        <w:autoSpaceDE w:val="0"/>
        <w:autoSpaceDN w:val="0"/>
        <w:adjustRightInd w:val="0"/>
        <w:snapToGrid w:val="0"/>
        <w:spacing w:line="300" w:lineRule="auto"/>
        <w:rPr>
          <w:rFonts w:hint="eastAsia" w:ascii="黑体" w:hAnsi="黑体" w:eastAsia="黑体" w:cs="黑体"/>
          <w:b w:val="0"/>
          <w:bCs w:val="0"/>
          <w:color w:val="auto"/>
          <w:sz w:val="20"/>
        </w:rPr>
      </w:pPr>
      <w:r>
        <w:rPr>
          <w:rFonts w:hint="eastAsia" w:ascii="黑体" w:hAnsi="黑体" w:eastAsia="黑体" w:cs="黑体"/>
          <w:b w:val="0"/>
          <w:bCs w:val="0"/>
          <w:color w:val="auto"/>
          <w:sz w:val="20"/>
        </w:rPr>
        <w:t xml:space="preserve">表B3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金额单位：万元</w:t>
      </w:r>
    </w:p>
    <w:tbl>
      <w:tblPr>
        <w:tblStyle w:val="12"/>
        <w:tblW w:w="136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456"/>
        <w:gridCol w:w="3373"/>
        <w:gridCol w:w="1417"/>
        <w:gridCol w:w="1875"/>
        <w:gridCol w:w="1315"/>
        <w:gridCol w:w="1940"/>
        <w:gridCol w:w="1446"/>
        <w:gridCol w:w="180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8" w:hRule="atLeast"/>
          <w:tblHeader/>
          <w:jc w:val="center"/>
        </w:trPr>
        <w:tc>
          <w:tcPr>
            <w:tcW w:w="456" w:type="dxa"/>
            <w:vMerge w:val="restart"/>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序号</w:t>
            </w:r>
          </w:p>
        </w:tc>
        <w:tc>
          <w:tcPr>
            <w:tcW w:w="3373" w:type="dxa"/>
            <w:vMerge w:val="restart"/>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预算科目名称</w:t>
            </w:r>
          </w:p>
        </w:tc>
        <w:tc>
          <w:tcPr>
            <w:tcW w:w="3292" w:type="dxa"/>
            <w:gridSpan w:val="2"/>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合计</w:t>
            </w:r>
          </w:p>
        </w:tc>
        <w:tc>
          <w:tcPr>
            <w:tcW w:w="3255" w:type="dxa"/>
            <w:gridSpan w:val="2"/>
            <w:tcBorders>
              <w:lef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省级财政专项资金</w:t>
            </w:r>
          </w:p>
        </w:tc>
        <w:tc>
          <w:tcPr>
            <w:tcW w:w="3248" w:type="dxa"/>
            <w:gridSpan w:val="2"/>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其他渠道资金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8" w:hRule="atLeast"/>
          <w:tblHeader/>
          <w:jc w:val="center"/>
        </w:trPr>
        <w:tc>
          <w:tcPr>
            <w:tcW w:w="456" w:type="dxa"/>
            <w:vMerge w:val="continue"/>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p>
        </w:tc>
        <w:tc>
          <w:tcPr>
            <w:tcW w:w="3373" w:type="dxa"/>
            <w:vMerge w:val="continue"/>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w:t>
            </w: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其中：推广示范资金</w:t>
            </w: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w:t>
            </w: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其中：推广示范资金</w:t>
            </w: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w:t>
            </w: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其中：推广示范资金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72"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b/>
                <w:bCs/>
                <w:color w:val="auto"/>
                <w:sz w:val="20"/>
                <w:szCs w:val="20"/>
              </w:rPr>
            </w:pPr>
            <w:r>
              <w:rPr>
                <w:rFonts w:hint="eastAsia" w:ascii="仿宋_GB2312" w:hAnsi="仿宋_GB2312" w:eastAsia="仿宋_GB2312" w:cs="仿宋_GB2312"/>
                <w:b/>
                <w:bCs/>
                <w:color w:val="auto"/>
                <w:sz w:val="20"/>
                <w:szCs w:val="20"/>
              </w:rPr>
              <w:t>一、资金支出</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72"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（一）直接费用</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1.设备费</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2.材料费</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3.测试化验加工费</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4.燃料动力费</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5.出版/文献/信息传播/知识产权事务费</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6.会议/差旅/国际合作交流费</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7.培训费</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8.劳务费</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w:t>
            </w:r>
            <w:r>
              <w:rPr>
                <w:rFonts w:hint="eastAsia" w:ascii="仿宋_GB2312" w:hAnsi="仿宋_GB2312" w:eastAsia="仿宋_GB2312" w:cs="仿宋_GB2312"/>
                <w:color w:val="auto"/>
                <w:sz w:val="20"/>
                <w:szCs w:val="20"/>
                <w:lang w:val="en-US" w:eastAsia="zh-CN"/>
              </w:rPr>
              <w:t>1</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10.专家咨询费</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w:t>
            </w:r>
            <w:r>
              <w:rPr>
                <w:rFonts w:hint="eastAsia" w:ascii="仿宋_GB2312" w:hAnsi="仿宋_GB2312" w:eastAsia="仿宋_GB2312" w:cs="仿宋_GB2312"/>
                <w:color w:val="auto"/>
                <w:sz w:val="20"/>
                <w:szCs w:val="20"/>
                <w:lang w:val="en-US" w:eastAsia="zh-CN"/>
              </w:rPr>
              <w:t>2</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w:t>
            </w:r>
            <w:r>
              <w:rPr>
                <w:rFonts w:hint="eastAsia" w:ascii="仿宋_GB2312" w:hAnsi="仿宋_GB2312" w:eastAsia="仿宋_GB2312" w:cs="仿宋_GB2312"/>
                <w:color w:val="auto"/>
                <w:sz w:val="20"/>
                <w:szCs w:val="20"/>
                <w:lang w:eastAsia="zh-Hans"/>
              </w:rPr>
              <w:t>.基本建设费</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w:t>
            </w:r>
            <w:r>
              <w:rPr>
                <w:rFonts w:hint="eastAsia" w:ascii="仿宋_GB2312" w:hAnsi="仿宋_GB2312" w:eastAsia="仿宋_GB2312" w:cs="仿宋_GB2312"/>
                <w:color w:val="auto"/>
                <w:sz w:val="20"/>
                <w:szCs w:val="20"/>
                <w:lang w:val="en-US" w:eastAsia="zh-CN"/>
              </w:rPr>
              <w:t>3</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r>
              <w:rPr>
                <w:rFonts w:hint="eastAsia" w:ascii="仿宋_GB2312" w:hAnsi="仿宋_GB2312" w:eastAsia="仿宋_GB2312" w:cs="仿宋_GB2312"/>
                <w:color w:val="auto"/>
                <w:sz w:val="20"/>
                <w:szCs w:val="20"/>
                <w:lang w:eastAsia="zh-Hans"/>
              </w:rPr>
              <w:t>房屋建筑物构建</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w:t>
            </w:r>
            <w:r>
              <w:rPr>
                <w:rFonts w:hint="eastAsia" w:ascii="仿宋_GB2312" w:hAnsi="仿宋_GB2312" w:eastAsia="仿宋_GB2312" w:cs="仿宋_GB2312"/>
                <w:color w:val="auto"/>
                <w:sz w:val="20"/>
                <w:szCs w:val="20"/>
                <w:lang w:val="en-US" w:eastAsia="zh-CN"/>
              </w:rPr>
              <w:t>4</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w:t>
            </w:r>
            <w:r>
              <w:rPr>
                <w:rFonts w:hint="eastAsia" w:ascii="仿宋_GB2312" w:hAnsi="仿宋_GB2312" w:eastAsia="仿宋_GB2312" w:cs="仿宋_GB2312"/>
                <w:color w:val="auto"/>
                <w:sz w:val="20"/>
                <w:szCs w:val="20"/>
                <w:lang w:eastAsia="zh-Hans"/>
              </w:rPr>
              <w:t>专用设备购置</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w:t>
            </w:r>
            <w:r>
              <w:rPr>
                <w:rFonts w:hint="eastAsia" w:ascii="仿宋_GB2312" w:hAnsi="仿宋_GB2312" w:eastAsia="仿宋_GB2312" w:cs="仿宋_GB2312"/>
                <w:color w:val="auto"/>
                <w:sz w:val="20"/>
                <w:szCs w:val="20"/>
                <w:lang w:val="en-US" w:eastAsia="zh-CN"/>
              </w:rPr>
              <w:t>5</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w:t>
            </w:r>
            <w:r>
              <w:rPr>
                <w:rFonts w:hint="eastAsia" w:ascii="仿宋_GB2312" w:hAnsi="仿宋_GB2312" w:eastAsia="仿宋_GB2312" w:cs="仿宋_GB2312"/>
                <w:color w:val="auto"/>
                <w:sz w:val="20"/>
                <w:szCs w:val="20"/>
                <w:lang w:eastAsia="zh-Hans"/>
              </w:rPr>
              <w:t>基础设施建设</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w:t>
            </w:r>
            <w:r>
              <w:rPr>
                <w:rFonts w:hint="eastAsia" w:ascii="仿宋_GB2312" w:hAnsi="仿宋_GB2312" w:eastAsia="仿宋_GB2312" w:cs="仿宋_GB2312"/>
                <w:color w:val="auto"/>
                <w:sz w:val="20"/>
                <w:szCs w:val="20"/>
                <w:lang w:val="en-US" w:eastAsia="zh-CN"/>
              </w:rPr>
              <w:t>6</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w:t>
            </w:r>
            <w:r>
              <w:rPr>
                <w:rFonts w:hint="eastAsia" w:ascii="仿宋_GB2312" w:hAnsi="仿宋_GB2312" w:eastAsia="仿宋_GB2312" w:cs="仿宋_GB2312"/>
                <w:color w:val="auto"/>
                <w:sz w:val="20"/>
                <w:szCs w:val="20"/>
                <w:lang w:eastAsia="zh-Hans"/>
              </w:rPr>
              <w:t>大型修缮</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w:t>
            </w:r>
            <w:r>
              <w:rPr>
                <w:rFonts w:hint="eastAsia" w:ascii="仿宋_GB2312" w:hAnsi="仿宋_GB2312" w:eastAsia="仿宋_GB2312" w:cs="仿宋_GB2312"/>
                <w:color w:val="auto"/>
                <w:sz w:val="20"/>
                <w:szCs w:val="20"/>
                <w:lang w:val="en-US" w:eastAsia="zh-CN"/>
              </w:rPr>
              <w:t>7</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w:t>
            </w:r>
            <w:r>
              <w:rPr>
                <w:rFonts w:hint="eastAsia" w:ascii="仿宋_GB2312" w:hAnsi="仿宋_GB2312" w:eastAsia="仿宋_GB2312" w:cs="仿宋_GB2312"/>
                <w:color w:val="auto"/>
                <w:sz w:val="20"/>
                <w:szCs w:val="20"/>
                <w:lang w:eastAsia="zh-Hans"/>
              </w:rPr>
              <w:t>信息网络建设</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w:t>
            </w:r>
            <w:r>
              <w:rPr>
                <w:rFonts w:hint="eastAsia" w:ascii="仿宋_GB2312" w:hAnsi="仿宋_GB2312" w:eastAsia="仿宋_GB2312" w:cs="仿宋_GB2312"/>
                <w:color w:val="auto"/>
                <w:sz w:val="20"/>
                <w:szCs w:val="20"/>
                <w:lang w:val="en-US" w:eastAsia="zh-CN"/>
              </w:rPr>
              <w:t>8</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w:t>
            </w:r>
            <w:r>
              <w:rPr>
                <w:rFonts w:hint="eastAsia" w:ascii="仿宋_GB2312" w:hAnsi="仿宋_GB2312" w:eastAsia="仿宋_GB2312" w:cs="仿宋_GB2312"/>
                <w:color w:val="auto"/>
                <w:sz w:val="20"/>
                <w:szCs w:val="20"/>
                <w:lang w:eastAsia="zh-Hans"/>
              </w:rPr>
              <w:t>其他基本建设支出</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default" w:ascii="仿宋_GB2312" w:hAnsi="仿宋_GB2312" w:eastAsia="仿宋_GB2312" w:cs="仿宋_GB2312"/>
                <w:color w:val="auto"/>
                <w:sz w:val="20"/>
                <w:szCs w:val="20"/>
                <w:lang w:val="en-US" w:eastAsia="zh-CN"/>
              </w:rPr>
            </w:pPr>
            <w:r>
              <w:rPr>
                <w:rFonts w:hint="eastAsia" w:ascii="仿宋_GB2312" w:hAnsi="仿宋_GB2312" w:eastAsia="仿宋_GB2312" w:cs="仿宋_GB2312"/>
                <w:color w:val="auto"/>
                <w:sz w:val="20"/>
                <w:szCs w:val="20"/>
                <w:lang w:val="en-US" w:eastAsia="zh-CN"/>
              </w:rPr>
              <w:t>19</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12.其他</w:t>
            </w:r>
            <w:r>
              <w:rPr>
                <w:rFonts w:hint="eastAsia" w:ascii="仿宋_GB2312" w:hAnsi="仿宋_GB2312" w:eastAsia="仿宋_GB2312" w:cs="仿宋_GB2312"/>
                <w:color w:val="auto"/>
                <w:sz w:val="20"/>
                <w:szCs w:val="20"/>
                <w:lang w:eastAsia="zh-Hans"/>
              </w:rPr>
              <w:t>费用</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bottom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w:t>
            </w:r>
            <w:r>
              <w:rPr>
                <w:rFonts w:hint="eastAsia" w:ascii="仿宋_GB2312" w:hAnsi="仿宋_GB2312" w:eastAsia="仿宋_GB2312" w:cs="仿宋_GB2312"/>
                <w:color w:val="auto"/>
                <w:sz w:val="20"/>
                <w:szCs w:val="20"/>
                <w:lang w:val="en-US" w:eastAsia="zh-CN"/>
              </w:rPr>
              <w:t>0</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（二）间接费用</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w:t>
            </w:r>
            <w:r>
              <w:rPr>
                <w:rFonts w:hint="eastAsia" w:ascii="仿宋_GB2312" w:hAnsi="仿宋_GB2312" w:eastAsia="仿宋_GB2312" w:cs="仿宋_GB2312"/>
                <w:color w:val="auto"/>
                <w:sz w:val="20"/>
                <w:szCs w:val="20"/>
                <w:lang w:val="en-US" w:eastAsia="zh-CN"/>
              </w:rPr>
              <w:t>1</w:t>
            </w:r>
          </w:p>
        </w:tc>
        <w:tc>
          <w:tcPr>
            <w:tcW w:w="13168" w:type="dxa"/>
            <w:gridSpan w:val="7"/>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z w:val="20"/>
                <w:szCs w:val="20"/>
              </w:rPr>
              <w:t>二、项目（课题）资金来源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w:t>
            </w:r>
            <w:r>
              <w:rPr>
                <w:rFonts w:hint="eastAsia" w:ascii="仿宋_GB2312" w:hAnsi="仿宋_GB2312" w:eastAsia="仿宋_GB2312" w:cs="仿宋_GB2312"/>
                <w:color w:val="auto"/>
                <w:sz w:val="20"/>
                <w:szCs w:val="20"/>
                <w:lang w:val="en-US" w:eastAsia="zh-CN"/>
              </w:rPr>
              <w:t>2</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（一）省级财政专项资金</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w:t>
            </w:r>
            <w:r>
              <w:rPr>
                <w:rFonts w:hint="eastAsia" w:ascii="仿宋_GB2312" w:hAnsi="仿宋_GB2312" w:eastAsia="仿宋_GB2312" w:cs="仿宋_GB2312"/>
                <w:color w:val="auto"/>
                <w:sz w:val="20"/>
                <w:szCs w:val="20"/>
                <w:lang w:val="en-US" w:eastAsia="zh-CN"/>
              </w:rPr>
              <w:t>3</w:t>
            </w:r>
          </w:p>
        </w:tc>
        <w:tc>
          <w:tcPr>
            <w:tcW w:w="3373" w:type="dxa"/>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（二）其他渠道资金</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w:t>
            </w:r>
            <w:r>
              <w:rPr>
                <w:rFonts w:hint="eastAsia" w:ascii="仿宋_GB2312" w:hAnsi="仿宋_GB2312" w:eastAsia="仿宋_GB2312" w:cs="仿宋_GB2312"/>
                <w:color w:val="auto"/>
                <w:sz w:val="20"/>
                <w:szCs w:val="20"/>
                <w:lang w:val="en-US" w:eastAsia="zh-CN"/>
              </w:rPr>
              <w:t>4</w:t>
            </w:r>
          </w:p>
        </w:tc>
        <w:tc>
          <w:tcPr>
            <w:tcW w:w="3373" w:type="dxa"/>
            <w:vAlign w:val="center"/>
          </w:tcPr>
          <w:p>
            <w:pPr>
              <w:keepNext w:val="0"/>
              <w:keepLines w:val="0"/>
              <w:pageBreakBefore w:val="0"/>
              <w:widowControl w:val="0"/>
              <w:kinsoku/>
              <w:wordWrap/>
              <w:overflowPunct/>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1.单位自筹资金</w:t>
            </w:r>
          </w:p>
        </w:tc>
        <w:tc>
          <w:tcPr>
            <w:tcW w:w="1417"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75"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1940" w:type="dxa"/>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456" w:type="dxa"/>
            <w:tcBorders>
              <w:bottom w:val="single" w:color="auto" w:sz="6"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w:t>
            </w:r>
            <w:r>
              <w:rPr>
                <w:rFonts w:hint="eastAsia" w:ascii="仿宋_GB2312" w:hAnsi="仿宋_GB2312" w:eastAsia="仿宋_GB2312" w:cs="仿宋_GB2312"/>
                <w:color w:val="auto"/>
                <w:sz w:val="20"/>
                <w:szCs w:val="20"/>
                <w:lang w:val="en-US" w:eastAsia="zh-CN"/>
              </w:rPr>
              <w:t>5</w:t>
            </w:r>
          </w:p>
        </w:tc>
        <w:tc>
          <w:tcPr>
            <w:tcW w:w="3373" w:type="dxa"/>
            <w:tcBorders>
              <w:bottom w:val="single" w:color="auto" w:sz="6"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2.其他资金</w:t>
            </w:r>
          </w:p>
        </w:tc>
        <w:tc>
          <w:tcPr>
            <w:tcW w:w="1417" w:type="dxa"/>
            <w:tcBorders>
              <w:bottom w:val="single" w:color="auto" w:sz="6"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75" w:type="dxa"/>
            <w:tcBorders>
              <w:bottom w:val="single" w:color="auto" w:sz="6"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315" w:type="dxa"/>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1940" w:type="dxa"/>
            <w:tcBorders>
              <w:bottom w:val="single" w:color="auto" w:sz="6"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446" w:type="dxa"/>
            <w:tcBorders>
              <w:bottom w:val="single" w:color="auto" w:sz="6"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802" w:type="dxa"/>
            <w:tcBorders>
              <w:bottom w:val="single" w:color="auto" w:sz="6" w:space="0"/>
              <w:right w:val="single" w:color="auto" w:sz="4" w:space="0"/>
            </w:tcBorders>
            <w:vAlign w:val="center"/>
          </w:tcPr>
          <w:p>
            <w:pPr>
              <w:keepNext w:val="0"/>
              <w:keepLines w:val="0"/>
              <w:pageBreakBefore w:val="0"/>
              <w:widowControl w:val="0"/>
              <w:kinsoku/>
              <w:wordWrap/>
              <w:overflowPunct/>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r>
    </w:tbl>
    <w:p>
      <w:pPr>
        <w:keepNext w:val="0"/>
        <w:keepLines w:val="0"/>
        <w:pageBreakBefore w:val="0"/>
        <w:widowControl w:val="0"/>
        <w:kinsoku/>
        <w:wordWrap/>
        <w:overflowPunct/>
        <w:topLinePunct/>
        <w:bidi w:val="0"/>
        <w:adjustRightInd w:val="0"/>
        <w:snapToGrid w:val="0"/>
        <w:spacing w:line="240" w:lineRule="auto"/>
        <w:ind w:firstLine="360" w:firstLineChars="200"/>
        <w:textAlignment w:val="auto"/>
        <w:rPr>
          <w:rFonts w:hint="eastAsia" w:ascii="仿宋_GB2312" w:hAnsi="仿宋_GB2312" w:eastAsia="仿宋_GB2312" w:cs="仿宋_GB2312"/>
          <w:color w:val="auto"/>
          <w:sz w:val="18"/>
        </w:rPr>
      </w:pPr>
    </w:p>
    <w:p>
      <w:pPr>
        <w:keepNext w:val="0"/>
        <w:keepLines w:val="0"/>
        <w:pageBreakBefore w:val="0"/>
        <w:widowControl w:val="0"/>
        <w:kinsoku/>
        <w:wordWrap/>
        <w:overflowPunct/>
        <w:topLinePunct/>
        <w:bidi w:val="0"/>
        <w:adjustRightInd w:val="0"/>
        <w:snapToGrid w:val="0"/>
        <w:spacing w:line="240" w:lineRule="auto"/>
        <w:ind w:firstLine="420" w:firstLineChars="200"/>
        <w:textAlignment w:val="auto"/>
        <w:rPr>
          <w:rFonts w:hint="eastAsia" w:ascii="仿宋_GB2312" w:hAnsi="仿宋_GB2312" w:eastAsia="仿宋_GB2312" w:cs="仿宋_GB2312"/>
          <w:color w:val="auto"/>
          <w:sz w:val="21"/>
          <w:szCs w:val="21"/>
        </w:rPr>
      </w:pPr>
      <w:r>
        <w:rPr>
          <w:rFonts w:hint="eastAsia" w:ascii="黑体" w:hAnsi="黑体" w:eastAsia="黑体" w:cs="黑体"/>
          <w:color w:val="auto"/>
          <w:sz w:val="21"/>
          <w:szCs w:val="21"/>
        </w:rPr>
        <w:t>注：</w:t>
      </w:r>
      <w:r>
        <w:rPr>
          <w:rFonts w:hint="eastAsia" w:ascii="仿宋_GB2312" w:hAnsi="仿宋_GB2312" w:eastAsia="仿宋_GB2312" w:cs="仿宋_GB2312"/>
          <w:color w:val="auto"/>
          <w:sz w:val="21"/>
          <w:szCs w:val="21"/>
        </w:rPr>
        <w:t>1、请提供表B4-B19；</w:t>
      </w:r>
    </w:p>
    <w:p>
      <w:pPr>
        <w:keepNext w:val="0"/>
        <w:keepLines w:val="0"/>
        <w:pageBreakBefore w:val="0"/>
        <w:widowControl w:val="0"/>
        <w:kinsoku/>
        <w:wordWrap/>
        <w:overflowPunct/>
        <w:topLinePunct/>
        <w:bidi w:val="0"/>
        <w:adjustRightInd w:val="0"/>
        <w:snapToGrid w:val="0"/>
        <w:spacing w:line="240" w:lineRule="auto"/>
        <w:ind w:firstLine="640" w:firstLineChars="200"/>
        <w:textAlignment w:val="auto"/>
        <w:rPr>
          <w:rFonts w:hint="eastAsia" w:ascii="仿宋_GB2312" w:hAnsi="仿宋_GB2312" w:eastAsia="仿宋_GB2312" w:cs="仿宋_GB2312"/>
          <w:color w:val="auto"/>
          <w:sz w:val="32"/>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spacing w:line="300" w:lineRule="auto"/>
        <w:ind w:left="0" w:firstLine="0"/>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设备费——购置/试制设备预算明细表</w:t>
      </w:r>
    </w:p>
    <w:p>
      <w:pPr>
        <w:autoSpaceDE w:val="0"/>
        <w:autoSpaceDN w:val="0"/>
        <w:spacing w:line="300" w:lineRule="auto"/>
        <w:ind w:firstLine="200" w:firstLineChars="100"/>
        <w:rPr>
          <w:rFonts w:hint="eastAsia" w:ascii="黑体" w:hAnsi="黑体" w:eastAsia="黑体" w:cs="黑体"/>
          <w:b w:val="0"/>
          <w:bCs w:val="0"/>
          <w:color w:val="auto"/>
          <w:sz w:val="20"/>
        </w:rPr>
      </w:pPr>
      <w:r>
        <w:rPr>
          <w:rFonts w:hint="eastAsia" w:ascii="黑体" w:hAnsi="黑体" w:eastAsia="黑体" w:cs="黑体"/>
          <w:b w:val="0"/>
          <w:bCs w:val="0"/>
          <w:color w:val="auto"/>
          <w:sz w:val="20"/>
        </w:rPr>
        <w:t xml:space="preserve">表B4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金额单位：万元</w:t>
      </w:r>
    </w:p>
    <w:tbl>
      <w:tblPr>
        <w:tblStyle w:val="12"/>
        <w:tblW w:w="13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3245"/>
        <w:gridCol w:w="1013"/>
        <w:gridCol w:w="778"/>
        <w:gridCol w:w="648"/>
        <w:gridCol w:w="695"/>
        <w:gridCol w:w="1085"/>
        <w:gridCol w:w="1143"/>
        <w:gridCol w:w="968"/>
        <w:gridCol w:w="808"/>
        <w:gridCol w:w="1109"/>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13829" w:type="dxa"/>
            <w:gridSpan w:val="12"/>
          </w:tcPr>
          <w:p>
            <w:pPr>
              <w:adjustRightInd w:val="0"/>
              <w:snapToGrid w:val="0"/>
              <w:spacing w:line="276" w:lineRule="auto"/>
              <w:rPr>
                <w:rFonts w:eastAsia="楷体_GB2312"/>
                <w:color w:val="auto"/>
                <w:sz w:val="20"/>
                <w:szCs w:val="20"/>
              </w:rPr>
            </w:pPr>
            <w:r>
              <w:rPr>
                <w:rFonts w:hint="eastAsia" w:eastAsia="楷体_GB2312"/>
                <w:color w:val="auto"/>
                <w:sz w:val="20"/>
                <w:szCs w:val="20"/>
              </w:rPr>
              <w:t>填表说明：1.设备分类：购置、试制；</w:t>
            </w:r>
          </w:p>
          <w:p>
            <w:pPr>
              <w:adjustRightInd w:val="0"/>
              <w:snapToGrid w:val="0"/>
              <w:spacing w:line="276" w:lineRule="auto"/>
              <w:ind w:firstLine="1400" w:firstLineChars="700"/>
              <w:rPr>
                <w:rFonts w:eastAsia="楷体_GB2312"/>
                <w:color w:val="auto"/>
                <w:sz w:val="20"/>
                <w:szCs w:val="20"/>
              </w:rPr>
            </w:pPr>
            <w:r>
              <w:rPr>
                <w:rFonts w:hint="eastAsia" w:eastAsia="楷体_GB2312"/>
                <w:color w:val="auto"/>
                <w:sz w:val="20"/>
                <w:szCs w:val="20"/>
              </w:rPr>
              <w:t>2.购置设备类型：通用、专用；</w:t>
            </w:r>
          </w:p>
          <w:p>
            <w:pPr>
              <w:adjustRightInd w:val="0"/>
              <w:snapToGrid w:val="0"/>
              <w:spacing w:line="276" w:lineRule="auto"/>
              <w:ind w:firstLine="1400" w:firstLineChars="700"/>
              <w:rPr>
                <w:rFonts w:eastAsia="楷体_GB2312"/>
                <w:color w:val="auto"/>
                <w:sz w:val="20"/>
                <w:szCs w:val="20"/>
              </w:rPr>
            </w:pPr>
            <w:r>
              <w:rPr>
                <w:rFonts w:hint="eastAsia" w:eastAsia="楷体_GB2312"/>
                <w:color w:val="auto"/>
                <w:sz w:val="20"/>
                <w:szCs w:val="20"/>
              </w:rPr>
              <w:t>3.资金来源：省级财政专项资金、</w:t>
            </w:r>
            <w:r>
              <w:rPr>
                <w:rFonts w:hint="eastAsia" w:ascii="宋体" w:hAnsi="宋体" w:cs="宋体"/>
                <w:color w:val="auto"/>
                <w:sz w:val="20"/>
                <w:szCs w:val="20"/>
              </w:rPr>
              <w:t>其他渠道资金</w:t>
            </w:r>
            <w:r>
              <w:rPr>
                <w:rFonts w:hint="eastAsia" w:eastAsia="楷体_GB2312"/>
                <w:color w:val="auto"/>
                <w:sz w:val="20"/>
                <w:szCs w:val="20"/>
              </w:rPr>
              <w:t>；</w:t>
            </w:r>
          </w:p>
          <w:p>
            <w:pPr>
              <w:adjustRightInd w:val="0"/>
              <w:snapToGrid w:val="0"/>
              <w:spacing w:line="276" w:lineRule="auto"/>
              <w:ind w:firstLine="1400" w:firstLineChars="700"/>
              <w:rPr>
                <w:rFonts w:eastAsia="楷体_GB2312"/>
                <w:color w:val="auto"/>
                <w:sz w:val="20"/>
                <w:szCs w:val="20"/>
              </w:rPr>
            </w:pPr>
            <w:r>
              <w:rPr>
                <w:rFonts w:hint="eastAsia" w:eastAsia="楷体_GB2312"/>
                <w:color w:val="auto"/>
                <w:sz w:val="20"/>
                <w:szCs w:val="20"/>
              </w:rPr>
              <w:t>4</w:t>
            </w:r>
            <w:r>
              <w:rPr>
                <w:rFonts w:eastAsia="楷体_GB2312"/>
                <w:color w:val="auto"/>
                <w:sz w:val="20"/>
                <w:szCs w:val="20"/>
              </w:rPr>
              <w:t>.</w:t>
            </w:r>
            <w:r>
              <w:rPr>
                <w:rFonts w:hint="eastAsia" w:eastAsia="楷体_GB2312"/>
                <w:color w:val="auto"/>
                <w:sz w:val="20"/>
                <w:szCs w:val="20"/>
              </w:rPr>
              <w:t>试制设备不需填列本表（</w:t>
            </w:r>
            <w:r>
              <w:rPr>
                <w:rFonts w:eastAsia="楷体_GB2312"/>
                <w:color w:val="auto"/>
                <w:sz w:val="20"/>
                <w:szCs w:val="20"/>
              </w:rPr>
              <w:t>8</w:t>
            </w:r>
            <w:r>
              <w:rPr>
                <w:rFonts w:hint="eastAsia" w:eastAsia="楷体_GB2312"/>
                <w:color w:val="auto"/>
                <w:sz w:val="20"/>
                <w:szCs w:val="20"/>
              </w:rPr>
              <w:t>）列、（</w:t>
            </w:r>
            <w:r>
              <w:rPr>
                <w:rFonts w:eastAsia="楷体_GB2312"/>
                <w:color w:val="auto"/>
                <w:sz w:val="20"/>
                <w:szCs w:val="20"/>
              </w:rPr>
              <w:t>9</w:t>
            </w:r>
            <w:r>
              <w:rPr>
                <w:rFonts w:hint="eastAsia" w:eastAsia="楷体_GB2312"/>
                <w:color w:val="auto"/>
                <w:sz w:val="20"/>
                <w:szCs w:val="20"/>
              </w:rPr>
              <w:t>）列、（1</w:t>
            </w:r>
            <w:r>
              <w:rPr>
                <w:rFonts w:eastAsia="楷体_GB2312"/>
                <w:color w:val="auto"/>
                <w:sz w:val="20"/>
                <w:szCs w:val="20"/>
              </w:rPr>
              <w:t>0</w:t>
            </w:r>
            <w:r>
              <w:rPr>
                <w:rFonts w:hint="eastAsia" w:eastAsia="楷体_GB2312"/>
                <w:color w:val="auto"/>
                <w:sz w:val="20"/>
                <w:szCs w:val="20"/>
              </w:rPr>
              <w:t>）列；</w:t>
            </w:r>
          </w:p>
          <w:p>
            <w:pPr>
              <w:adjustRightInd w:val="0"/>
              <w:snapToGrid w:val="0"/>
              <w:spacing w:line="276" w:lineRule="auto"/>
              <w:ind w:firstLine="1400" w:firstLineChars="700"/>
              <w:rPr>
                <w:rFonts w:ascii="宋体" w:hAnsi="宋体"/>
                <w:color w:val="auto"/>
                <w:kern w:val="0"/>
                <w:sz w:val="20"/>
                <w:szCs w:val="20"/>
              </w:rPr>
            </w:pPr>
            <w:r>
              <w:rPr>
                <w:rFonts w:hint="eastAsia" w:eastAsia="楷体_GB2312"/>
                <w:color w:val="auto"/>
                <w:sz w:val="20"/>
                <w:szCs w:val="20"/>
              </w:rPr>
              <w:t>5.设备单价的单位为万元/台套，设备数量的单位为台套；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197" w:type="dxa"/>
            <w:vMerge w:val="restart"/>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序号</w:t>
            </w:r>
          </w:p>
        </w:tc>
        <w:tc>
          <w:tcPr>
            <w:tcW w:w="3245"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设备名称</w:t>
            </w:r>
          </w:p>
        </w:tc>
        <w:tc>
          <w:tcPr>
            <w:tcW w:w="1013"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设备</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分类</w:t>
            </w:r>
          </w:p>
        </w:tc>
        <w:tc>
          <w:tcPr>
            <w:tcW w:w="778"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单价</w:t>
            </w:r>
          </w:p>
        </w:tc>
        <w:tc>
          <w:tcPr>
            <w:tcW w:w="648"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数量</w:t>
            </w:r>
          </w:p>
        </w:tc>
        <w:tc>
          <w:tcPr>
            <w:tcW w:w="695"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金额</w:t>
            </w:r>
          </w:p>
        </w:tc>
        <w:tc>
          <w:tcPr>
            <w:tcW w:w="1085"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资金来源</w:t>
            </w:r>
          </w:p>
        </w:tc>
        <w:tc>
          <w:tcPr>
            <w:tcW w:w="1143"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是否为推广示范任务资金</w:t>
            </w:r>
          </w:p>
        </w:tc>
        <w:tc>
          <w:tcPr>
            <w:tcW w:w="968"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购置或试制单位</w:t>
            </w:r>
          </w:p>
        </w:tc>
        <w:tc>
          <w:tcPr>
            <w:tcW w:w="808"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购置设备类型</w:t>
            </w:r>
          </w:p>
        </w:tc>
        <w:tc>
          <w:tcPr>
            <w:tcW w:w="1109"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规格型号</w:t>
            </w:r>
          </w:p>
        </w:tc>
        <w:tc>
          <w:tcPr>
            <w:tcW w:w="1140"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拟开放共享范围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97" w:type="dxa"/>
            <w:vMerge w:val="continue"/>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p>
        </w:tc>
        <w:tc>
          <w:tcPr>
            <w:tcW w:w="3245"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（1）</w:t>
            </w:r>
          </w:p>
        </w:tc>
        <w:tc>
          <w:tcPr>
            <w:tcW w:w="1013"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（2）</w:t>
            </w:r>
          </w:p>
        </w:tc>
        <w:tc>
          <w:tcPr>
            <w:tcW w:w="778"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（3）</w:t>
            </w:r>
          </w:p>
        </w:tc>
        <w:tc>
          <w:tcPr>
            <w:tcW w:w="648"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（4）</w:t>
            </w:r>
          </w:p>
        </w:tc>
        <w:tc>
          <w:tcPr>
            <w:tcW w:w="695"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（5）</w:t>
            </w:r>
          </w:p>
        </w:tc>
        <w:tc>
          <w:tcPr>
            <w:tcW w:w="1085"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（6）</w:t>
            </w:r>
          </w:p>
        </w:tc>
        <w:tc>
          <w:tcPr>
            <w:tcW w:w="1143"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（7）</w:t>
            </w:r>
          </w:p>
        </w:tc>
        <w:tc>
          <w:tcPr>
            <w:tcW w:w="968"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（8）</w:t>
            </w:r>
          </w:p>
        </w:tc>
        <w:tc>
          <w:tcPr>
            <w:tcW w:w="808"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（9）</w:t>
            </w:r>
          </w:p>
        </w:tc>
        <w:tc>
          <w:tcPr>
            <w:tcW w:w="1109"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（10）</w:t>
            </w:r>
          </w:p>
        </w:tc>
        <w:tc>
          <w:tcPr>
            <w:tcW w:w="1140"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97"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p>
        </w:tc>
        <w:tc>
          <w:tcPr>
            <w:tcW w:w="3245"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013"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77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64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695"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085"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43"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96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80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09"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40"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97"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2</w:t>
            </w:r>
          </w:p>
        </w:tc>
        <w:tc>
          <w:tcPr>
            <w:tcW w:w="3245"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013"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77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64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695"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085"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43"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96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80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09"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40"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97"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3</w:t>
            </w:r>
          </w:p>
        </w:tc>
        <w:tc>
          <w:tcPr>
            <w:tcW w:w="3245"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013"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77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64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695"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085"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43"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96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80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09"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40"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33" w:type="dxa"/>
            <w:gridSpan w:val="4"/>
            <w:vAlign w:val="bottom"/>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购置设备合计</w:t>
            </w:r>
          </w:p>
        </w:tc>
        <w:tc>
          <w:tcPr>
            <w:tcW w:w="648" w:type="dxa"/>
            <w:vAlign w:val="bottom"/>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695" w:type="dxa"/>
            <w:vAlign w:val="bottom"/>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085"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143"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96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80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109"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140"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33" w:type="dxa"/>
            <w:gridSpan w:val="4"/>
            <w:vAlign w:val="bottom"/>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试制设备合计</w:t>
            </w:r>
          </w:p>
        </w:tc>
        <w:tc>
          <w:tcPr>
            <w:tcW w:w="648" w:type="dxa"/>
            <w:vAlign w:val="bottom"/>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695" w:type="dxa"/>
            <w:vAlign w:val="bottom"/>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085"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143"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96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80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109"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140"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33" w:type="dxa"/>
            <w:gridSpan w:val="4"/>
            <w:vAlign w:val="bottom"/>
          </w:tcPr>
          <w:p>
            <w:pPr>
              <w:adjustRightInd w:val="0"/>
              <w:snapToGrid w:val="0"/>
              <w:spacing w:line="276" w:lineRule="auto"/>
              <w:jc w:val="center"/>
              <w:rPr>
                <w:rFonts w:hint="eastAsia" w:ascii="仿宋_GB2312" w:hAnsi="仿宋_GB2312" w:eastAsia="仿宋_GB2312" w:cs="仿宋_GB2312"/>
                <w:color w:val="auto"/>
                <w:kern w:val="0"/>
                <w:sz w:val="20"/>
                <w:szCs w:val="20"/>
                <w:lang w:eastAsia="zh-Hans"/>
              </w:rPr>
            </w:pPr>
            <w:r>
              <w:rPr>
                <w:rFonts w:hint="eastAsia" w:ascii="仿宋_GB2312" w:hAnsi="仿宋_GB2312" w:eastAsia="仿宋_GB2312" w:cs="仿宋_GB2312"/>
                <w:color w:val="auto"/>
                <w:kern w:val="0"/>
                <w:sz w:val="20"/>
                <w:szCs w:val="20"/>
                <w:lang w:eastAsia="zh-Hans"/>
              </w:rPr>
              <w:t>累计</w:t>
            </w:r>
          </w:p>
        </w:tc>
        <w:tc>
          <w:tcPr>
            <w:tcW w:w="648" w:type="dxa"/>
            <w:vAlign w:val="bottom"/>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695" w:type="dxa"/>
            <w:vAlign w:val="bottom"/>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085"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143"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96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808"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109"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140"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r>
    </w:tbl>
    <w:p>
      <w:pPr>
        <w:autoSpaceDE w:val="0"/>
        <w:autoSpaceDN w:val="0"/>
        <w:spacing w:line="300" w:lineRule="auto"/>
        <w:rPr>
          <w:rFonts w:ascii="黑体" w:hAnsi="黑体" w:eastAsia="黑体"/>
          <w:color w:val="auto"/>
          <w:sz w:val="28"/>
          <w:szCs w:val="28"/>
        </w:rPr>
      </w:pPr>
    </w:p>
    <w:p>
      <w:pPr>
        <w:autoSpaceDE w:val="0"/>
        <w:autoSpaceDN w:val="0"/>
        <w:spacing w:line="300" w:lineRule="auto"/>
        <w:ind w:left="601" w:firstLine="536"/>
        <w:jc w:val="center"/>
        <w:rPr>
          <w:rFonts w:ascii="黑体" w:hAnsi="黑体" w:eastAsia="黑体" w:cs="黑体"/>
          <w:color w:val="auto"/>
          <w:sz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spacing w:line="300" w:lineRule="auto"/>
        <w:ind w:left="0" w:firstLine="0"/>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设备费——</w:t>
      </w:r>
      <w:r>
        <w:rPr>
          <w:rFonts w:hint="eastAsia" w:ascii="方正小标宋简体" w:hAnsi="方正小标宋简体" w:eastAsia="方正小标宋简体" w:cs="方正小标宋简体"/>
          <w:color w:val="auto"/>
          <w:sz w:val="32"/>
          <w:szCs w:val="32"/>
          <w:lang w:eastAsia="zh-Hans"/>
        </w:rPr>
        <w:t>设备租赁</w:t>
      </w:r>
      <w:r>
        <w:rPr>
          <w:rFonts w:hint="eastAsia" w:ascii="方正小标宋简体" w:hAnsi="方正小标宋简体" w:eastAsia="方正小标宋简体" w:cs="方正小标宋简体"/>
          <w:color w:val="auto"/>
          <w:sz w:val="32"/>
          <w:szCs w:val="32"/>
        </w:rPr>
        <w:t>费预算明细表</w:t>
      </w:r>
    </w:p>
    <w:p>
      <w:pPr>
        <w:autoSpaceDE w:val="0"/>
        <w:autoSpaceDN w:val="0"/>
        <w:spacing w:line="300" w:lineRule="auto"/>
        <w:ind w:firstLine="200" w:firstLineChars="100"/>
        <w:rPr>
          <w:rFonts w:hint="default" w:ascii="Times New Roman" w:hAnsi="Times New Roman" w:cs="Times New Roman"/>
          <w:b w:val="0"/>
          <w:bCs w:val="0"/>
          <w:color w:val="auto"/>
        </w:rPr>
      </w:pPr>
      <w:r>
        <w:rPr>
          <w:rFonts w:hint="default" w:ascii="Times New Roman" w:hAnsi="Times New Roman" w:eastAsia="黑体" w:cs="Times New Roman"/>
          <w:b w:val="0"/>
          <w:bCs w:val="0"/>
          <w:color w:val="auto"/>
          <w:sz w:val="20"/>
        </w:rPr>
        <w:t xml:space="preserve">表B5 </w:t>
      </w:r>
      <w:r>
        <w:rPr>
          <w:rFonts w:hint="default" w:ascii="Times New Roman" w:hAnsi="Times New Roman" w:cs="Times New Roman"/>
          <w:b w:val="0"/>
          <w:bCs w:val="0"/>
          <w:color w:val="auto"/>
          <w:sz w:val="20"/>
        </w:rPr>
        <w:t xml:space="preserve">     </w:t>
      </w:r>
      <w:r>
        <w:rPr>
          <w:rFonts w:hint="default" w:ascii="Times New Roman" w:hAnsi="Times New Roman" w:cs="Times New Roman"/>
          <w:b w:val="0"/>
          <w:bCs w:val="0"/>
          <w:color w:val="auto"/>
          <w:sz w:val="20"/>
        </w:rPr>
        <w:tab/>
      </w:r>
      <w:r>
        <w:rPr>
          <w:rFonts w:hint="default" w:ascii="Times New Roman" w:hAnsi="Times New Roman" w:cs="Times New Roman"/>
          <w:b w:val="0"/>
          <w:bCs w:val="0"/>
          <w:color w:val="auto"/>
          <w:sz w:val="20"/>
        </w:rPr>
        <w:tab/>
      </w:r>
      <w:r>
        <w:rPr>
          <w:rFonts w:hint="default" w:ascii="Times New Roman" w:hAnsi="Times New Roman" w:cs="Times New Roman"/>
          <w:b w:val="0"/>
          <w:bCs w:val="0"/>
          <w:color w:val="auto"/>
          <w:sz w:val="20"/>
        </w:rPr>
        <w:t xml:space="preserve">                                                        </w:t>
      </w:r>
      <w:r>
        <w:rPr>
          <w:rFonts w:hint="default" w:ascii="Times New Roman" w:hAnsi="Times New Roman" w:cs="Times New Roman"/>
          <w:b w:val="0"/>
          <w:bCs w:val="0"/>
          <w:color w:val="auto"/>
          <w:sz w:val="20"/>
        </w:rPr>
        <w:tab/>
      </w:r>
      <w:r>
        <w:rPr>
          <w:rFonts w:hint="default" w:ascii="Times New Roman" w:hAnsi="Times New Roman" w:cs="Times New Roman"/>
          <w:b w:val="0"/>
          <w:bCs w:val="0"/>
          <w:color w:val="auto"/>
          <w:sz w:val="20"/>
        </w:rPr>
        <w:t xml:space="preserve"> </w:t>
      </w:r>
      <w:r>
        <w:rPr>
          <w:rFonts w:hint="default" w:ascii="Times New Roman" w:hAnsi="Times New Roman" w:cs="Times New Roman"/>
          <w:b w:val="0"/>
          <w:bCs w:val="0"/>
          <w:color w:val="auto"/>
          <w:sz w:val="20"/>
        </w:rPr>
        <w:tab/>
      </w:r>
      <w:r>
        <w:rPr>
          <w:rFonts w:hint="default" w:ascii="Times New Roman" w:hAnsi="Times New Roman" w:cs="Times New Roman"/>
          <w:b w:val="0"/>
          <w:bCs w:val="0"/>
          <w:color w:val="auto"/>
          <w:sz w:val="20"/>
        </w:rPr>
        <w:t xml:space="preserve"> 　　                               金额单位：万元</w:t>
      </w:r>
    </w:p>
    <w:tbl>
      <w:tblPr>
        <w:tblStyle w:val="12"/>
        <w:tblW w:w="14132" w:type="dxa"/>
        <w:jc w:val="center"/>
        <w:tblLayout w:type="fixed"/>
        <w:tblCellMar>
          <w:top w:w="0" w:type="dxa"/>
          <w:left w:w="108" w:type="dxa"/>
          <w:bottom w:w="0" w:type="dxa"/>
          <w:right w:w="108" w:type="dxa"/>
        </w:tblCellMar>
      </w:tblPr>
      <w:tblGrid>
        <w:gridCol w:w="1027"/>
        <w:gridCol w:w="2079"/>
        <w:gridCol w:w="810"/>
        <w:gridCol w:w="1060"/>
        <w:gridCol w:w="1596"/>
        <w:gridCol w:w="1560"/>
        <w:gridCol w:w="1575"/>
        <w:gridCol w:w="1380"/>
        <w:gridCol w:w="1461"/>
        <w:gridCol w:w="1584"/>
      </w:tblGrid>
      <w:tr>
        <w:tblPrEx>
          <w:tblCellMar>
            <w:top w:w="0" w:type="dxa"/>
            <w:left w:w="108" w:type="dxa"/>
            <w:bottom w:w="0" w:type="dxa"/>
            <w:right w:w="108" w:type="dxa"/>
          </w:tblCellMar>
        </w:tblPrEx>
        <w:trPr>
          <w:trHeight w:val="1117" w:hRule="atLeast"/>
          <w:jc w:val="center"/>
        </w:trPr>
        <w:tc>
          <w:tcPr>
            <w:tcW w:w="14132" w:type="dxa"/>
            <w:gridSpan w:val="10"/>
            <w:tcBorders>
              <w:top w:val="single" w:color="auto" w:sz="4" w:space="0"/>
              <w:left w:val="single" w:color="auto" w:sz="4" w:space="0"/>
              <w:bottom w:val="single" w:color="auto" w:sz="4" w:space="0"/>
              <w:right w:val="single" w:color="auto" w:sz="4" w:space="0"/>
            </w:tcBorders>
          </w:tcPr>
          <w:p>
            <w:pPr>
              <w:adjustRightInd w:val="0"/>
              <w:snapToGrid w:val="0"/>
              <w:spacing w:line="276" w:lineRule="auto"/>
              <w:rPr>
                <w:rFonts w:eastAsia="楷体_GB2312"/>
                <w:color w:val="auto"/>
                <w:sz w:val="20"/>
                <w:szCs w:val="20"/>
              </w:rPr>
            </w:pPr>
            <w:r>
              <w:rPr>
                <w:rFonts w:hint="eastAsia" w:eastAsia="楷体_GB2312"/>
                <w:color w:val="auto"/>
                <w:sz w:val="20"/>
                <w:szCs w:val="20"/>
              </w:rPr>
              <w:t>填表说明：1.设备租赁费是指实施过程中需要租用承担单位以外其他单位的设备而发生的费用。租赁费主要包括设备的租金、安装调试费、维修保养费及其他相关费用等。</w:t>
            </w:r>
          </w:p>
          <w:p>
            <w:pPr>
              <w:adjustRightInd w:val="0"/>
              <w:snapToGrid w:val="0"/>
              <w:spacing w:line="276" w:lineRule="auto"/>
              <w:ind w:firstLine="1000" w:firstLineChars="500"/>
              <w:rPr>
                <w:rFonts w:ascii="宋体" w:hAnsi="宋体"/>
                <w:color w:val="auto"/>
                <w:kern w:val="0"/>
                <w:sz w:val="20"/>
                <w:szCs w:val="20"/>
              </w:rPr>
            </w:pPr>
            <w:r>
              <w:rPr>
                <w:rFonts w:hint="eastAsia" w:eastAsia="楷体_GB2312"/>
                <w:color w:val="auto"/>
                <w:sz w:val="20"/>
                <w:szCs w:val="20"/>
              </w:rPr>
              <w:t>2.资金来源：省级财政专项资金、</w:t>
            </w:r>
            <w:r>
              <w:rPr>
                <w:rFonts w:hint="eastAsia" w:eastAsia="楷体_GB2312" w:asciiTheme="minorHAnsi" w:hAnsiTheme="minorHAnsi" w:cstheme="minorBidi"/>
                <w:color w:val="auto"/>
                <w:sz w:val="20"/>
                <w:szCs w:val="20"/>
              </w:rPr>
              <w:t>其他渠道资金</w:t>
            </w:r>
            <w:r>
              <w:rPr>
                <w:rFonts w:hint="eastAsia" w:eastAsia="楷体_GB2312"/>
                <w:color w:val="auto"/>
                <w:sz w:val="20"/>
                <w:szCs w:val="20"/>
              </w:rPr>
              <w:t>。</w:t>
            </w:r>
          </w:p>
        </w:tc>
      </w:tr>
      <w:tr>
        <w:tblPrEx>
          <w:tblCellMar>
            <w:top w:w="0" w:type="dxa"/>
            <w:left w:w="108" w:type="dxa"/>
            <w:bottom w:w="0" w:type="dxa"/>
            <w:right w:w="108" w:type="dxa"/>
          </w:tblCellMar>
        </w:tblPrEx>
        <w:trPr>
          <w:trHeight w:val="1117" w:hRule="atLeast"/>
          <w:jc w:val="center"/>
        </w:trPr>
        <w:tc>
          <w:tcPr>
            <w:tcW w:w="102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序号</w:t>
            </w:r>
          </w:p>
        </w:tc>
        <w:tc>
          <w:tcPr>
            <w:tcW w:w="20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设备名称</w:t>
            </w:r>
          </w:p>
        </w:tc>
        <w:tc>
          <w:tcPr>
            <w:tcW w:w="8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年度</w:t>
            </w:r>
          </w:p>
        </w:tc>
        <w:tc>
          <w:tcPr>
            <w:tcW w:w="10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出租单位</w:t>
            </w:r>
          </w:p>
        </w:tc>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租金单价</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（万元/月）             　</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数量</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（台、套）</w:t>
            </w: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租期</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金额</w:t>
            </w:r>
          </w:p>
        </w:tc>
        <w:tc>
          <w:tcPr>
            <w:tcW w:w="14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资金来源</w:t>
            </w:r>
          </w:p>
        </w:tc>
        <w:tc>
          <w:tcPr>
            <w:tcW w:w="15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是否为推广示范任务资金</w:t>
            </w:r>
          </w:p>
        </w:tc>
      </w:tr>
      <w:tr>
        <w:tblPrEx>
          <w:tblCellMar>
            <w:top w:w="0" w:type="dxa"/>
            <w:left w:w="108" w:type="dxa"/>
            <w:bottom w:w="0" w:type="dxa"/>
            <w:right w:w="108" w:type="dxa"/>
          </w:tblCellMar>
        </w:tblPrEx>
        <w:trPr>
          <w:trHeight w:val="457" w:hRule="atLeast"/>
          <w:jc w:val="center"/>
        </w:trPr>
        <w:tc>
          <w:tcPr>
            <w:tcW w:w="102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hint="eastAsia" w:ascii="黑体" w:hAnsi="黑体" w:eastAsia="黑体" w:cs="黑体"/>
                <w:b w:val="0"/>
                <w:bCs w:val="0"/>
                <w:color w:val="auto"/>
                <w:kern w:val="0"/>
                <w:sz w:val="20"/>
                <w:szCs w:val="20"/>
              </w:rPr>
            </w:pPr>
          </w:p>
        </w:tc>
        <w:tc>
          <w:tcPr>
            <w:tcW w:w="20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（1）</w:t>
            </w:r>
          </w:p>
        </w:tc>
        <w:tc>
          <w:tcPr>
            <w:tcW w:w="8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（2）</w:t>
            </w:r>
          </w:p>
        </w:tc>
        <w:tc>
          <w:tcPr>
            <w:tcW w:w="10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（3）</w:t>
            </w:r>
          </w:p>
        </w:tc>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（4）</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（5）</w:t>
            </w: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（6）</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（7）</w:t>
            </w:r>
          </w:p>
        </w:tc>
        <w:tc>
          <w:tcPr>
            <w:tcW w:w="14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（8）</w:t>
            </w:r>
          </w:p>
        </w:tc>
        <w:tc>
          <w:tcPr>
            <w:tcW w:w="15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（9）</w:t>
            </w:r>
          </w:p>
        </w:tc>
      </w:tr>
      <w:tr>
        <w:tblPrEx>
          <w:tblCellMar>
            <w:top w:w="0" w:type="dxa"/>
            <w:left w:w="108" w:type="dxa"/>
            <w:bottom w:w="0" w:type="dxa"/>
            <w:right w:w="108" w:type="dxa"/>
          </w:tblCellMar>
        </w:tblPrEx>
        <w:trPr>
          <w:trHeight w:val="405" w:hRule="atLeast"/>
          <w:jc w:val="center"/>
        </w:trPr>
        <w:tc>
          <w:tcPr>
            <w:tcW w:w="1027" w:type="dxa"/>
            <w:tcBorders>
              <w:top w:val="single" w:color="auto" w:sz="4" w:space="0"/>
              <w:left w:val="single" w:color="auto" w:sz="4" w:space="0"/>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1</w:t>
            </w:r>
          </w:p>
        </w:tc>
        <w:tc>
          <w:tcPr>
            <w:tcW w:w="2079" w:type="dxa"/>
            <w:tcBorders>
              <w:top w:val="single" w:color="auto" w:sz="4" w:space="0"/>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810" w:type="dxa"/>
            <w:tcBorders>
              <w:top w:val="single" w:color="auto" w:sz="4" w:space="0"/>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060" w:type="dxa"/>
            <w:tcBorders>
              <w:top w:val="single" w:color="auto" w:sz="4" w:space="0"/>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596" w:type="dxa"/>
            <w:tcBorders>
              <w:top w:val="single" w:color="auto" w:sz="4" w:space="0"/>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560" w:type="dxa"/>
            <w:tcBorders>
              <w:top w:val="single" w:color="auto" w:sz="4" w:space="0"/>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575" w:type="dxa"/>
            <w:tcBorders>
              <w:top w:val="single" w:color="auto" w:sz="4" w:space="0"/>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380" w:type="dxa"/>
            <w:tcBorders>
              <w:top w:val="single" w:color="auto" w:sz="4" w:space="0"/>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461"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p>
        </w:tc>
        <w:tc>
          <w:tcPr>
            <w:tcW w:w="1584" w:type="dxa"/>
            <w:tcBorders>
              <w:top w:val="single" w:color="auto" w:sz="4" w:space="0"/>
              <w:left w:val="single" w:color="auto" w:sz="4" w:space="0"/>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p>
        </w:tc>
      </w:tr>
      <w:tr>
        <w:tblPrEx>
          <w:tblCellMar>
            <w:top w:w="0" w:type="dxa"/>
            <w:left w:w="108" w:type="dxa"/>
            <w:bottom w:w="0" w:type="dxa"/>
            <w:right w:w="108" w:type="dxa"/>
          </w:tblCellMar>
        </w:tblPrEx>
        <w:trPr>
          <w:trHeight w:val="375" w:hRule="atLeast"/>
          <w:jc w:val="center"/>
        </w:trPr>
        <w:tc>
          <w:tcPr>
            <w:tcW w:w="1027" w:type="dxa"/>
            <w:tcBorders>
              <w:top w:val="single" w:color="auto" w:sz="4" w:space="0"/>
              <w:left w:val="single" w:color="auto" w:sz="4" w:space="0"/>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2</w:t>
            </w:r>
          </w:p>
        </w:tc>
        <w:tc>
          <w:tcPr>
            <w:tcW w:w="2079" w:type="dxa"/>
            <w:tcBorders>
              <w:top w:val="single" w:color="auto" w:sz="4" w:space="0"/>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810" w:type="dxa"/>
            <w:tcBorders>
              <w:top w:val="nil"/>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060" w:type="dxa"/>
            <w:tcBorders>
              <w:top w:val="nil"/>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596" w:type="dxa"/>
            <w:tcBorders>
              <w:top w:val="nil"/>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560" w:type="dxa"/>
            <w:tcBorders>
              <w:top w:val="nil"/>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575" w:type="dxa"/>
            <w:tcBorders>
              <w:top w:val="nil"/>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380" w:type="dxa"/>
            <w:tcBorders>
              <w:top w:val="nil"/>
              <w:left w:val="nil"/>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461"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p>
        </w:tc>
        <w:tc>
          <w:tcPr>
            <w:tcW w:w="1584" w:type="dxa"/>
            <w:tcBorders>
              <w:top w:val="single" w:color="auto" w:sz="4" w:space="0"/>
              <w:left w:val="single" w:color="auto" w:sz="4" w:space="0"/>
              <w:bottom w:val="single" w:color="auto" w:sz="4" w:space="0"/>
              <w:right w:val="single" w:color="auto" w:sz="4" w:space="0"/>
            </w:tcBorders>
            <w:vAlign w:val="bottom"/>
          </w:tcPr>
          <w:p>
            <w:pPr>
              <w:adjustRightInd w:val="0"/>
              <w:snapToGrid w:val="0"/>
              <w:spacing w:line="276" w:lineRule="auto"/>
              <w:rPr>
                <w:rFonts w:hint="eastAsia" w:ascii="仿宋_GB2312" w:hAnsi="仿宋_GB2312" w:eastAsia="仿宋_GB2312" w:cs="仿宋_GB2312"/>
                <w:color w:val="auto"/>
                <w:kern w:val="0"/>
                <w:sz w:val="20"/>
                <w:szCs w:val="20"/>
              </w:rPr>
            </w:pPr>
          </w:p>
        </w:tc>
      </w:tr>
      <w:tr>
        <w:tblPrEx>
          <w:tblCellMar>
            <w:top w:w="0" w:type="dxa"/>
            <w:left w:w="108" w:type="dxa"/>
            <w:bottom w:w="0" w:type="dxa"/>
            <w:right w:w="108" w:type="dxa"/>
          </w:tblCellMar>
        </w:tblPrEx>
        <w:trPr>
          <w:trHeight w:val="375" w:hRule="atLeast"/>
          <w:jc w:val="center"/>
        </w:trPr>
        <w:tc>
          <w:tcPr>
            <w:tcW w:w="6572"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累计</w:t>
            </w:r>
          </w:p>
        </w:tc>
        <w:tc>
          <w:tcPr>
            <w:tcW w:w="1560" w:type="dxa"/>
            <w:tcBorders>
              <w:top w:val="nil"/>
              <w:left w:val="nil"/>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575" w:type="dxa"/>
            <w:tcBorders>
              <w:top w:val="nil"/>
              <w:left w:val="nil"/>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380" w:type="dxa"/>
            <w:tcBorders>
              <w:top w:val="nil"/>
              <w:left w:val="nil"/>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461" w:type="dxa"/>
            <w:tcBorders>
              <w:top w:val="single" w:color="auto" w:sz="4" w:space="0"/>
              <w:left w:val="nil"/>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5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r>
    </w:tbl>
    <w:p>
      <w:pPr>
        <w:ind w:firstLine="536"/>
        <w:jc w:val="center"/>
        <w:rPr>
          <w:rFonts w:ascii="黑体" w:hAnsi="黑体" w:eastAsia="黑体"/>
          <w:color w:val="auto"/>
          <w:sz w:val="28"/>
          <w:szCs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ind w:firstLine="0"/>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材料费预算明细表</w:t>
      </w:r>
    </w:p>
    <w:p>
      <w:pPr>
        <w:autoSpaceDE w:val="0"/>
        <w:autoSpaceDN w:val="0"/>
        <w:spacing w:line="300" w:lineRule="auto"/>
        <w:ind w:firstLine="200" w:firstLineChars="100"/>
        <w:rPr>
          <w:rFonts w:hint="default" w:ascii="Times New Roman" w:hAnsi="Times New Roman" w:cs="Times New Roman"/>
          <w:b w:val="0"/>
          <w:bCs w:val="0"/>
          <w:color w:val="auto"/>
          <w:sz w:val="20"/>
        </w:rPr>
      </w:pPr>
      <w:r>
        <w:rPr>
          <w:rFonts w:hint="default" w:ascii="Times New Roman" w:hAnsi="Times New Roman" w:eastAsia="黑体" w:cs="Times New Roman"/>
          <w:b w:val="0"/>
          <w:bCs w:val="0"/>
          <w:color w:val="auto"/>
          <w:sz w:val="20"/>
        </w:rPr>
        <w:t xml:space="preserve">表B6 </w:t>
      </w:r>
      <w:r>
        <w:rPr>
          <w:rFonts w:hint="default" w:ascii="Times New Roman" w:hAnsi="Times New Roman" w:cs="Times New Roman"/>
          <w:b w:val="0"/>
          <w:bCs w:val="0"/>
          <w:color w:val="auto"/>
          <w:sz w:val="20"/>
        </w:rPr>
        <w:t xml:space="preserve">    </w:t>
      </w:r>
      <w:r>
        <w:rPr>
          <w:rFonts w:hint="default" w:ascii="Times New Roman" w:hAnsi="Times New Roman" w:cs="Times New Roman"/>
          <w:b w:val="0"/>
          <w:bCs w:val="0"/>
          <w:color w:val="auto"/>
          <w:sz w:val="20"/>
        </w:rPr>
        <w:tab/>
      </w:r>
      <w:r>
        <w:rPr>
          <w:rFonts w:hint="default" w:ascii="Times New Roman" w:hAnsi="Times New Roman" w:cs="Times New Roman"/>
          <w:b w:val="0"/>
          <w:bCs w:val="0"/>
          <w:color w:val="auto"/>
          <w:sz w:val="20"/>
        </w:rPr>
        <w:tab/>
      </w:r>
      <w:r>
        <w:rPr>
          <w:rFonts w:hint="default" w:ascii="Times New Roman" w:hAnsi="Times New Roman" w:cs="Times New Roman"/>
          <w:b w:val="0"/>
          <w:bCs w:val="0"/>
          <w:color w:val="auto"/>
          <w:sz w:val="20"/>
        </w:rPr>
        <w:t xml:space="preserve">                                                        </w:t>
      </w:r>
      <w:r>
        <w:rPr>
          <w:rFonts w:hint="default" w:ascii="Times New Roman" w:hAnsi="Times New Roman" w:cs="Times New Roman"/>
          <w:b w:val="0"/>
          <w:bCs w:val="0"/>
          <w:color w:val="auto"/>
          <w:sz w:val="20"/>
        </w:rPr>
        <w:tab/>
      </w:r>
      <w:r>
        <w:rPr>
          <w:rFonts w:hint="default" w:ascii="Times New Roman" w:hAnsi="Times New Roman" w:cs="Times New Roman"/>
          <w:b w:val="0"/>
          <w:bCs w:val="0"/>
          <w:color w:val="auto"/>
          <w:sz w:val="20"/>
        </w:rPr>
        <w:t xml:space="preserve"> </w:t>
      </w:r>
      <w:r>
        <w:rPr>
          <w:rFonts w:hint="default" w:ascii="Times New Roman" w:hAnsi="Times New Roman" w:cs="Times New Roman"/>
          <w:b w:val="0"/>
          <w:bCs w:val="0"/>
          <w:color w:val="auto"/>
          <w:sz w:val="20"/>
        </w:rPr>
        <w:tab/>
      </w:r>
      <w:r>
        <w:rPr>
          <w:rFonts w:hint="default" w:ascii="Times New Roman" w:hAnsi="Times New Roman" w:cs="Times New Roman"/>
          <w:b w:val="0"/>
          <w:bCs w:val="0"/>
          <w:color w:val="auto"/>
          <w:sz w:val="20"/>
        </w:rPr>
        <w:t xml:space="preserve"> 　　                               金额单位：万元</w:t>
      </w:r>
    </w:p>
    <w:tbl>
      <w:tblPr>
        <w:tblStyle w:val="12"/>
        <w:tblW w:w="13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3294"/>
        <w:gridCol w:w="1556"/>
        <w:gridCol w:w="1753"/>
        <w:gridCol w:w="1415"/>
        <w:gridCol w:w="1326"/>
        <w:gridCol w:w="1513"/>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1" w:type="dxa"/>
            <w:gridSpan w:val="8"/>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eastAsia="楷体_GB2312"/>
                <w:color w:val="auto"/>
                <w:sz w:val="20"/>
                <w:szCs w:val="20"/>
              </w:rPr>
            </w:pPr>
            <w:r>
              <w:rPr>
                <w:rFonts w:hint="eastAsia" w:eastAsia="楷体_GB2312"/>
                <w:color w:val="auto"/>
                <w:sz w:val="20"/>
                <w:szCs w:val="20"/>
              </w:rPr>
              <w:t>填表说明：1.大宗及贵重材料，即执行过程中消耗数量较多或单位价格较高、总费用在10万元及以上的材料，须填写明细。</w:t>
            </w:r>
          </w:p>
          <w:p>
            <w:pPr>
              <w:keepNext w:val="0"/>
              <w:keepLines w:val="0"/>
              <w:pageBreakBefore w:val="0"/>
              <w:widowControl w:val="0"/>
              <w:kinsoku/>
              <w:wordWrap/>
              <w:overflowPunct/>
              <w:topLinePunct w:val="0"/>
              <w:autoSpaceDE/>
              <w:autoSpaceDN/>
              <w:bidi w:val="0"/>
              <w:adjustRightInd w:val="0"/>
              <w:snapToGrid w:val="0"/>
              <w:spacing w:line="240" w:lineRule="auto"/>
              <w:ind w:firstLine="1000" w:firstLineChars="500"/>
              <w:textAlignment w:val="auto"/>
              <w:rPr>
                <w:rFonts w:ascii="宋体" w:hAnsi="宋体"/>
                <w:color w:val="auto"/>
                <w:sz w:val="20"/>
                <w:szCs w:val="20"/>
              </w:rPr>
            </w:pPr>
            <w:r>
              <w:rPr>
                <w:rFonts w:hint="eastAsia" w:eastAsia="楷体_GB2312"/>
                <w:color w:val="auto"/>
                <w:sz w:val="20"/>
                <w:szCs w:val="20"/>
              </w:rPr>
              <w:t>2.资金来源：省级财政专项资金、</w:t>
            </w:r>
            <w:r>
              <w:rPr>
                <w:rFonts w:hint="eastAsia" w:eastAsia="楷体_GB2312" w:asciiTheme="minorHAnsi" w:hAnsiTheme="minorHAnsi" w:cstheme="minorBidi"/>
                <w:color w:val="auto"/>
                <w:sz w:val="20"/>
                <w:szCs w:val="20"/>
              </w:rPr>
              <w:t>其他渠道资金</w:t>
            </w:r>
            <w:r>
              <w:rPr>
                <w:rFonts w:hint="eastAsia" w:eastAsia="楷体_GB2312"/>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序号</w:t>
            </w:r>
          </w:p>
        </w:tc>
        <w:tc>
          <w:tcPr>
            <w:tcW w:w="3294" w:type="dxa"/>
            <w:vAlign w:val="center"/>
          </w:tcPr>
          <w:p>
            <w:pPr>
              <w:keepNext w:val="0"/>
              <w:keepLines w:val="0"/>
              <w:pageBreakBefore w:val="0"/>
              <w:widowControl w:val="0"/>
              <w:kinsoku/>
              <w:wordWrap/>
              <w:overflowPunct/>
              <w:topLinePunct w:val="0"/>
              <w:autoSpaceDE/>
              <w:autoSpaceDN/>
              <w:bidi w:val="0"/>
              <w:snapToGrid w:val="0"/>
              <w:spacing w:line="240" w:lineRule="auto"/>
              <w:ind w:firstLine="377"/>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材料名称</w:t>
            </w:r>
          </w:p>
        </w:tc>
        <w:tc>
          <w:tcPr>
            <w:tcW w:w="1556"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计量单位</w:t>
            </w:r>
          </w:p>
        </w:tc>
        <w:tc>
          <w:tcPr>
            <w:tcW w:w="1753"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单价</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（元/单位数量）</w:t>
            </w:r>
          </w:p>
        </w:tc>
        <w:tc>
          <w:tcPr>
            <w:tcW w:w="1415"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购置数量</w:t>
            </w:r>
          </w:p>
        </w:tc>
        <w:tc>
          <w:tcPr>
            <w:tcW w:w="1326"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金额</w:t>
            </w:r>
          </w:p>
        </w:tc>
        <w:tc>
          <w:tcPr>
            <w:tcW w:w="1513"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资金来源</w:t>
            </w:r>
          </w:p>
        </w:tc>
        <w:tc>
          <w:tcPr>
            <w:tcW w:w="161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kern w:val="0"/>
                <w:sz w:val="20"/>
                <w:szCs w:val="20"/>
              </w:rPr>
              <w:t>是否为推广示范任务资金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firstLine="377"/>
              <w:jc w:val="center"/>
              <w:textAlignment w:val="auto"/>
              <w:rPr>
                <w:rFonts w:hint="eastAsia" w:ascii="黑体" w:hAnsi="黑体" w:eastAsia="黑体" w:cs="黑体"/>
                <w:b w:val="0"/>
                <w:bCs w:val="0"/>
                <w:color w:val="auto"/>
                <w:sz w:val="20"/>
                <w:szCs w:val="20"/>
              </w:rPr>
            </w:pPr>
          </w:p>
        </w:tc>
        <w:tc>
          <w:tcPr>
            <w:tcW w:w="3294"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（1）</w:t>
            </w:r>
          </w:p>
        </w:tc>
        <w:tc>
          <w:tcPr>
            <w:tcW w:w="1556"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（2）</w:t>
            </w:r>
          </w:p>
        </w:tc>
        <w:tc>
          <w:tcPr>
            <w:tcW w:w="1753"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（3）</w:t>
            </w:r>
          </w:p>
        </w:tc>
        <w:tc>
          <w:tcPr>
            <w:tcW w:w="1415"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（4）</w:t>
            </w:r>
          </w:p>
        </w:tc>
        <w:tc>
          <w:tcPr>
            <w:tcW w:w="1326"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（5）</w:t>
            </w:r>
          </w:p>
        </w:tc>
        <w:tc>
          <w:tcPr>
            <w:tcW w:w="1513"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（6）</w:t>
            </w:r>
          </w:p>
        </w:tc>
        <w:tc>
          <w:tcPr>
            <w:tcW w:w="161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仿宋_GB2312" w:hAnsi="仿宋_GB2312" w:eastAsia="仿宋_GB2312" w:cs="仿宋_GB2312"/>
                <w:b/>
                <w:bCs/>
                <w:color w:val="auto"/>
                <w:sz w:val="20"/>
                <w:szCs w:val="20"/>
              </w:rPr>
            </w:pPr>
            <w:r>
              <w:rPr>
                <w:rFonts w:hint="eastAsia" w:ascii="仿宋_GB2312" w:hAnsi="仿宋_GB2312" w:eastAsia="仿宋_GB2312" w:cs="仿宋_GB2312"/>
                <w:b/>
                <w:bCs/>
                <w:color w:val="auto"/>
                <w:sz w:val="20"/>
                <w:szCs w:val="20"/>
              </w:rPr>
              <w:t>1</w:t>
            </w:r>
          </w:p>
        </w:tc>
        <w:tc>
          <w:tcPr>
            <w:tcW w:w="3294" w:type="dxa"/>
            <w:vAlign w:val="center"/>
          </w:tcPr>
          <w:p>
            <w:pPr>
              <w:pStyle w:val="8"/>
              <w:keepNext w:val="0"/>
              <w:keepLines w:val="0"/>
              <w:pageBreakBefore w:val="0"/>
              <w:widowControl w:val="0"/>
              <w:kinsoku/>
              <w:wordWrap/>
              <w:overflowPunct/>
              <w:topLinePunct w:val="0"/>
              <w:autoSpaceDE/>
              <w:autoSpaceDN/>
              <w:bidi w:val="0"/>
              <w:snapToGrid w:val="0"/>
              <w:spacing w:line="240" w:lineRule="auto"/>
              <w:ind w:left="-80" w:leftChars="-25" w:right="-80" w:rightChars="-25" w:firstLine="376"/>
              <w:jc w:val="center"/>
              <w:textAlignment w:val="auto"/>
              <w:rPr>
                <w:rFonts w:hint="eastAsia" w:ascii="仿宋_GB2312" w:hAnsi="仿宋_GB2312" w:eastAsia="仿宋_GB2312" w:cs="仿宋_GB2312"/>
                <w:color w:val="auto"/>
                <w:sz w:val="20"/>
                <w:szCs w:val="20"/>
              </w:rPr>
            </w:pPr>
          </w:p>
        </w:tc>
        <w:tc>
          <w:tcPr>
            <w:tcW w:w="155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p>
        </w:tc>
        <w:tc>
          <w:tcPr>
            <w:tcW w:w="175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p>
        </w:tc>
        <w:tc>
          <w:tcPr>
            <w:tcW w:w="1415"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32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51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610"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仿宋_GB2312" w:hAnsi="仿宋_GB2312" w:eastAsia="仿宋_GB2312" w:cs="仿宋_GB2312"/>
                <w:b/>
                <w:bCs/>
                <w:color w:val="auto"/>
                <w:sz w:val="20"/>
                <w:szCs w:val="20"/>
              </w:rPr>
            </w:pPr>
            <w:r>
              <w:rPr>
                <w:rFonts w:hint="eastAsia" w:ascii="仿宋_GB2312" w:hAnsi="仿宋_GB2312" w:eastAsia="仿宋_GB2312" w:cs="仿宋_GB2312"/>
                <w:b/>
                <w:bCs/>
                <w:color w:val="auto"/>
                <w:sz w:val="20"/>
                <w:szCs w:val="20"/>
              </w:rPr>
              <w:t>2</w:t>
            </w:r>
          </w:p>
        </w:tc>
        <w:tc>
          <w:tcPr>
            <w:tcW w:w="3294" w:type="dxa"/>
            <w:vAlign w:val="center"/>
          </w:tcPr>
          <w:p>
            <w:pPr>
              <w:pStyle w:val="8"/>
              <w:keepNext w:val="0"/>
              <w:keepLines w:val="0"/>
              <w:pageBreakBefore w:val="0"/>
              <w:widowControl w:val="0"/>
              <w:kinsoku/>
              <w:wordWrap/>
              <w:overflowPunct/>
              <w:topLinePunct w:val="0"/>
              <w:autoSpaceDE/>
              <w:autoSpaceDN/>
              <w:bidi w:val="0"/>
              <w:snapToGrid w:val="0"/>
              <w:spacing w:line="240" w:lineRule="auto"/>
              <w:ind w:left="-80" w:leftChars="-25" w:right="-80" w:rightChars="-25" w:firstLine="376"/>
              <w:jc w:val="center"/>
              <w:textAlignment w:val="auto"/>
              <w:rPr>
                <w:rFonts w:hint="eastAsia" w:ascii="仿宋_GB2312" w:hAnsi="仿宋_GB2312" w:eastAsia="仿宋_GB2312" w:cs="仿宋_GB2312"/>
                <w:color w:val="auto"/>
                <w:sz w:val="20"/>
                <w:szCs w:val="20"/>
              </w:rPr>
            </w:pPr>
          </w:p>
        </w:tc>
        <w:tc>
          <w:tcPr>
            <w:tcW w:w="155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p>
        </w:tc>
        <w:tc>
          <w:tcPr>
            <w:tcW w:w="175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p>
        </w:tc>
        <w:tc>
          <w:tcPr>
            <w:tcW w:w="1415"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32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51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610"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仿宋_GB2312" w:hAnsi="仿宋_GB2312" w:eastAsia="仿宋_GB2312" w:cs="仿宋_GB2312"/>
                <w:b/>
                <w:bCs/>
                <w:color w:val="auto"/>
                <w:sz w:val="20"/>
                <w:szCs w:val="20"/>
              </w:rPr>
            </w:pPr>
            <w:r>
              <w:rPr>
                <w:rFonts w:hint="eastAsia" w:ascii="仿宋_GB2312" w:hAnsi="仿宋_GB2312" w:eastAsia="仿宋_GB2312" w:cs="仿宋_GB2312"/>
                <w:b/>
                <w:bCs/>
                <w:color w:val="auto"/>
                <w:sz w:val="20"/>
                <w:szCs w:val="20"/>
              </w:rPr>
              <w:t>3</w:t>
            </w:r>
          </w:p>
        </w:tc>
        <w:tc>
          <w:tcPr>
            <w:tcW w:w="3294"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p>
        </w:tc>
        <w:tc>
          <w:tcPr>
            <w:tcW w:w="155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p>
        </w:tc>
        <w:tc>
          <w:tcPr>
            <w:tcW w:w="175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p>
        </w:tc>
        <w:tc>
          <w:tcPr>
            <w:tcW w:w="1415"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32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51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610"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仿宋_GB2312" w:hAnsi="仿宋_GB2312" w:eastAsia="仿宋_GB2312" w:cs="仿宋_GB2312"/>
                <w:b/>
                <w:bCs/>
                <w:color w:val="auto"/>
                <w:sz w:val="20"/>
                <w:szCs w:val="20"/>
              </w:rPr>
            </w:pPr>
            <w:r>
              <w:rPr>
                <w:rFonts w:hint="eastAsia" w:ascii="仿宋_GB2312" w:hAnsi="仿宋_GB2312" w:eastAsia="仿宋_GB2312" w:cs="仿宋_GB2312"/>
                <w:b/>
                <w:bCs/>
                <w:color w:val="auto"/>
                <w:sz w:val="20"/>
                <w:szCs w:val="20"/>
              </w:rPr>
              <w:t>4</w:t>
            </w:r>
          </w:p>
        </w:tc>
        <w:tc>
          <w:tcPr>
            <w:tcW w:w="3294"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p>
        </w:tc>
        <w:tc>
          <w:tcPr>
            <w:tcW w:w="155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p>
        </w:tc>
        <w:tc>
          <w:tcPr>
            <w:tcW w:w="175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p>
        </w:tc>
        <w:tc>
          <w:tcPr>
            <w:tcW w:w="1415"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32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51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610"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仿宋_GB2312" w:hAnsi="仿宋_GB2312" w:eastAsia="仿宋_GB2312" w:cs="仿宋_GB2312"/>
                <w:b/>
                <w:bCs/>
                <w:color w:val="auto"/>
                <w:sz w:val="20"/>
                <w:szCs w:val="20"/>
              </w:rPr>
            </w:pPr>
            <w:r>
              <w:rPr>
                <w:rFonts w:hint="eastAsia" w:ascii="仿宋_GB2312" w:hAnsi="仿宋_GB2312" w:eastAsia="仿宋_GB2312" w:cs="仿宋_GB2312"/>
                <w:b/>
                <w:bCs/>
                <w:color w:val="auto"/>
                <w:sz w:val="20"/>
                <w:szCs w:val="20"/>
              </w:rPr>
              <w:t>5</w:t>
            </w:r>
          </w:p>
        </w:tc>
        <w:tc>
          <w:tcPr>
            <w:tcW w:w="3294"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p>
        </w:tc>
        <w:tc>
          <w:tcPr>
            <w:tcW w:w="155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p>
        </w:tc>
        <w:tc>
          <w:tcPr>
            <w:tcW w:w="175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p>
        </w:tc>
        <w:tc>
          <w:tcPr>
            <w:tcW w:w="1415"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32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51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610"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38" w:type="dxa"/>
            <w:gridSpan w:val="2"/>
            <w:vAlign w:val="center"/>
          </w:tcPr>
          <w:p>
            <w:pPr>
              <w:keepNext w:val="0"/>
              <w:keepLines w:val="0"/>
              <w:pageBreakBefore w:val="0"/>
              <w:widowControl w:val="0"/>
              <w:kinsoku/>
              <w:wordWrap/>
              <w:overflowPunct/>
              <w:topLinePunct w:val="0"/>
              <w:autoSpaceDE/>
              <w:autoSpaceDN/>
              <w:bidi w:val="0"/>
              <w:snapToGrid w:val="0"/>
              <w:spacing w:line="240" w:lineRule="auto"/>
              <w:ind w:firstLine="377"/>
              <w:jc w:val="center"/>
              <w:textAlignment w:val="auto"/>
              <w:rPr>
                <w:rFonts w:hint="eastAsia" w:ascii="仿宋_GB2312" w:hAnsi="仿宋_GB2312" w:eastAsia="仿宋_GB2312" w:cs="仿宋_GB2312"/>
                <w:b/>
                <w:bCs/>
                <w:color w:val="auto"/>
                <w:sz w:val="20"/>
                <w:szCs w:val="20"/>
              </w:rPr>
            </w:pPr>
            <w:r>
              <w:rPr>
                <w:rFonts w:hint="eastAsia" w:ascii="仿宋_GB2312" w:hAnsi="仿宋_GB2312" w:eastAsia="仿宋_GB2312" w:cs="仿宋_GB2312"/>
                <w:b/>
                <w:bCs/>
                <w:color w:val="auto"/>
                <w:sz w:val="20"/>
                <w:szCs w:val="20"/>
              </w:rPr>
              <w:t>大宗及贵重材料小计</w:t>
            </w:r>
          </w:p>
        </w:tc>
        <w:tc>
          <w:tcPr>
            <w:tcW w:w="155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175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1415"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r>
              <w:rPr>
                <w:rFonts w:hint="eastAsia" w:ascii="宋体" w:hAnsi="宋体"/>
                <w:color w:val="auto"/>
                <w:sz w:val="20"/>
                <w:szCs w:val="20"/>
              </w:rPr>
              <w:t>/</w:t>
            </w:r>
          </w:p>
        </w:tc>
        <w:tc>
          <w:tcPr>
            <w:tcW w:w="132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51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r>
              <w:rPr>
                <w:rFonts w:ascii="宋体" w:hAnsi="宋体"/>
                <w:color w:val="auto"/>
                <w:kern w:val="0"/>
                <w:sz w:val="20"/>
                <w:szCs w:val="20"/>
              </w:rPr>
              <w:t>／</w:t>
            </w:r>
          </w:p>
        </w:tc>
        <w:tc>
          <w:tcPr>
            <w:tcW w:w="1610"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r>
              <w:rPr>
                <w:rFonts w:hint="eastAsia" w:ascii="宋体" w:hAnsi="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38" w:type="dxa"/>
            <w:gridSpan w:val="2"/>
            <w:vAlign w:val="center"/>
          </w:tcPr>
          <w:p>
            <w:pPr>
              <w:keepNext w:val="0"/>
              <w:keepLines w:val="0"/>
              <w:pageBreakBefore w:val="0"/>
              <w:widowControl w:val="0"/>
              <w:kinsoku/>
              <w:wordWrap/>
              <w:overflowPunct/>
              <w:topLinePunct w:val="0"/>
              <w:autoSpaceDE/>
              <w:autoSpaceDN/>
              <w:bidi w:val="0"/>
              <w:snapToGrid w:val="0"/>
              <w:spacing w:line="240" w:lineRule="auto"/>
              <w:ind w:firstLine="377"/>
              <w:jc w:val="center"/>
              <w:textAlignment w:val="auto"/>
              <w:rPr>
                <w:rFonts w:hint="eastAsia" w:ascii="仿宋_GB2312" w:hAnsi="仿宋_GB2312" w:eastAsia="仿宋_GB2312" w:cs="仿宋_GB2312"/>
                <w:b/>
                <w:bCs/>
                <w:color w:val="auto"/>
                <w:sz w:val="20"/>
                <w:szCs w:val="20"/>
              </w:rPr>
            </w:pPr>
            <w:r>
              <w:rPr>
                <w:rFonts w:hint="eastAsia" w:ascii="仿宋_GB2312" w:hAnsi="仿宋_GB2312" w:eastAsia="仿宋_GB2312" w:cs="仿宋_GB2312"/>
                <w:b/>
                <w:bCs/>
                <w:color w:val="auto"/>
                <w:sz w:val="20"/>
                <w:szCs w:val="20"/>
              </w:rPr>
              <w:t>其他材料费</w:t>
            </w:r>
          </w:p>
        </w:tc>
        <w:tc>
          <w:tcPr>
            <w:tcW w:w="155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175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1415"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r>
              <w:rPr>
                <w:rFonts w:hint="eastAsia" w:ascii="宋体" w:hAnsi="宋体"/>
                <w:color w:val="auto"/>
                <w:sz w:val="20"/>
                <w:szCs w:val="20"/>
              </w:rPr>
              <w:t>/</w:t>
            </w:r>
          </w:p>
        </w:tc>
        <w:tc>
          <w:tcPr>
            <w:tcW w:w="132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51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r>
              <w:rPr>
                <w:rFonts w:ascii="宋体" w:hAnsi="宋体"/>
                <w:color w:val="auto"/>
                <w:kern w:val="0"/>
                <w:sz w:val="20"/>
                <w:szCs w:val="20"/>
              </w:rPr>
              <w:t>／</w:t>
            </w:r>
          </w:p>
        </w:tc>
        <w:tc>
          <w:tcPr>
            <w:tcW w:w="1610"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r>
              <w:rPr>
                <w:rFonts w:hint="eastAsia" w:ascii="宋体" w:hAnsi="宋体"/>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38" w:type="dxa"/>
            <w:gridSpan w:val="2"/>
            <w:vAlign w:val="center"/>
          </w:tcPr>
          <w:p>
            <w:pPr>
              <w:keepNext w:val="0"/>
              <w:keepLines w:val="0"/>
              <w:pageBreakBefore w:val="0"/>
              <w:widowControl w:val="0"/>
              <w:kinsoku/>
              <w:wordWrap/>
              <w:overflowPunct/>
              <w:topLinePunct w:val="0"/>
              <w:autoSpaceDE/>
              <w:autoSpaceDN/>
              <w:bidi w:val="0"/>
              <w:snapToGrid w:val="0"/>
              <w:spacing w:line="240" w:lineRule="auto"/>
              <w:ind w:firstLine="377"/>
              <w:jc w:val="center"/>
              <w:textAlignment w:val="auto"/>
              <w:rPr>
                <w:rFonts w:hint="eastAsia" w:ascii="仿宋_GB2312" w:hAnsi="仿宋_GB2312" w:eastAsia="仿宋_GB2312" w:cs="仿宋_GB2312"/>
                <w:b/>
                <w:bCs/>
                <w:color w:val="auto"/>
                <w:sz w:val="20"/>
                <w:szCs w:val="20"/>
              </w:rPr>
            </w:pPr>
            <w:r>
              <w:rPr>
                <w:rFonts w:hint="eastAsia" w:ascii="仿宋_GB2312" w:hAnsi="仿宋_GB2312" w:eastAsia="仿宋_GB2312" w:cs="仿宋_GB2312"/>
                <w:b/>
                <w:bCs/>
                <w:color w:val="auto"/>
                <w:sz w:val="20"/>
                <w:szCs w:val="20"/>
              </w:rPr>
              <w:t>累计</w:t>
            </w:r>
          </w:p>
        </w:tc>
        <w:tc>
          <w:tcPr>
            <w:tcW w:w="155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175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tc>
        <w:tc>
          <w:tcPr>
            <w:tcW w:w="1415"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r>
              <w:rPr>
                <w:rFonts w:hint="eastAsia" w:ascii="宋体" w:hAnsi="宋体"/>
                <w:color w:val="auto"/>
                <w:sz w:val="20"/>
                <w:szCs w:val="20"/>
              </w:rPr>
              <w:t>/</w:t>
            </w:r>
          </w:p>
        </w:tc>
        <w:tc>
          <w:tcPr>
            <w:tcW w:w="1326"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p>
        </w:tc>
        <w:tc>
          <w:tcPr>
            <w:tcW w:w="1513"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r>
              <w:rPr>
                <w:rFonts w:ascii="宋体" w:hAnsi="宋体"/>
                <w:color w:val="auto"/>
                <w:kern w:val="0"/>
                <w:sz w:val="20"/>
                <w:szCs w:val="20"/>
              </w:rPr>
              <w:t>／</w:t>
            </w:r>
          </w:p>
        </w:tc>
        <w:tc>
          <w:tcPr>
            <w:tcW w:w="1610" w:type="dxa"/>
            <w:vAlign w:val="center"/>
          </w:tcPr>
          <w:p>
            <w:pPr>
              <w:keepNext w:val="0"/>
              <w:keepLines w:val="0"/>
              <w:pageBreakBefore w:val="0"/>
              <w:widowControl w:val="0"/>
              <w:kinsoku/>
              <w:wordWrap/>
              <w:overflowPunct/>
              <w:topLinePunct w:val="0"/>
              <w:autoSpaceDE/>
              <w:autoSpaceDN/>
              <w:bidi w:val="0"/>
              <w:snapToGrid w:val="0"/>
              <w:spacing w:line="240" w:lineRule="auto"/>
              <w:ind w:firstLine="376"/>
              <w:jc w:val="center"/>
              <w:textAlignment w:val="auto"/>
              <w:rPr>
                <w:rFonts w:ascii="宋体" w:hAnsi="宋体"/>
                <w:color w:val="auto"/>
                <w:sz w:val="20"/>
                <w:szCs w:val="20"/>
              </w:rPr>
            </w:pPr>
            <w:r>
              <w:rPr>
                <w:rFonts w:hint="eastAsia" w:ascii="宋体" w:hAnsi="宋体"/>
                <w:color w:val="auto"/>
                <w:sz w:val="20"/>
                <w:szCs w:val="20"/>
              </w:rPr>
              <w:t>/</w:t>
            </w:r>
          </w:p>
        </w:tc>
      </w:tr>
    </w:tbl>
    <w:p>
      <w:pPr>
        <w:ind w:firstLine="616"/>
        <w:rPr>
          <w:color w:val="auto"/>
        </w:rPr>
      </w:pPr>
    </w:p>
    <w:p>
      <w:pPr>
        <w:autoSpaceDE w:val="0"/>
        <w:autoSpaceDN w:val="0"/>
        <w:jc w:val="center"/>
        <w:rPr>
          <w:rFonts w:ascii="黑体" w:hAnsi="黑体" w:eastAsia="黑体"/>
          <w:color w:val="auto"/>
          <w:sz w:val="28"/>
          <w:szCs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adjustRightInd w:val="0"/>
        <w:snapToGrid w:val="0"/>
        <w:spacing w:line="56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测试化验加工费预算明细表</w:t>
      </w:r>
    </w:p>
    <w:p>
      <w:pPr>
        <w:autoSpaceDE w:val="0"/>
        <w:autoSpaceDN w:val="0"/>
        <w:adjustRightInd w:val="0"/>
        <w:snapToGrid w:val="0"/>
        <w:spacing w:line="568" w:lineRule="exact"/>
        <w:ind w:firstLine="536"/>
        <w:jc w:val="center"/>
        <w:rPr>
          <w:rFonts w:ascii="黑体" w:hAnsi="黑体" w:eastAsia="黑体"/>
          <w:color w:val="auto"/>
          <w:sz w:val="28"/>
          <w:szCs w:val="28"/>
        </w:rPr>
      </w:pPr>
    </w:p>
    <w:p>
      <w:pPr>
        <w:autoSpaceDE w:val="0"/>
        <w:autoSpaceDN w:val="0"/>
        <w:adjustRightInd w:val="0"/>
        <w:snapToGrid w:val="0"/>
        <w:spacing w:line="568" w:lineRule="exact"/>
        <w:rPr>
          <w:rFonts w:hint="eastAsia" w:ascii="黑体" w:hAnsi="黑体" w:eastAsia="黑体" w:cs="黑体"/>
          <w:b w:val="0"/>
          <w:bCs w:val="0"/>
          <w:color w:val="auto"/>
        </w:rPr>
      </w:pPr>
      <w:r>
        <w:rPr>
          <w:rFonts w:hint="eastAsia" w:ascii="黑体" w:hAnsi="黑体" w:eastAsia="黑体" w:cs="黑体"/>
          <w:b w:val="0"/>
          <w:bCs w:val="0"/>
          <w:color w:val="auto"/>
          <w:sz w:val="20"/>
        </w:rPr>
        <w:t xml:space="preserve">表B7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金额单位：万元</w:t>
      </w:r>
    </w:p>
    <w:tbl>
      <w:tblPr>
        <w:tblStyle w:val="12"/>
        <w:tblW w:w="1379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528"/>
        <w:gridCol w:w="4198"/>
        <w:gridCol w:w="2734"/>
        <w:gridCol w:w="993"/>
        <w:gridCol w:w="1584"/>
        <w:gridCol w:w="1218"/>
        <w:gridCol w:w="1034"/>
        <w:gridCol w:w="15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975" w:hRule="atLeast"/>
          <w:jc w:val="center"/>
        </w:trPr>
        <w:tc>
          <w:tcPr>
            <w:tcW w:w="13790" w:type="dxa"/>
            <w:gridSpan w:val="8"/>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eastAsia="楷体_GB2312"/>
                <w:color w:val="auto"/>
                <w:sz w:val="20"/>
                <w:szCs w:val="20"/>
              </w:rPr>
            </w:pPr>
            <w:r>
              <w:rPr>
                <w:rFonts w:hint="eastAsia" w:eastAsia="楷体_GB2312"/>
                <w:color w:val="auto"/>
                <w:sz w:val="20"/>
                <w:szCs w:val="20"/>
              </w:rPr>
              <w:t>填表说明：1.量大及价高测试化验，是指实施过程中需测试化验加工的数量较多或单位价格较高、总费用在10万元（含）以上的测试化验加工，需填写明细。</w:t>
            </w:r>
          </w:p>
          <w:p>
            <w:pPr>
              <w:keepNext w:val="0"/>
              <w:keepLines w:val="0"/>
              <w:pageBreakBefore w:val="0"/>
              <w:widowControl w:val="0"/>
              <w:kinsoku/>
              <w:wordWrap/>
              <w:overflowPunct/>
              <w:topLinePunct w:val="0"/>
              <w:bidi w:val="0"/>
              <w:adjustRightInd w:val="0"/>
              <w:snapToGrid w:val="0"/>
              <w:spacing w:line="240" w:lineRule="auto"/>
              <w:ind w:firstLine="1000" w:firstLineChars="500"/>
              <w:jc w:val="both"/>
              <w:textAlignment w:val="auto"/>
              <w:rPr>
                <w:rFonts w:ascii="宋体" w:hAnsi="宋体"/>
                <w:color w:val="auto"/>
                <w:sz w:val="20"/>
                <w:szCs w:val="20"/>
              </w:rPr>
            </w:pPr>
            <w:r>
              <w:rPr>
                <w:rFonts w:hint="eastAsia" w:eastAsia="楷体_GB2312"/>
                <w:color w:val="auto"/>
                <w:sz w:val="20"/>
                <w:szCs w:val="20"/>
              </w:rPr>
              <w:t>2.资金来源：省级财政专项资金、</w:t>
            </w:r>
            <w:r>
              <w:rPr>
                <w:rFonts w:hint="eastAsia" w:eastAsia="楷体_GB2312" w:asciiTheme="minorHAnsi" w:hAnsiTheme="minorHAnsi" w:cstheme="minorBidi"/>
                <w:color w:val="auto"/>
                <w:sz w:val="20"/>
                <w:szCs w:val="20"/>
              </w:rPr>
              <w:t>其他渠道资金</w:t>
            </w:r>
            <w:r>
              <w:rPr>
                <w:rFonts w:hint="eastAsia" w:eastAsia="楷体_GB2312"/>
                <w:color w:val="auto"/>
                <w:sz w:val="20"/>
                <w:szCs w:val="2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833" w:hRule="atLeast"/>
          <w:jc w:val="center"/>
        </w:trPr>
        <w:tc>
          <w:tcPr>
            <w:tcW w:w="528" w:type="dxa"/>
            <w:vMerge w:val="restart"/>
            <w:tcBorders>
              <w:bottom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序号</w:t>
            </w:r>
          </w:p>
        </w:tc>
        <w:tc>
          <w:tcPr>
            <w:tcW w:w="4198" w:type="dxa"/>
            <w:tcBorders>
              <w:bottom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测试化验加工的内容</w:t>
            </w:r>
          </w:p>
        </w:tc>
        <w:tc>
          <w:tcPr>
            <w:tcW w:w="2734" w:type="dxa"/>
            <w:tcBorders>
              <w:bottom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测试化验加工单位</w:t>
            </w:r>
          </w:p>
        </w:tc>
        <w:tc>
          <w:tcPr>
            <w:tcW w:w="993" w:type="dxa"/>
            <w:tcBorders>
              <w:bottom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数量</w:t>
            </w:r>
          </w:p>
        </w:tc>
        <w:tc>
          <w:tcPr>
            <w:tcW w:w="1584" w:type="dxa"/>
            <w:tcBorders>
              <w:bottom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单价</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（元/单位数量）</w:t>
            </w:r>
          </w:p>
        </w:tc>
        <w:tc>
          <w:tcPr>
            <w:tcW w:w="1218" w:type="dxa"/>
            <w:tcBorders>
              <w:bottom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金额</w:t>
            </w:r>
          </w:p>
        </w:tc>
        <w:tc>
          <w:tcPr>
            <w:tcW w:w="1034" w:type="dxa"/>
            <w:tcBorders>
              <w:bottom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资金来源</w:t>
            </w:r>
          </w:p>
        </w:tc>
        <w:tc>
          <w:tcPr>
            <w:tcW w:w="1501" w:type="dxa"/>
            <w:tcBorders>
              <w:bottom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kern w:val="0"/>
                <w:sz w:val="20"/>
                <w:szCs w:val="20"/>
              </w:rPr>
              <w:t>是否为推广示范任务资金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p>
        </w:tc>
        <w:tc>
          <w:tcPr>
            <w:tcW w:w="419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（1）</w:t>
            </w:r>
          </w:p>
        </w:tc>
        <w:tc>
          <w:tcPr>
            <w:tcW w:w="27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（2）</w:t>
            </w:r>
          </w:p>
        </w:tc>
        <w:tc>
          <w:tcPr>
            <w:tcW w:w="99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（3）</w:t>
            </w:r>
          </w:p>
        </w:tc>
        <w:tc>
          <w:tcPr>
            <w:tcW w:w="158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（4）</w:t>
            </w:r>
          </w:p>
        </w:tc>
        <w:tc>
          <w:tcPr>
            <w:tcW w:w="121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（5）</w:t>
            </w:r>
          </w:p>
        </w:tc>
        <w:tc>
          <w:tcPr>
            <w:tcW w:w="10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（6）</w:t>
            </w:r>
          </w:p>
        </w:tc>
        <w:tc>
          <w:tcPr>
            <w:tcW w:w="15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419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27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99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58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21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c>
          <w:tcPr>
            <w:tcW w:w="10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c>
          <w:tcPr>
            <w:tcW w:w="15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w:t>
            </w:r>
          </w:p>
        </w:tc>
        <w:tc>
          <w:tcPr>
            <w:tcW w:w="419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27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99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58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21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c>
          <w:tcPr>
            <w:tcW w:w="10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c>
          <w:tcPr>
            <w:tcW w:w="15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w:t>
            </w:r>
          </w:p>
        </w:tc>
        <w:tc>
          <w:tcPr>
            <w:tcW w:w="419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27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99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58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21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c>
          <w:tcPr>
            <w:tcW w:w="10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c>
          <w:tcPr>
            <w:tcW w:w="15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52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w:t>
            </w:r>
          </w:p>
        </w:tc>
        <w:tc>
          <w:tcPr>
            <w:tcW w:w="419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27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99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58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color w:val="auto"/>
                <w:sz w:val="20"/>
                <w:szCs w:val="20"/>
              </w:rPr>
            </w:pPr>
          </w:p>
        </w:tc>
        <w:tc>
          <w:tcPr>
            <w:tcW w:w="121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c>
          <w:tcPr>
            <w:tcW w:w="10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c>
          <w:tcPr>
            <w:tcW w:w="15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10037" w:type="dxa"/>
            <w:gridSpan w:val="5"/>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r>
              <w:rPr>
                <w:rFonts w:hint="eastAsia" w:ascii="仿宋_GB2312" w:hAnsi="仿宋_GB2312" w:eastAsia="仿宋_GB2312" w:cs="仿宋_GB2312"/>
                <w:b/>
                <w:bCs/>
                <w:color w:val="auto"/>
                <w:sz w:val="20"/>
                <w:szCs w:val="20"/>
              </w:rPr>
              <w:t>量大及价高测试化验费合计</w:t>
            </w:r>
          </w:p>
        </w:tc>
        <w:tc>
          <w:tcPr>
            <w:tcW w:w="121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b/>
                <w:bCs/>
                <w:color w:val="auto"/>
                <w:sz w:val="20"/>
                <w:szCs w:val="20"/>
              </w:rPr>
            </w:pPr>
          </w:p>
        </w:tc>
        <w:tc>
          <w:tcPr>
            <w:tcW w:w="10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c>
          <w:tcPr>
            <w:tcW w:w="15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r>
              <w:rPr>
                <w:rFonts w:hint="eastAsia" w:ascii="宋体" w:hAnsi="宋体"/>
                <w:color w:val="auto"/>
                <w:sz w:val="20"/>
                <w:szCs w:val="2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10037" w:type="dxa"/>
            <w:gridSpan w:val="5"/>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r>
              <w:rPr>
                <w:rFonts w:hint="eastAsia" w:ascii="仿宋_GB2312" w:hAnsi="仿宋_GB2312" w:eastAsia="仿宋_GB2312" w:cs="仿宋_GB2312"/>
                <w:b/>
                <w:bCs/>
                <w:color w:val="auto"/>
                <w:sz w:val="20"/>
                <w:szCs w:val="20"/>
              </w:rPr>
              <w:t>其他测试化验费</w:t>
            </w:r>
            <w:r>
              <w:rPr>
                <w:rFonts w:hint="eastAsia" w:ascii="仿宋_GB2312" w:hAnsi="仿宋_GB2312" w:eastAsia="仿宋_GB2312" w:cs="仿宋_GB2312"/>
                <w:b/>
                <w:bCs/>
                <w:color w:val="auto"/>
                <w:kern w:val="0"/>
                <w:sz w:val="20"/>
                <w:szCs w:val="20"/>
              </w:rPr>
              <w:t>合计</w:t>
            </w:r>
          </w:p>
        </w:tc>
        <w:tc>
          <w:tcPr>
            <w:tcW w:w="121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b/>
                <w:bCs/>
                <w:color w:val="auto"/>
                <w:sz w:val="20"/>
                <w:szCs w:val="20"/>
              </w:rPr>
            </w:pPr>
          </w:p>
        </w:tc>
        <w:tc>
          <w:tcPr>
            <w:tcW w:w="10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c>
          <w:tcPr>
            <w:tcW w:w="15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r>
              <w:rPr>
                <w:rFonts w:hint="eastAsia" w:ascii="宋体" w:hAnsi="宋体"/>
                <w:color w:val="auto"/>
                <w:sz w:val="20"/>
                <w:szCs w:val="2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10037" w:type="dxa"/>
            <w:gridSpan w:val="5"/>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仿宋_GB2312" w:hAnsi="仿宋_GB2312" w:eastAsia="仿宋_GB2312" w:cs="仿宋_GB2312"/>
                <w:b/>
                <w:bCs/>
                <w:color w:val="auto"/>
                <w:sz w:val="20"/>
                <w:szCs w:val="20"/>
              </w:rPr>
            </w:pPr>
            <w:r>
              <w:rPr>
                <w:rFonts w:hint="eastAsia" w:ascii="仿宋_GB2312" w:hAnsi="仿宋_GB2312" w:eastAsia="仿宋_GB2312" w:cs="仿宋_GB2312"/>
                <w:b/>
                <w:bCs/>
                <w:color w:val="auto"/>
                <w:sz w:val="20"/>
                <w:szCs w:val="20"/>
              </w:rPr>
              <w:t>累计</w:t>
            </w:r>
          </w:p>
        </w:tc>
        <w:tc>
          <w:tcPr>
            <w:tcW w:w="121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b/>
                <w:bCs/>
                <w:color w:val="auto"/>
                <w:sz w:val="20"/>
                <w:szCs w:val="20"/>
              </w:rPr>
            </w:pPr>
          </w:p>
        </w:tc>
        <w:tc>
          <w:tcPr>
            <w:tcW w:w="10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p>
        </w:tc>
        <w:tc>
          <w:tcPr>
            <w:tcW w:w="15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olor w:val="auto"/>
                <w:sz w:val="20"/>
                <w:szCs w:val="20"/>
              </w:rPr>
            </w:pPr>
            <w:r>
              <w:rPr>
                <w:rFonts w:hint="eastAsia" w:ascii="宋体" w:hAnsi="宋体"/>
                <w:color w:val="auto"/>
                <w:sz w:val="20"/>
                <w:szCs w:val="20"/>
              </w:rPr>
              <w:t>/</w:t>
            </w:r>
          </w:p>
        </w:tc>
      </w:tr>
    </w:tbl>
    <w:p>
      <w:pPr>
        <w:snapToGrid w:val="0"/>
        <w:spacing w:line="360" w:lineRule="auto"/>
        <w:ind w:firstLine="536"/>
        <w:rPr>
          <w:rFonts w:eastAsia="仿宋_GB2312"/>
          <w:color w:val="auto"/>
          <w:sz w:val="28"/>
        </w:rPr>
      </w:pPr>
    </w:p>
    <w:p>
      <w:pPr>
        <w:autoSpaceDE w:val="0"/>
        <w:autoSpaceDN w:val="0"/>
        <w:ind w:firstLine="536"/>
        <w:jc w:val="center"/>
        <w:rPr>
          <w:rFonts w:eastAsia="黑体"/>
          <w:color w:val="auto"/>
          <w:sz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adjustRightInd w:val="0"/>
        <w:snapToGrid w:val="0"/>
        <w:spacing w:line="56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燃料动力费预算明细表</w:t>
      </w:r>
    </w:p>
    <w:p>
      <w:pPr>
        <w:autoSpaceDE w:val="0"/>
        <w:autoSpaceDN w:val="0"/>
        <w:adjustRightInd w:val="0"/>
        <w:snapToGrid w:val="0"/>
        <w:spacing w:line="568" w:lineRule="exact"/>
        <w:ind w:firstLine="536"/>
        <w:jc w:val="center"/>
        <w:rPr>
          <w:rFonts w:ascii="黑体" w:hAnsi="黑体" w:eastAsia="黑体"/>
          <w:color w:val="auto"/>
          <w:sz w:val="28"/>
          <w:szCs w:val="28"/>
        </w:rPr>
      </w:pPr>
    </w:p>
    <w:p>
      <w:pPr>
        <w:autoSpaceDE w:val="0"/>
        <w:autoSpaceDN w:val="0"/>
        <w:adjustRightInd w:val="0"/>
        <w:snapToGrid w:val="0"/>
        <w:spacing w:line="568" w:lineRule="exact"/>
        <w:rPr>
          <w:rFonts w:hint="eastAsia" w:ascii="黑体" w:hAnsi="黑体" w:eastAsia="黑体" w:cs="黑体"/>
          <w:b w:val="0"/>
          <w:bCs w:val="0"/>
          <w:color w:val="auto"/>
        </w:rPr>
      </w:pPr>
      <w:r>
        <w:rPr>
          <w:rFonts w:hint="eastAsia" w:ascii="黑体" w:hAnsi="黑体" w:eastAsia="黑体" w:cs="黑体"/>
          <w:b w:val="0"/>
          <w:bCs w:val="0"/>
          <w:color w:val="auto"/>
          <w:sz w:val="20"/>
        </w:rPr>
        <w:t xml:space="preserve">表B8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金额单位：万元</w:t>
      </w:r>
    </w:p>
    <w:tbl>
      <w:tblPr>
        <w:tblStyle w:val="12"/>
        <w:tblW w:w="1326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951"/>
        <w:gridCol w:w="2963"/>
        <w:gridCol w:w="1228"/>
        <w:gridCol w:w="1988"/>
        <w:gridCol w:w="1609"/>
        <w:gridCol w:w="1526"/>
        <w:gridCol w:w="1483"/>
        <w:gridCol w:w="15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833" w:hRule="atLeast"/>
          <w:jc w:val="center"/>
        </w:trPr>
        <w:tc>
          <w:tcPr>
            <w:tcW w:w="13266" w:type="dxa"/>
            <w:gridSpan w:val="8"/>
          </w:tcPr>
          <w:p>
            <w:pPr>
              <w:keepNext w:val="0"/>
              <w:keepLines w:val="0"/>
              <w:pageBreakBefore w:val="0"/>
              <w:widowControl w:val="0"/>
              <w:kinsoku/>
              <w:wordWrap/>
              <w:overflowPunct/>
              <w:topLinePunct w:val="0"/>
              <w:autoSpaceDE/>
              <w:autoSpaceDN/>
              <w:bidi w:val="0"/>
              <w:adjustRightInd w:val="0"/>
              <w:snapToGrid w:val="0"/>
              <w:spacing w:line="276" w:lineRule="auto"/>
              <w:ind w:left="1200" w:leftChars="0" w:hanging="1200" w:hangingChars="600"/>
              <w:textAlignment w:val="auto"/>
              <w:rPr>
                <w:rFonts w:eastAsia="楷体_GB2312"/>
                <w:color w:val="auto"/>
                <w:sz w:val="20"/>
                <w:szCs w:val="20"/>
              </w:rPr>
            </w:pPr>
            <w:r>
              <w:rPr>
                <w:rFonts w:hint="eastAsia" w:eastAsia="楷体_GB2312"/>
                <w:color w:val="auto"/>
                <w:sz w:val="20"/>
                <w:szCs w:val="20"/>
              </w:rPr>
              <w:t xml:space="preserve">填表说明：1.量大及价高测试化验，是指实施过程中需测试化验加工的数量较多或单位价格较高、总费用在10万元（含）以上的测试化验加工，需填写明细。 </w:t>
            </w:r>
          </w:p>
          <w:p>
            <w:pPr>
              <w:adjustRightInd w:val="0"/>
              <w:snapToGrid w:val="0"/>
              <w:spacing w:line="276" w:lineRule="auto"/>
              <w:rPr>
                <w:rFonts w:ascii="宋体" w:hAnsi="宋体"/>
                <w:color w:val="auto"/>
                <w:sz w:val="20"/>
                <w:szCs w:val="20"/>
              </w:rPr>
            </w:pPr>
            <w:r>
              <w:rPr>
                <w:rFonts w:hint="eastAsia" w:eastAsia="楷体_GB2312"/>
                <w:color w:val="auto"/>
                <w:sz w:val="20"/>
                <w:szCs w:val="20"/>
              </w:rPr>
              <w:t xml:space="preserve">    </w:t>
            </w:r>
            <w:r>
              <w:rPr>
                <w:rFonts w:hint="eastAsia" w:eastAsia="楷体_GB2312"/>
                <w:color w:val="auto"/>
                <w:sz w:val="20"/>
                <w:szCs w:val="20"/>
                <w:lang w:val="en-US" w:eastAsia="zh-CN"/>
              </w:rPr>
              <w:t xml:space="preserve"> </w:t>
            </w:r>
            <w:r>
              <w:rPr>
                <w:rFonts w:hint="eastAsia" w:eastAsia="楷体_GB2312"/>
                <w:color w:val="auto"/>
                <w:sz w:val="20"/>
                <w:szCs w:val="20"/>
              </w:rPr>
              <w:t xml:space="preserve">    </w:t>
            </w:r>
            <w:r>
              <w:rPr>
                <w:rFonts w:eastAsia="楷体_GB2312"/>
                <w:color w:val="auto"/>
                <w:sz w:val="20"/>
                <w:szCs w:val="20"/>
              </w:rPr>
              <w:t xml:space="preserve"> </w:t>
            </w:r>
            <w:r>
              <w:rPr>
                <w:rFonts w:hint="eastAsia" w:eastAsia="楷体_GB2312"/>
                <w:color w:val="auto"/>
                <w:sz w:val="20"/>
                <w:szCs w:val="20"/>
              </w:rPr>
              <w:t>2.资金来源：省级财政专项资金、</w:t>
            </w:r>
            <w:r>
              <w:rPr>
                <w:rFonts w:hint="eastAsia" w:eastAsia="楷体_GB2312" w:asciiTheme="minorHAnsi" w:hAnsiTheme="minorHAnsi" w:cstheme="minorBidi"/>
                <w:color w:val="auto"/>
                <w:sz w:val="20"/>
                <w:szCs w:val="20"/>
              </w:rPr>
              <w:t>其他渠道资金</w:t>
            </w:r>
            <w:r>
              <w:rPr>
                <w:rFonts w:hint="eastAsia" w:eastAsia="楷体_GB2312"/>
                <w:color w:val="auto"/>
                <w:sz w:val="20"/>
                <w:szCs w:val="2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703" w:hRule="atLeast"/>
          <w:jc w:val="center"/>
        </w:trPr>
        <w:tc>
          <w:tcPr>
            <w:tcW w:w="951" w:type="dxa"/>
            <w:vMerge w:val="restart"/>
            <w:tcBorders>
              <w:bottom w:val="single" w:color="auto" w:sz="6"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序号</w:t>
            </w:r>
          </w:p>
        </w:tc>
        <w:tc>
          <w:tcPr>
            <w:tcW w:w="2963" w:type="dxa"/>
            <w:tcBorders>
              <w:bottom w:val="single" w:color="auto" w:sz="6"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燃料动力名称</w:t>
            </w:r>
          </w:p>
        </w:tc>
        <w:tc>
          <w:tcPr>
            <w:tcW w:w="1228" w:type="dxa"/>
            <w:tcBorders>
              <w:bottom w:val="single" w:color="auto" w:sz="6"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计量单位</w:t>
            </w:r>
          </w:p>
        </w:tc>
        <w:tc>
          <w:tcPr>
            <w:tcW w:w="1988" w:type="dxa"/>
            <w:tcBorders>
              <w:bottom w:val="single" w:color="auto" w:sz="6"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单价</w:t>
            </w:r>
          </w:p>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（元/单位数量）</w:t>
            </w:r>
          </w:p>
        </w:tc>
        <w:tc>
          <w:tcPr>
            <w:tcW w:w="1609" w:type="dxa"/>
            <w:tcBorders>
              <w:bottom w:val="single" w:color="auto" w:sz="6"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数量</w:t>
            </w:r>
          </w:p>
        </w:tc>
        <w:tc>
          <w:tcPr>
            <w:tcW w:w="1526" w:type="dxa"/>
            <w:tcBorders>
              <w:bottom w:val="single" w:color="auto" w:sz="6"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金额</w:t>
            </w:r>
          </w:p>
        </w:tc>
        <w:tc>
          <w:tcPr>
            <w:tcW w:w="1483" w:type="dxa"/>
            <w:tcBorders>
              <w:bottom w:val="single" w:color="auto" w:sz="6"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资金来源</w:t>
            </w:r>
          </w:p>
        </w:tc>
        <w:tc>
          <w:tcPr>
            <w:tcW w:w="1518" w:type="dxa"/>
            <w:tcBorders>
              <w:bottom w:val="single" w:color="auto" w:sz="6"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kern w:val="0"/>
                <w:sz w:val="20"/>
                <w:szCs w:val="20"/>
              </w:rPr>
              <w:t>是否为推广示范任务资金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vMerge w:val="continue"/>
            <w:vAlign w:val="center"/>
          </w:tcPr>
          <w:p>
            <w:pPr>
              <w:autoSpaceDE w:val="0"/>
              <w:autoSpaceDN w:val="0"/>
              <w:adjustRightInd w:val="0"/>
              <w:snapToGrid w:val="0"/>
              <w:jc w:val="center"/>
              <w:rPr>
                <w:rFonts w:hint="eastAsia" w:ascii="黑体" w:hAnsi="黑体" w:eastAsia="黑体" w:cs="黑体"/>
                <w:b w:val="0"/>
                <w:bCs w:val="0"/>
                <w:color w:val="auto"/>
                <w:sz w:val="20"/>
                <w:szCs w:val="20"/>
              </w:rPr>
            </w:pPr>
          </w:p>
        </w:tc>
        <w:tc>
          <w:tcPr>
            <w:tcW w:w="2963" w:type="dxa"/>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（1）</w:t>
            </w:r>
          </w:p>
        </w:tc>
        <w:tc>
          <w:tcPr>
            <w:tcW w:w="1228" w:type="dxa"/>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（2）</w:t>
            </w:r>
          </w:p>
        </w:tc>
        <w:tc>
          <w:tcPr>
            <w:tcW w:w="1988" w:type="dxa"/>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（3）</w:t>
            </w:r>
          </w:p>
        </w:tc>
        <w:tc>
          <w:tcPr>
            <w:tcW w:w="1609" w:type="dxa"/>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（4）</w:t>
            </w:r>
          </w:p>
        </w:tc>
        <w:tc>
          <w:tcPr>
            <w:tcW w:w="1526" w:type="dxa"/>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（5）</w:t>
            </w:r>
          </w:p>
        </w:tc>
        <w:tc>
          <w:tcPr>
            <w:tcW w:w="1483" w:type="dxa"/>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（6）</w:t>
            </w:r>
          </w:p>
        </w:tc>
        <w:tc>
          <w:tcPr>
            <w:tcW w:w="1518" w:type="dxa"/>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2963"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228"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988"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609"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526"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483" w:type="dxa"/>
          </w:tcPr>
          <w:p>
            <w:pPr>
              <w:autoSpaceDE w:val="0"/>
              <w:autoSpaceDN w:val="0"/>
              <w:adjustRightInd w:val="0"/>
              <w:snapToGrid w:val="0"/>
              <w:jc w:val="center"/>
              <w:rPr>
                <w:rFonts w:ascii="宋体" w:hAnsi="宋体"/>
                <w:color w:val="auto"/>
                <w:sz w:val="20"/>
                <w:szCs w:val="20"/>
              </w:rPr>
            </w:pPr>
          </w:p>
        </w:tc>
        <w:tc>
          <w:tcPr>
            <w:tcW w:w="1518" w:type="dxa"/>
          </w:tcPr>
          <w:p>
            <w:pPr>
              <w:autoSpaceDE w:val="0"/>
              <w:autoSpaceDN w:val="0"/>
              <w:adjustRightInd w:val="0"/>
              <w:snapToGrid w:val="0"/>
              <w:jc w:val="center"/>
              <w:rPr>
                <w:rFonts w:ascii="宋体" w:hAnsi="宋体"/>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w:t>
            </w:r>
          </w:p>
        </w:tc>
        <w:tc>
          <w:tcPr>
            <w:tcW w:w="2963"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228"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988"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609"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526"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483" w:type="dxa"/>
          </w:tcPr>
          <w:p>
            <w:pPr>
              <w:autoSpaceDE w:val="0"/>
              <w:autoSpaceDN w:val="0"/>
              <w:adjustRightInd w:val="0"/>
              <w:snapToGrid w:val="0"/>
              <w:jc w:val="center"/>
              <w:rPr>
                <w:rFonts w:ascii="宋体" w:hAnsi="宋体"/>
                <w:color w:val="auto"/>
                <w:sz w:val="20"/>
                <w:szCs w:val="20"/>
              </w:rPr>
            </w:pPr>
          </w:p>
        </w:tc>
        <w:tc>
          <w:tcPr>
            <w:tcW w:w="1518" w:type="dxa"/>
          </w:tcPr>
          <w:p>
            <w:pPr>
              <w:autoSpaceDE w:val="0"/>
              <w:autoSpaceDN w:val="0"/>
              <w:adjustRightInd w:val="0"/>
              <w:snapToGrid w:val="0"/>
              <w:jc w:val="center"/>
              <w:rPr>
                <w:rFonts w:ascii="宋体" w:hAnsi="宋体"/>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w:t>
            </w:r>
          </w:p>
        </w:tc>
        <w:tc>
          <w:tcPr>
            <w:tcW w:w="2963"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228"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988"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609"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526"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483" w:type="dxa"/>
          </w:tcPr>
          <w:p>
            <w:pPr>
              <w:autoSpaceDE w:val="0"/>
              <w:autoSpaceDN w:val="0"/>
              <w:adjustRightInd w:val="0"/>
              <w:snapToGrid w:val="0"/>
              <w:jc w:val="center"/>
              <w:rPr>
                <w:rFonts w:ascii="宋体" w:hAnsi="宋体"/>
                <w:color w:val="auto"/>
                <w:sz w:val="20"/>
                <w:szCs w:val="20"/>
              </w:rPr>
            </w:pPr>
          </w:p>
        </w:tc>
        <w:tc>
          <w:tcPr>
            <w:tcW w:w="1518" w:type="dxa"/>
          </w:tcPr>
          <w:p>
            <w:pPr>
              <w:autoSpaceDE w:val="0"/>
              <w:autoSpaceDN w:val="0"/>
              <w:adjustRightInd w:val="0"/>
              <w:snapToGrid w:val="0"/>
              <w:jc w:val="center"/>
              <w:rPr>
                <w:rFonts w:ascii="宋体" w:hAnsi="宋体"/>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951"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w:t>
            </w:r>
          </w:p>
        </w:tc>
        <w:tc>
          <w:tcPr>
            <w:tcW w:w="2963"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228"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988"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609"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526"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483" w:type="dxa"/>
          </w:tcPr>
          <w:p>
            <w:pPr>
              <w:autoSpaceDE w:val="0"/>
              <w:autoSpaceDN w:val="0"/>
              <w:adjustRightInd w:val="0"/>
              <w:snapToGrid w:val="0"/>
              <w:jc w:val="center"/>
              <w:rPr>
                <w:rFonts w:ascii="宋体" w:hAnsi="宋体"/>
                <w:color w:val="auto"/>
                <w:sz w:val="20"/>
                <w:szCs w:val="20"/>
              </w:rPr>
            </w:pPr>
          </w:p>
        </w:tc>
        <w:tc>
          <w:tcPr>
            <w:tcW w:w="1518" w:type="dxa"/>
          </w:tcPr>
          <w:p>
            <w:pPr>
              <w:autoSpaceDE w:val="0"/>
              <w:autoSpaceDN w:val="0"/>
              <w:adjustRightInd w:val="0"/>
              <w:snapToGrid w:val="0"/>
              <w:jc w:val="center"/>
              <w:rPr>
                <w:rFonts w:ascii="宋体" w:hAnsi="宋体"/>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97" w:hRule="atLeast"/>
          <w:jc w:val="center"/>
        </w:trPr>
        <w:tc>
          <w:tcPr>
            <w:tcW w:w="8739" w:type="dxa"/>
            <w:gridSpan w:val="5"/>
            <w:vAlign w:val="center"/>
          </w:tcPr>
          <w:p>
            <w:pPr>
              <w:autoSpaceDE w:val="0"/>
              <w:autoSpaceDN w:val="0"/>
              <w:adjustRightInd w:val="0"/>
              <w:snapToGrid w:val="0"/>
              <w:jc w:val="center"/>
              <w:rPr>
                <w:rFonts w:hint="eastAsia" w:ascii="仿宋_GB2312" w:hAnsi="仿宋_GB2312" w:eastAsia="仿宋_GB2312" w:cs="仿宋_GB2312"/>
                <w:b/>
                <w:bCs/>
                <w:color w:val="auto"/>
                <w:sz w:val="20"/>
                <w:szCs w:val="20"/>
              </w:rPr>
            </w:pPr>
            <w:r>
              <w:rPr>
                <w:rFonts w:hint="eastAsia" w:ascii="仿宋_GB2312" w:hAnsi="仿宋_GB2312" w:eastAsia="仿宋_GB2312" w:cs="仿宋_GB2312"/>
                <w:b/>
                <w:bCs/>
                <w:color w:val="auto"/>
                <w:sz w:val="20"/>
                <w:szCs w:val="20"/>
              </w:rPr>
              <w:t>累计</w:t>
            </w:r>
          </w:p>
        </w:tc>
        <w:tc>
          <w:tcPr>
            <w:tcW w:w="1526" w:type="dxa"/>
            <w:vAlign w:val="center"/>
          </w:tcPr>
          <w:p>
            <w:pPr>
              <w:autoSpaceDE w:val="0"/>
              <w:autoSpaceDN w:val="0"/>
              <w:adjustRightInd w:val="0"/>
              <w:snapToGrid w:val="0"/>
              <w:jc w:val="center"/>
              <w:rPr>
                <w:rFonts w:hint="eastAsia" w:ascii="仿宋_GB2312" w:hAnsi="仿宋_GB2312" w:eastAsia="仿宋_GB2312" w:cs="仿宋_GB2312"/>
                <w:b/>
                <w:bCs/>
                <w:color w:val="auto"/>
                <w:sz w:val="20"/>
                <w:szCs w:val="20"/>
              </w:rPr>
            </w:pPr>
          </w:p>
        </w:tc>
        <w:tc>
          <w:tcPr>
            <w:tcW w:w="1483" w:type="dxa"/>
          </w:tcPr>
          <w:p>
            <w:pPr>
              <w:autoSpaceDE w:val="0"/>
              <w:autoSpaceDN w:val="0"/>
              <w:adjustRightInd w:val="0"/>
              <w:snapToGrid w:val="0"/>
              <w:jc w:val="center"/>
              <w:rPr>
                <w:rFonts w:ascii="宋体" w:hAnsi="宋体"/>
                <w:color w:val="auto"/>
                <w:sz w:val="20"/>
                <w:szCs w:val="20"/>
              </w:rPr>
            </w:pPr>
            <w:r>
              <w:rPr>
                <w:rFonts w:hint="eastAsia" w:ascii="宋体" w:hAnsi="宋体"/>
                <w:color w:val="auto"/>
                <w:sz w:val="20"/>
                <w:szCs w:val="20"/>
              </w:rPr>
              <w:t>/</w:t>
            </w:r>
          </w:p>
        </w:tc>
        <w:tc>
          <w:tcPr>
            <w:tcW w:w="1518" w:type="dxa"/>
          </w:tcPr>
          <w:p>
            <w:pPr>
              <w:autoSpaceDE w:val="0"/>
              <w:autoSpaceDN w:val="0"/>
              <w:adjustRightInd w:val="0"/>
              <w:snapToGrid w:val="0"/>
              <w:jc w:val="center"/>
              <w:rPr>
                <w:rFonts w:ascii="宋体" w:hAnsi="宋体"/>
                <w:color w:val="auto"/>
                <w:sz w:val="20"/>
                <w:szCs w:val="20"/>
              </w:rPr>
            </w:pPr>
            <w:r>
              <w:rPr>
                <w:rFonts w:hint="eastAsia" w:ascii="宋体" w:hAnsi="宋体"/>
                <w:color w:val="auto"/>
                <w:sz w:val="20"/>
                <w:szCs w:val="20"/>
              </w:rPr>
              <w:t>/</w:t>
            </w:r>
          </w:p>
        </w:tc>
      </w:tr>
    </w:tbl>
    <w:p>
      <w:pPr>
        <w:autoSpaceDE w:val="0"/>
        <w:autoSpaceDN w:val="0"/>
        <w:ind w:firstLine="536"/>
        <w:jc w:val="center"/>
        <w:rPr>
          <w:rFonts w:eastAsia="黑体"/>
          <w:color w:val="auto"/>
          <w:sz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adjustRightInd w:val="0"/>
        <w:snapToGrid w:val="0"/>
        <w:spacing w:line="56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出版/文献/信息传播/知识产权事务费预算明细表</w:t>
      </w:r>
    </w:p>
    <w:p>
      <w:pPr>
        <w:autoSpaceDE w:val="0"/>
        <w:autoSpaceDN w:val="0"/>
        <w:adjustRightInd w:val="0"/>
        <w:snapToGrid w:val="0"/>
        <w:spacing w:line="568" w:lineRule="exact"/>
        <w:ind w:firstLine="536"/>
        <w:jc w:val="center"/>
        <w:rPr>
          <w:rFonts w:ascii="黑体" w:hAnsi="黑体" w:eastAsia="黑体"/>
          <w:color w:val="auto"/>
          <w:sz w:val="28"/>
          <w:szCs w:val="28"/>
        </w:rPr>
      </w:pPr>
    </w:p>
    <w:p>
      <w:pPr>
        <w:autoSpaceDE w:val="0"/>
        <w:autoSpaceDN w:val="0"/>
        <w:adjustRightInd w:val="0"/>
        <w:snapToGrid w:val="0"/>
        <w:spacing w:line="568" w:lineRule="exact"/>
        <w:rPr>
          <w:rFonts w:hint="eastAsia" w:ascii="黑体" w:hAnsi="黑体" w:eastAsia="黑体" w:cs="黑体"/>
          <w:b w:val="0"/>
          <w:bCs w:val="0"/>
          <w:color w:val="auto"/>
        </w:rPr>
      </w:pPr>
      <w:r>
        <w:rPr>
          <w:rFonts w:hint="eastAsia" w:ascii="黑体" w:hAnsi="黑体" w:eastAsia="黑体" w:cs="黑体"/>
          <w:b w:val="0"/>
          <w:bCs w:val="0"/>
          <w:color w:val="auto"/>
          <w:sz w:val="20"/>
        </w:rPr>
        <w:t xml:space="preserve">表B9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w:t>
      </w:r>
      <w:r>
        <w:rPr>
          <w:rFonts w:hint="eastAsia" w:ascii="黑体" w:hAnsi="黑体" w:eastAsia="黑体" w:cs="黑体"/>
          <w:b w:val="0"/>
          <w:bCs w:val="0"/>
          <w:color w:val="auto"/>
          <w:sz w:val="20"/>
        </w:rPr>
        <w:tab/>
      </w:r>
      <w:r>
        <w:rPr>
          <w:rFonts w:hint="eastAsia" w:ascii="黑体" w:hAnsi="黑体" w:eastAsia="黑体" w:cs="黑体"/>
          <w:b w:val="0"/>
          <w:bCs w:val="0"/>
          <w:color w:val="auto"/>
          <w:sz w:val="20"/>
        </w:rPr>
        <w:t xml:space="preserve"> 　　                                </w:t>
      </w:r>
      <w:r>
        <w:rPr>
          <w:rFonts w:hint="eastAsia" w:ascii="黑体" w:hAnsi="黑体" w:eastAsia="黑体" w:cs="黑体"/>
          <w:b w:val="0"/>
          <w:bCs w:val="0"/>
          <w:color w:val="auto"/>
          <w:sz w:val="20"/>
          <w:lang w:val="en-US" w:eastAsia="zh-CN"/>
        </w:rPr>
        <w:t xml:space="preserve">                       </w:t>
      </w:r>
      <w:r>
        <w:rPr>
          <w:rFonts w:hint="eastAsia" w:ascii="黑体" w:hAnsi="黑体" w:eastAsia="黑体" w:cs="黑体"/>
          <w:b w:val="0"/>
          <w:bCs w:val="0"/>
          <w:color w:val="auto"/>
          <w:sz w:val="20"/>
        </w:rPr>
        <w:t xml:space="preserve">  金额单位：万元</w:t>
      </w:r>
    </w:p>
    <w:tbl>
      <w:tblPr>
        <w:tblStyle w:val="12"/>
        <w:tblW w:w="13890" w:type="dxa"/>
        <w:jc w:val="center"/>
        <w:tblLayout w:type="fixed"/>
        <w:tblCellMar>
          <w:top w:w="0" w:type="dxa"/>
          <w:left w:w="108" w:type="dxa"/>
          <w:bottom w:w="0" w:type="dxa"/>
          <w:right w:w="108" w:type="dxa"/>
        </w:tblCellMar>
      </w:tblPr>
      <w:tblGrid>
        <w:gridCol w:w="778"/>
        <w:gridCol w:w="1950"/>
        <w:gridCol w:w="1060"/>
        <w:gridCol w:w="1595"/>
        <w:gridCol w:w="1575"/>
        <w:gridCol w:w="1380"/>
        <w:gridCol w:w="1265"/>
        <w:gridCol w:w="1119"/>
        <w:gridCol w:w="1584"/>
        <w:gridCol w:w="1584"/>
      </w:tblGrid>
      <w:tr>
        <w:tblPrEx>
          <w:tblCellMar>
            <w:top w:w="0" w:type="dxa"/>
            <w:left w:w="108" w:type="dxa"/>
            <w:bottom w:w="0" w:type="dxa"/>
            <w:right w:w="108" w:type="dxa"/>
          </w:tblCellMar>
        </w:tblPrEx>
        <w:trPr>
          <w:trHeight w:val="697" w:hRule="atLeast"/>
          <w:jc w:val="center"/>
        </w:trPr>
        <w:tc>
          <w:tcPr>
            <w:tcW w:w="13890" w:type="dxa"/>
            <w:gridSpan w:val="10"/>
            <w:tcBorders>
              <w:top w:val="single" w:color="auto" w:sz="4" w:space="0"/>
              <w:left w:val="single" w:color="auto" w:sz="4" w:space="0"/>
              <w:bottom w:val="single" w:color="auto" w:sz="4" w:space="0"/>
              <w:right w:val="single" w:color="auto" w:sz="4" w:space="0"/>
            </w:tcBorders>
          </w:tcPr>
          <w:p>
            <w:pPr>
              <w:adjustRightInd w:val="0"/>
              <w:snapToGrid w:val="0"/>
              <w:spacing w:line="276" w:lineRule="auto"/>
              <w:jc w:val="left"/>
              <w:rPr>
                <w:rFonts w:eastAsia="楷体_GB2312"/>
                <w:color w:val="auto"/>
                <w:sz w:val="20"/>
                <w:szCs w:val="20"/>
              </w:rPr>
            </w:pPr>
            <w:r>
              <w:rPr>
                <w:rFonts w:hint="eastAsia" w:eastAsia="楷体_GB2312"/>
                <w:color w:val="auto"/>
                <w:sz w:val="20"/>
                <w:szCs w:val="20"/>
              </w:rPr>
              <w:t>填表说明：资金来源：省级财政专项资金、</w:t>
            </w:r>
            <w:r>
              <w:rPr>
                <w:rFonts w:hint="eastAsia" w:eastAsia="楷体_GB2312" w:asciiTheme="minorHAnsi" w:hAnsiTheme="minorHAnsi" w:cstheme="minorBidi"/>
                <w:color w:val="auto"/>
                <w:sz w:val="20"/>
                <w:szCs w:val="20"/>
              </w:rPr>
              <w:t>其他渠道资金</w:t>
            </w:r>
            <w:r>
              <w:rPr>
                <w:rFonts w:hint="eastAsia" w:eastAsia="楷体_GB2312"/>
                <w:color w:val="auto"/>
                <w:sz w:val="20"/>
                <w:szCs w:val="20"/>
              </w:rPr>
              <w:t>。</w:t>
            </w:r>
          </w:p>
        </w:tc>
      </w:tr>
      <w:tr>
        <w:tblPrEx>
          <w:tblCellMar>
            <w:top w:w="0" w:type="dxa"/>
            <w:left w:w="108" w:type="dxa"/>
            <w:bottom w:w="0" w:type="dxa"/>
            <w:right w:w="108" w:type="dxa"/>
          </w:tblCellMar>
        </w:tblPrEx>
        <w:trPr>
          <w:trHeight w:val="1117" w:hRule="atLeast"/>
          <w:jc w:val="center"/>
        </w:trPr>
        <w:tc>
          <w:tcPr>
            <w:tcW w:w="77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序号</w:t>
            </w:r>
          </w:p>
        </w:tc>
        <w:tc>
          <w:tcPr>
            <w:tcW w:w="19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类别</w:t>
            </w:r>
          </w:p>
        </w:tc>
        <w:tc>
          <w:tcPr>
            <w:tcW w:w="10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名称</w:t>
            </w: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国内/国外             　</w:t>
            </w: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数量</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单价</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（元/单位）</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计量单位</w:t>
            </w:r>
          </w:p>
        </w:tc>
        <w:tc>
          <w:tcPr>
            <w:tcW w:w="11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金额</w:t>
            </w:r>
          </w:p>
        </w:tc>
        <w:tc>
          <w:tcPr>
            <w:tcW w:w="15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资金来源</w:t>
            </w:r>
          </w:p>
        </w:tc>
        <w:tc>
          <w:tcPr>
            <w:tcW w:w="15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是否为推广示范任务资金</w:t>
            </w:r>
          </w:p>
        </w:tc>
      </w:tr>
      <w:tr>
        <w:tblPrEx>
          <w:tblCellMar>
            <w:top w:w="0" w:type="dxa"/>
            <w:left w:w="108" w:type="dxa"/>
            <w:bottom w:w="0" w:type="dxa"/>
            <w:right w:w="108" w:type="dxa"/>
          </w:tblCellMar>
        </w:tblPrEx>
        <w:trPr>
          <w:trHeight w:val="457" w:hRule="atLeast"/>
          <w:jc w:val="center"/>
        </w:trPr>
        <w:tc>
          <w:tcPr>
            <w:tcW w:w="77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hint="eastAsia" w:ascii="黑体" w:hAnsi="黑体" w:eastAsia="黑体" w:cs="黑体"/>
                <w:b w:val="0"/>
                <w:bCs w:val="0"/>
                <w:color w:val="auto"/>
                <w:kern w:val="0"/>
                <w:sz w:val="20"/>
                <w:szCs w:val="20"/>
              </w:rPr>
            </w:pPr>
          </w:p>
        </w:tc>
        <w:tc>
          <w:tcPr>
            <w:tcW w:w="19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（1）</w:t>
            </w:r>
          </w:p>
        </w:tc>
        <w:tc>
          <w:tcPr>
            <w:tcW w:w="10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（2）</w:t>
            </w: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（3）</w:t>
            </w: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（4）</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（5）</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（6）</w:t>
            </w:r>
          </w:p>
        </w:tc>
        <w:tc>
          <w:tcPr>
            <w:tcW w:w="11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（7）</w:t>
            </w:r>
          </w:p>
        </w:tc>
        <w:tc>
          <w:tcPr>
            <w:tcW w:w="15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（8）</w:t>
            </w:r>
          </w:p>
        </w:tc>
        <w:tc>
          <w:tcPr>
            <w:tcW w:w="15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（9）</w:t>
            </w:r>
          </w:p>
        </w:tc>
      </w:tr>
      <w:tr>
        <w:tblPrEx>
          <w:tblCellMar>
            <w:top w:w="0" w:type="dxa"/>
            <w:left w:w="108" w:type="dxa"/>
            <w:bottom w:w="0" w:type="dxa"/>
            <w:right w:w="108" w:type="dxa"/>
          </w:tblCellMar>
        </w:tblPrEx>
        <w:trPr>
          <w:trHeight w:val="40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1</w:t>
            </w:r>
          </w:p>
        </w:tc>
        <w:tc>
          <w:tcPr>
            <w:tcW w:w="1950"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060"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595"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575"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380"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265"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p>
        </w:tc>
        <w:tc>
          <w:tcPr>
            <w:tcW w:w="1119"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color w:val="auto"/>
                <w:kern w:val="0"/>
                <w:sz w:val="20"/>
                <w:szCs w:val="20"/>
              </w:rPr>
            </w:pPr>
          </w:p>
        </w:tc>
        <w:tc>
          <w:tcPr>
            <w:tcW w:w="1584"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color w:val="auto"/>
                <w:kern w:val="0"/>
                <w:sz w:val="20"/>
                <w:szCs w:val="20"/>
              </w:rPr>
            </w:pPr>
          </w:p>
        </w:tc>
        <w:tc>
          <w:tcPr>
            <w:tcW w:w="1584"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2</w:t>
            </w:r>
          </w:p>
        </w:tc>
        <w:tc>
          <w:tcPr>
            <w:tcW w:w="1950"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060" w:type="dxa"/>
            <w:tcBorders>
              <w:top w:val="nil"/>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595" w:type="dxa"/>
            <w:tcBorders>
              <w:top w:val="nil"/>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575" w:type="dxa"/>
            <w:tcBorders>
              <w:top w:val="nil"/>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380" w:type="dxa"/>
            <w:tcBorders>
              <w:top w:val="nil"/>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　</w:t>
            </w:r>
          </w:p>
        </w:tc>
        <w:tc>
          <w:tcPr>
            <w:tcW w:w="1265" w:type="dxa"/>
            <w:tcBorders>
              <w:top w:val="nil"/>
              <w:left w:val="nil"/>
              <w:bottom w:val="single" w:color="auto" w:sz="4" w:space="0"/>
              <w:right w:val="single" w:color="auto" w:sz="4" w:space="0"/>
            </w:tcBorders>
            <w:vAlign w:val="center"/>
          </w:tcPr>
          <w:p>
            <w:pPr>
              <w:adjustRightInd w:val="0"/>
              <w:snapToGrid w:val="0"/>
              <w:spacing w:line="276" w:lineRule="auto"/>
              <w:rPr>
                <w:rFonts w:hint="eastAsia" w:ascii="仿宋_GB2312" w:hAnsi="仿宋_GB2312" w:eastAsia="仿宋_GB2312" w:cs="仿宋_GB2312"/>
                <w:color w:val="auto"/>
                <w:kern w:val="0"/>
                <w:sz w:val="20"/>
                <w:szCs w:val="20"/>
              </w:rPr>
            </w:pPr>
          </w:p>
        </w:tc>
        <w:tc>
          <w:tcPr>
            <w:tcW w:w="1119" w:type="dxa"/>
            <w:tcBorders>
              <w:top w:val="nil"/>
              <w:left w:val="nil"/>
              <w:bottom w:val="single" w:color="auto" w:sz="4" w:space="0"/>
              <w:right w:val="single" w:color="auto" w:sz="4" w:space="0"/>
            </w:tcBorders>
            <w:vAlign w:val="center"/>
          </w:tcPr>
          <w:p>
            <w:pPr>
              <w:adjustRightInd w:val="0"/>
              <w:snapToGrid w:val="0"/>
              <w:spacing w:line="276" w:lineRule="auto"/>
              <w:rPr>
                <w:color w:val="auto"/>
                <w:kern w:val="0"/>
                <w:sz w:val="20"/>
                <w:szCs w:val="20"/>
              </w:rPr>
            </w:pPr>
          </w:p>
        </w:tc>
        <w:tc>
          <w:tcPr>
            <w:tcW w:w="1584" w:type="dxa"/>
            <w:tcBorders>
              <w:top w:val="nil"/>
              <w:left w:val="nil"/>
              <w:bottom w:val="single" w:color="auto" w:sz="4" w:space="0"/>
              <w:right w:val="single" w:color="auto" w:sz="4" w:space="0"/>
            </w:tcBorders>
            <w:vAlign w:val="center"/>
          </w:tcPr>
          <w:p>
            <w:pPr>
              <w:adjustRightInd w:val="0"/>
              <w:snapToGrid w:val="0"/>
              <w:spacing w:line="276" w:lineRule="auto"/>
              <w:rPr>
                <w:color w:val="auto"/>
                <w:kern w:val="0"/>
                <w:sz w:val="20"/>
                <w:szCs w:val="20"/>
              </w:rPr>
            </w:pPr>
          </w:p>
        </w:tc>
        <w:tc>
          <w:tcPr>
            <w:tcW w:w="1584" w:type="dxa"/>
            <w:tcBorders>
              <w:top w:val="nil"/>
              <w:left w:val="nil"/>
              <w:bottom w:val="single" w:color="auto" w:sz="4" w:space="0"/>
              <w:right w:val="single" w:color="auto" w:sz="4" w:space="0"/>
            </w:tcBorders>
            <w:vAlign w:val="center"/>
          </w:tcPr>
          <w:p>
            <w:pPr>
              <w:adjustRightInd w:val="0"/>
              <w:snapToGrid w:val="0"/>
              <w:spacing w:line="276" w:lineRule="auto"/>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9603"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b/>
                <w:bCs/>
                <w:color w:val="auto"/>
                <w:kern w:val="0"/>
                <w:sz w:val="20"/>
                <w:szCs w:val="20"/>
              </w:rPr>
              <w:t>累计</w:t>
            </w:r>
          </w:p>
        </w:tc>
        <w:tc>
          <w:tcPr>
            <w:tcW w:w="1119" w:type="dxa"/>
            <w:tcBorders>
              <w:top w:val="nil"/>
              <w:left w:val="nil"/>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84" w:type="dxa"/>
            <w:tcBorders>
              <w:top w:val="nil"/>
              <w:left w:val="nil"/>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584" w:type="dxa"/>
            <w:tcBorders>
              <w:top w:val="nil"/>
              <w:left w:val="nil"/>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r>
    </w:tbl>
    <w:p>
      <w:pPr>
        <w:autoSpaceDE w:val="0"/>
        <w:autoSpaceDN w:val="0"/>
        <w:ind w:firstLine="536"/>
        <w:jc w:val="center"/>
        <w:rPr>
          <w:rFonts w:eastAsia="黑体"/>
          <w:color w:val="auto"/>
          <w:sz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adjustRightInd w:val="0"/>
        <w:snapToGrid w:val="0"/>
        <w:spacing w:line="56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会议/差旅/国际合作交流费-会议费预算明细表</w:t>
      </w:r>
    </w:p>
    <w:p>
      <w:pPr>
        <w:autoSpaceDE w:val="0"/>
        <w:autoSpaceDN w:val="0"/>
        <w:adjustRightInd w:val="0"/>
        <w:snapToGrid w:val="0"/>
        <w:spacing w:line="568" w:lineRule="exact"/>
        <w:ind w:firstLine="536"/>
        <w:jc w:val="center"/>
        <w:rPr>
          <w:rFonts w:ascii="黑体" w:hAnsi="黑体" w:eastAsia="黑体"/>
          <w:color w:val="auto"/>
          <w:sz w:val="28"/>
          <w:szCs w:val="28"/>
        </w:rPr>
      </w:pPr>
    </w:p>
    <w:p>
      <w:pPr>
        <w:autoSpaceDE w:val="0"/>
        <w:autoSpaceDN w:val="0"/>
        <w:adjustRightInd w:val="0"/>
        <w:snapToGrid w:val="0"/>
        <w:spacing w:line="568" w:lineRule="exact"/>
        <w:rPr>
          <w:rFonts w:hint="default" w:ascii="Times New Roman" w:hAnsi="Times New Roman" w:cs="Times New Roman"/>
          <w:b w:val="0"/>
          <w:bCs w:val="0"/>
          <w:color w:val="auto"/>
        </w:rPr>
      </w:pPr>
      <w:r>
        <w:rPr>
          <w:rFonts w:hint="default" w:ascii="Times New Roman" w:hAnsi="Times New Roman" w:eastAsia="黑体" w:cs="Times New Roman"/>
          <w:b w:val="0"/>
          <w:bCs w:val="0"/>
          <w:color w:val="auto"/>
          <w:sz w:val="20"/>
        </w:rPr>
        <w:t>表B10</w:t>
      </w:r>
      <w:r>
        <w:rPr>
          <w:rFonts w:hint="default" w:ascii="Times New Roman" w:hAnsi="Times New Roman" w:cs="Times New Roman"/>
          <w:b w:val="0"/>
          <w:bCs w:val="0"/>
          <w:color w:val="auto"/>
          <w:sz w:val="20"/>
        </w:rPr>
        <w:t xml:space="preserve">    </w:t>
      </w:r>
      <w:r>
        <w:rPr>
          <w:rFonts w:hint="default" w:ascii="Times New Roman" w:hAnsi="Times New Roman" w:cs="Times New Roman"/>
          <w:b w:val="0"/>
          <w:bCs w:val="0"/>
          <w:color w:val="auto"/>
          <w:sz w:val="20"/>
        </w:rPr>
        <w:tab/>
      </w:r>
      <w:r>
        <w:rPr>
          <w:rFonts w:hint="default" w:ascii="Times New Roman" w:hAnsi="Times New Roman" w:cs="Times New Roman"/>
          <w:b w:val="0"/>
          <w:bCs w:val="0"/>
          <w:color w:val="auto"/>
          <w:sz w:val="20"/>
        </w:rPr>
        <w:tab/>
      </w:r>
      <w:r>
        <w:rPr>
          <w:rFonts w:hint="default" w:ascii="Times New Roman" w:hAnsi="Times New Roman" w:cs="Times New Roman"/>
          <w:b w:val="0"/>
          <w:bCs w:val="0"/>
          <w:color w:val="auto"/>
          <w:sz w:val="20"/>
        </w:rPr>
        <w:t xml:space="preserve">                                            </w:t>
      </w:r>
      <w:r>
        <w:rPr>
          <w:rFonts w:hint="default" w:ascii="Times New Roman" w:hAnsi="Times New Roman" w:cs="Times New Roman"/>
          <w:b w:val="0"/>
          <w:bCs w:val="0"/>
          <w:color w:val="auto"/>
          <w:sz w:val="20"/>
        </w:rPr>
        <w:tab/>
      </w:r>
      <w:r>
        <w:rPr>
          <w:rFonts w:hint="default" w:ascii="Times New Roman" w:hAnsi="Times New Roman" w:cs="Times New Roman"/>
          <w:b w:val="0"/>
          <w:bCs w:val="0"/>
          <w:color w:val="auto"/>
          <w:sz w:val="20"/>
        </w:rPr>
        <w:t xml:space="preserve"> </w:t>
      </w:r>
      <w:r>
        <w:rPr>
          <w:rFonts w:hint="default" w:ascii="Times New Roman" w:hAnsi="Times New Roman" w:cs="Times New Roman"/>
          <w:b w:val="0"/>
          <w:bCs w:val="0"/>
          <w:color w:val="auto"/>
          <w:sz w:val="20"/>
        </w:rPr>
        <w:tab/>
      </w:r>
      <w:r>
        <w:rPr>
          <w:rFonts w:hint="default" w:ascii="Times New Roman" w:hAnsi="Times New Roman" w:cs="Times New Roman"/>
          <w:b w:val="0"/>
          <w:bCs w:val="0"/>
          <w:color w:val="auto"/>
          <w:sz w:val="20"/>
        </w:rPr>
        <w:t xml:space="preserve"> 　　                           </w:t>
      </w:r>
      <w:r>
        <w:rPr>
          <w:rFonts w:hint="eastAsia" w:ascii="Times New Roman" w:hAnsi="Times New Roman" w:cs="Times New Roman"/>
          <w:b w:val="0"/>
          <w:bCs w:val="0"/>
          <w:color w:val="auto"/>
          <w:sz w:val="20"/>
          <w:lang w:val="en-US" w:eastAsia="zh-CN"/>
        </w:rPr>
        <w:t xml:space="preserve">         </w:t>
      </w:r>
      <w:r>
        <w:rPr>
          <w:rFonts w:hint="default" w:ascii="Times New Roman" w:hAnsi="Times New Roman" w:cs="Times New Roman"/>
          <w:b w:val="0"/>
          <w:bCs w:val="0"/>
          <w:color w:val="auto"/>
          <w:sz w:val="20"/>
        </w:rPr>
        <w:t xml:space="preserve">    金额单位：万元</w:t>
      </w:r>
    </w:p>
    <w:tbl>
      <w:tblPr>
        <w:tblStyle w:val="12"/>
        <w:tblW w:w="13671" w:type="dxa"/>
        <w:jc w:val="center"/>
        <w:tblLayout w:type="fixed"/>
        <w:tblCellMar>
          <w:top w:w="0" w:type="dxa"/>
          <w:left w:w="108" w:type="dxa"/>
          <w:bottom w:w="0" w:type="dxa"/>
          <w:right w:w="108" w:type="dxa"/>
        </w:tblCellMar>
      </w:tblPr>
      <w:tblGrid>
        <w:gridCol w:w="778"/>
        <w:gridCol w:w="1436"/>
        <w:gridCol w:w="1595"/>
        <w:gridCol w:w="1560"/>
        <w:gridCol w:w="1575"/>
        <w:gridCol w:w="1380"/>
        <w:gridCol w:w="1264"/>
        <w:gridCol w:w="1111"/>
        <w:gridCol w:w="1387"/>
        <w:gridCol w:w="1585"/>
      </w:tblGrid>
      <w:tr>
        <w:tblPrEx>
          <w:tblCellMar>
            <w:top w:w="0" w:type="dxa"/>
            <w:left w:w="108" w:type="dxa"/>
            <w:bottom w:w="0" w:type="dxa"/>
            <w:right w:w="108" w:type="dxa"/>
          </w:tblCellMar>
        </w:tblPrEx>
        <w:trPr>
          <w:trHeight w:val="697" w:hRule="atLeast"/>
          <w:jc w:val="center"/>
        </w:trPr>
        <w:tc>
          <w:tcPr>
            <w:tcW w:w="13671" w:type="dxa"/>
            <w:gridSpan w:val="10"/>
            <w:tcBorders>
              <w:top w:val="single" w:color="auto" w:sz="4" w:space="0"/>
              <w:left w:val="single" w:color="auto" w:sz="4" w:space="0"/>
              <w:bottom w:val="single" w:color="auto" w:sz="4" w:space="0"/>
              <w:right w:val="single" w:color="auto" w:sz="4" w:space="0"/>
            </w:tcBorders>
          </w:tcPr>
          <w:p>
            <w:pPr>
              <w:adjustRightInd w:val="0"/>
              <w:snapToGrid w:val="0"/>
              <w:spacing w:line="276" w:lineRule="auto"/>
              <w:rPr>
                <w:rFonts w:eastAsia="楷体_GB2312"/>
                <w:color w:val="auto"/>
                <w:sz w:val="20"/>
                <w:szCs w:val="20"/>
              </w:rPr>
            </w:pPr>
            <w:r>
              <w:rPr>
                <w:rFonts w:hint="eastAsia" w:eastAsia="楷体_GB2312"/>
                <w:color w:val="auto"/>
                <w:sz w:val="20"/>
                <w:szCs w:val="20"/>
              </w:rPr>
              <w:t>填表说明：资金来源：省级财政专项资金、</w:t>
            </w:r>
            <w:r>
              <w:rPr>
                <w:rFonts w:hint="eastAsia" w:eastAsia="楷体_GB2312" w:asciiTheme="minorHAnsi" w:hAnsiTheme="minorHAnsi" w:cstheme="minorBidi"/>
                <w:color w:val="auto"/>
                <w:sz w:val="20"/>
                <w:szCs w:val="20"/>
              </w:rPr>
              <w:t>其他渠道资金</w:t>
            </w:r>
            <w:r>
              <w:rPr>
                <w:rFonts w:hint="eastAsia" w:eastAsia="楷体_GB2312"/>
                <w:color w:val="auto"/>
                <w:sz w:val="20"/>
                <w:szCs w:val="20"/>
              </w:rPr>
              <w:t>。</w:t>
            </w:r>
          </w:p>
        </w:tc>
      </w:tr>
      <w:tr>
        <w:tblPrEx>
          <w:tblCellMar>
            <w:top w:w="0" w:type="dxa"/>
            <w:left w:w="108" w:type="dxa"/>
            <w:bottom w:w="0" w:type="dxa"/>
            <w:right w:w="108" w:type="dxa"/>
          </w:tblCellMar>
        </w:tblPrEx>
        <w:trPr>
          <w:trHeight w:val="1117" w:hRule="atLeast"/>
          <w:jc w:val="center"/>
        </w:trPr>
        <w:tc>
          <w:tcPr>
            <w:tcW w:w="77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序号</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会议名称</w:t>
            </w: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召开地点            　</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人均标准</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（元/人天）</w:t>
            </w: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人数</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（次）</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会期</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（天/次）</w:t>
            </w: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次数</w:t>
            </w:r>
          </w:p>
        </w:tc>
        <w:tc>
          <w:tcPr>
            <w:tcW w:w="11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金额</w:t>
            </w: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资金来源</w:t>
            </w:r>
          </w:p>
        </w:tc>
        <w:tc>
          <w:tcPr>
            <w:tcW w:w="15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是否为推广示范任务资金</w:t>
            </w:r>
          </w:p>
        </w:tc>
      </w:tr>
      <w:tr>
        <w:tblPrEx>
          <w:tblCellMar>
            <w:top w:w="0" w:type="dxa"/>
            <w:left w:w="108" w:type="dxa"/>
            <w:bottom w:w="0" w:type="dxa"/>
            <w:right w:w="108" w:type="dxa"/>
          </w:tblCellMar>
        </w:tblPrEx>
        <w:trPr>
          <w:trHeight w:val="457" w:hRule="atLeast"/>
          <w:jc w:val="center"/>
        </w:trPr>
        <w:tc>
          <w:tcPr>
            <w:tcW w:w="77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hint="eastAsia" w:ascii="黑体" w:hAnsi="黑体" w:eastAsia="黑体" w:cs="黑体"/>
                <w:b w:val="0"/>
                <w:bCs w:val="0"/>
                <w:color w:val="auto"/>
                <w:kern w:val="0"/>
                <w:sz w:val="20"/>
                <w:szCs w:val="20"/>
              </w:rPr>
            </w:pP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（1）</w:t>
            </w: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（2）</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（3）</w:t>
            </w: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（4）</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（5）</w:t>
            </w: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（6）</w:t>
            </w:r>
          </w:p>
        </w:tc>
        <w:tc>
          <w:tcPr>
            <w:tcW w:w="11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（7）</w:t>
            </w: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（8）</w:t>
            </w:r>
          </w:p>
        </w:tc>
        <w:tc>
          <w:tcPr>
            <w:tcW w:w="15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（9）</w:t>
            </w:r>
          </w:p>
        </w:tc>
      </w:tr>
      <w:tr>
        <w:tblPrEx>
          <w:tblCellMar>
            <w:top w:w="0" w:type="dxa"/>
            <w:left w:w="108" w:type="dxa"/>
            <w:bottom w:w="0" w:type="dxa"/>
            <w:right w:w="108" w:type="dxa"/>
          </w:tblCellMar>
        </w:tblPrEx>
        <w:trPr>
          <w:trHeight w:val="40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1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2</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1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3</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1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4</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1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5</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1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403" w:hRule="atLeast"/>
          <w:jc w:val="center"/>
        </w:trPr>
        <w:tc>
          <w:tcPr>
            <w:tcW w:w="536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b/>
                <w:bCs/>
                <w:color w:val="auto"/>
                <w:kern w:val="0"/>
                <w:sz w:val="20"/>
                <w:szCs w:val="20"/>
              </w:rPr>
            </w:pPr>
            <w:r>
              <w:rPr>
                <w:rFonts w:hint="eastAsia" w:ascii="仿宋_GB2312" w:hAnsi="仿宋_GB2312" w:eastAsia="仿宋_GB2312" w:cs="仿宋_GB2312"/>
                <w:b/>
                <w:bCs/>
                <w:color w:val="auto"/>
                <w:kern w:val="0"/>
                <w:sz w:val="20"/>
                <w:szCs w:val="20"/>
              </w:rPr>
              <w:t>累计</w:t>
            </w: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1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5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r>
    </w:tbl>
    <w:p>
      <w:pPr>
        <w:autoSpaceDE w:val="0"/>
        <w:autoSpaceDN w:val="0"/>
        <w:ind w:firstLine="536"/>
        <w:jc w:val="center"/>
        <w:rPr>
          <w:rFonts w:eastAsia="黑体"/>
          <w:color w:val="auto"/>
          <w:sz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adjustRightInd w:val="0"/>
        <w:snapToGrid w:val="0"/>
        <w:spacing w:line="56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会议/差旅/国际合作交流费-差旅费预算明细表</w:t>
      </w:r>
    </w:p>
    <w:p>
      <w:pPr>
        <w:autoSpaceDE w:val="0"/>
        <w:autoSpaceDN w:val="0"/>
        <w:adjustRightInd w:val="0"/>
        <w:snapToGrid w:val="0"/>
        <w:spacing w:line="568" w:lineRule="exact"/>
        <w:ind w:firstLine="536"/>
        <w:jc w:val="center"/>
        <w:rPr>
          <w:rFonts w:ascii="黑体" w:hAnsi="黑体" w:eastAsia="黑体"/>
          <w:color w:val="auto"/>
          <w:sz w:val="28"/>
          <w:szCs w:val="28"/>
        </w:rPr>
      </w:pPr>
    </w:p>
    <w:p>
      <w:pPr>
        <w:autoSpaceDE w:val="0"/>
        <w:autoSpaceDN w:val="0"/>
        <w:adjustRightInd w:val="0"/>
        <w:snapToGrid w:val="0"/>
        <w:spacing w:line="568" w:lineRule="exact"/>
        <w:rPr>
          <w:b w:val="0"/>
          <w:bCs w:val="0"/>
          <w:color w:val="auto"/>
        </w:rPr>
      </w:pPr>
      <w:r>
        <w:rPr>
          <w:rFonts w:hint="eastAsia" w:ascii="黑体" w:hAnsi="黑体" w:eastAsia="黑体" w:cs="黑体"/>
          <w:b w:val="0"/>
          <w:bCs w:val="0"/>
          <w:color w:val="auto"/>
          <w:sz w:val="20"/>
        </w:rPr>
        <w:t>表B11</w:t>
      </w:r>
      <w:r>
        <w:rPr>
          <w:rFonts w:hint="eastAsia"/>
          <w:b w:val="0"/>
          <w:bCs w:val="0"/>
          <w:color w:val="auto"/>
          <w:sz w:val="20"/>
        </w:rPr>
        <w:t xml:space="preserve">     </w:t>
      </w:r>
      <w:r>
        <w:rPr>
          <w:rFonts w:hint="eastAsia"/>
          <w:b w:val="0"/>
          <w:bCs w:val="0"/>
          <w:color w:val="auto"/>
          <w:sz w:val="20"/>
        </w:rPr>
        <w:tab/>
      </w:r>
      <w:r>
        <w:rPr>
          <w:rFonts w:hint="eastAsia"/>
          <w:b w:val="0"/>
          <w:bCs w:val="0"/>
          <w:color w:val="auto"/>
          <w:sz w:val="20"/>
        </w:rPr>
        <w:tab/>
      </w:r>
      <w:r>
        <w:rPr>
          <w:rFonts w:hint="eastAsia"/>
          <w:b w:val="0"/>
          <w:bCs w:val="0"/>
          <w:color w:val="auto"/>
          <w:sz w:val="20"/>
        </w:rPr>
        <w:t xml:space="preserve"> </w:t>
      </w:r>
      <w:r>
        <w:rPr>
          <w:b w:val="0"/>
          <w:bCs w:val="0"/>
          <w:color w:val="auto"/>
          <w:sz w:val="20"/>
        </w:rPr>
        <w:t xml:space="preserve">                                                     </w:t>
      </w:r>
      <w:r>
        <w:rPr>
          <w:b w:val="0"/>
          <w:bCs w:val="0"/>
          <w:color w:val="auto"/>
          <w:sz w:val="20"/>
        </w:rPr>
        <w:tab/>
      </w:r>
      <w:r>
        <w:rPr>
          <w:b w:val="0"/>
          <w:bCs w:val="0"/>
          <w:color w:val="auto"/>
          <w:sz w:val="20"/>
        </w:rPr>
        <w:t xml:space="preserve"> </w:t>
      </w:r>
      <w:r>
        <w:rPr>
          <w:b w:val="0"/>
          <w:bCs w:val="0"/>
          <w:color w:val="auto"/>
          <w:sz w:val="20"/>
        </w:rPr>
        <w:tab/>
      </w:r>
      <w:r>
        <w:rPr>
          <w:b w:val="0"/>
          <w:bCs w:val="0"/>
          <w:color w:val="auto"/>
          <w:sz w:val="20"/>
        </w:rPr>
        <w:t xml:space="preserve"> </w:t>
      </w:r>
      <w:r>
        <w:rPr>
          <w:rFonts w:hint="eastAsia"/>
          <w:b w:val="0"/>
          <w:bCs w:val="0"/>
          <w:color w:val="auto"/>
          <w:sz w:val="20"/>
        </w:rPr>
        <w:t>　　                               金额单位：万元</w:t>
      </w:r>
    </w:p>
    <w:tbl>
      <w:tblPr>
        <w:tblStyle w:val="12"/>
        <w:tblW w:w="13900" w:type="dxa"/>
        <w:jc w:val="center"/>
        <w:tblLayout w:type="fixed"/>
        <w:tblCellMar>
          <w:top w:w="0" w:type="dxa"/>
          <w:left w:w="108" w:type="dxa"/>
          <w:bottom w:w="0" w:type="dxa"/>
          <w:right w:w="108" w:type="dxa"/>
        </w:tblCellMar>
      </w:tblPr>
      <w:tblGrid>
        <w:gridCol w:w="544"/>
        <w:gridCol w:w="1268"/>
        <w:gridCol w:w="1146"/>
        <w:gridCol w:w="1290"/>
        <w:gridCol w:w="6"/>
        <w:gridCol w:w="1185"/>
        <w:gridCol w:w="6"/>
        <w:gridCol w:w="1714"/>
        <w:gridCol w:w="6"/>
        <w:gridCol w:w="921"/>
        <w:gridCol w:w="6"/>
        <w:gridCol w:w="1055"/>
        <w:gridCol w:w="6"/>
        <w:gridCol w:w="1150"/>
        <w:gridCol w:w="6"/>
        <w:gridCol w:w="970"/>
        <w:gridCol w:w="1300"/>
        <w:gridCol w:w="6"/>
        <w:gridCol w:w="1315"/>
      </w:tblGrid>
      <w:tr>
        <w:tblPrEx>
          <w:tblCellMar>
            <w:top w:w="0" w:type="dxa"/>
            <w:left w:w="108" w:type="dxa"/>
            <w:bottom w:w="0" w:type="dxa"/>
            <w:right w:w="108" w:type="dxa"/>
          </w:tblCellMar>
        </w:tblPrEx>
        <w:trPr>
          <w:trHeight w:val="839" w:hRule="atLeast"/>
          <w:jc w:val="center"/>
        </w:trPr>
        <w:tc>
          <w:tcPr>
            <w:tcW w:w="13900" w:type="dxa"/>
            <w:gridSpan w:val="19"/>
            <w:tcBorders>
              <w:top w:val="single" w:color="auto" w:sz="4" w:space="0"/>
              <w:left w:val="single" w:color="auto" w:sz="4" w:space="0"/>
              <w:bottom w:val="single" w:color="auto" w:sz="4" w:space="0"/>
              <w:right w:val="single" w:color="auto" w:sz="4" w:space="0"/>
            </w:tcBorders>
          </w:tcPr>
          <w:p>
            <w:pPr>
              <w:adjustRightInd w:val="0"/>
              <w:snapToGrid w:val="0"/>
              <w:spacing w:line="276" w:lineRule="auto"/>
              <w:rPr>
                <w:rFonts w:eastAsia="楷体_GB2312"/>
                <w:color w:val="auto"/>
                <w:sz w:val="20"/>
                <w:szCs w:val="20"/>
              </w:rPr>
            </w:pPr>
            <w:r>
              <w:rPr>
                <w:rFonts w:hint="eastAsia" w:eastAsia="楷体_GB2312"/>
                <w:color w:val="auto"/>
                <w:sz w:val="20"/>
                <w:szCs w:val="20"/>
              </w:rPr>
              <w:t>填表说明：资金来源：省级财政专项资金、</w:t>
            </w:r>
            <w:r>
              <w:rPr>
                <w:rFonts w:hint="eastAsia" w:eastAsia="楷体_GB2312" w:asciiTheme="minorHAnsi" w:hAnsiTheme="minorHAnsi" w:cstheme="minorBidi"/>
                <w:color w:val="auto"/>
                <w:sz w:val="20"/>
                <w:szCs w:val="20"/>
              </w:rPr>
              <w:t>其他渠道资金</w:t>
            </w:r>
            <w:r>
              <w:rPr>
                <w:rFonts w:hint="eastAsia" w:eastAsia="楷体_GB2312"/>
                <w:color w:val="auto"/>
                <w:sz w:val="20"/>
                <w:szCs w:val="20"/>
              </w:rPr>
              <w:t>。</w:t>
            </w:r>
          </w:p>
        </w:tc>
      </w:tr>
      <w:tr>
        <w:tblPrEx>
          <w:tblCellMar>
            <w:top w:w="0" w:type="dxa"/>
            <w:left w:w="108" w:type="dxa"/>
            <w:bottom w:w="0" w:type="dxa"/>
            <w:right w:w="108" w:type="dxa"/>
          </w:tblCellMar>
        </w:tblPrEx>
        <w:trPr>
          <w:trHeight w:val="1117" w:hRule="atLeast"/>
          <w:jc w:val="center"/>
        </w:trPr>
        <w:tc>
          <w:tcPr>
            <w:tcW w:w="54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序号</w:t>
            </w:r>
          </w:p>
        </w:tc>
        <w:tc>
          <w:tcPr>
            <w:tcW w:w="12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出差</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目的</w:t>
            </w:r>
          </w:p>
        </w:tc>
        <w:tc>
          <w:tcPr>
            <w:tcW w:w="11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出差</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地点            　</w:t>
            </w: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往返交通费</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（元/人天）</w:t>
            </w:r>
          </w:p>
        </w:tc>
        <w:tc>
          <w:tcPr>
            <w:tcW w:w="119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住宿费</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（元/人天）</w:t>
            </w:r>
          </w:p>
        </w:tc>
        <w:tc>
          <w:tcPr>
            <w:tcW w:w="172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伙食、工杂费补助</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（元/人天）</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人数/次</w:t>
            </w:r>
          </w:p>
        </w:tc>
        <w:tc>
          <w:tcPr>
            <w:tcW w:w="106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天数/次</w:t>
            </w:r>
          </w:p>
        </w:tc>
        <w:tc>
          <w:tcPr>
            <w:tcW w:w="115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次数/次</w:t>
            </w:r>
          </w:p>
        </w:tc>
        <w:tc>
          <w:tcPr>
            <w:tcW w:w="97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金额</w:t>
            </w:r>
          </w:p>
        </w:tc>
        <w:tc>
          <w:tcPr>
            <w:tcW w:w="13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资金来源</w:t>
            </w:r>
          </w:p>
        </w:tc>
        <w:tc>
          <w:tcPr>
            <w:tcW w:w="132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是否为推广示范任务资金</w:t>
            </w:r>
          </w:p>
        </w:tc>
      </w:tr>
      <w:tr>
        <w:tblPrEx>
          <w:tblCellMar>
            <w:top w:w="0" w:type="dxa"/>
            <w:left w:w="108" w:type="dxa"/>
            <w:bottom w:w="0" w:type="dxa"/>
            <w:right w:w="108" w:type="dxa"/>
          </w:tblCellMar>
        </w:tblPrEx>
        <w:trPr>
          <w:trHeight w:val="457" w:hRule="atLeast"/>
          <w:jc w:val="center"/>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hint="eastAsia" w:ascii="黑体" w:hAnsi="黑体" w:eastAsia="黑体" w:cs="黑体"/>
                <w:b w:val="0"/>
                <w:bCs w:val="0"/>
                <w:color w:val="auto"/>
                <w:kern w:val="0"/>
                <w:sz w:val="20"/>
                <w:szCs w:val="20"/>
              </w:rPr>
            </w:pPr>
          </w:p>
        </w:tc>
        <w:tc>
          <w:tcPr>
            <w:tcW w:w="12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（1）</w:t>
            </w:r>
          </w:p>
        </w:tc>
        <w:tc>
          <w:tcPr>
            <w:tcW w:w="11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（2）</w:t>
            </w: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（3）</w:t>
            </w:r>
          </w:p>
        </w:tc>
        <w:tc>
          <w:tcPr>
            <w:tcW w:w="119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（4）</w:t>
            </w:r>
          </w:p>
        </w:tc>
        <w:tc>
          <w:tcPr>
            <w:tcW w:w="172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（5）</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（6）</w:t>
            </w:r>
          </w:p>
        </w:tc>
        <w:tc>
          <w:tcPr>
            <w:tcW w:w="106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（7）</w:t>
            </w:r>
          </w:p>
        </w:tc>
        <w:tc>
          <w:tcPr>
            <w:tcW w:w="115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（8）</w:t>
            </w:r>
          </w:p>
        </w:tc>
        <w:tc>
          <w:tcPr>
            <w:tcW w:w="97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（9）</w:t>
            </w:r>
          </w:p>
        </w:tc>
        <w:tc>
          <w:tcPr>
            <w:tcW w:w="13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（10）</w:t>
            </w:r>
          </w:p>
        </w:tc>
        <w:tc>
          <w:tcPr>
            <w:tcW w:w="132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（11）</w:t>
            </w:r>
          </w:p>
        </w:tc>
      </w:tr>
      <w:tr>
        <w:tblPrEx>
          <w:tblCellMar>
            <w:top w:w="0" w:type="dxa"/>
            <w:left w:w="108" w:type="dxa"/>
            <w:bottom w:w="0" w:type="dxa"/>
            <w:right w:w="108" w:type="dxa"/>
          </w:tblCellMar>
        </w:tblPrEx>
        <w:trPr>
          <w:trHeight w:val="40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p>
        </w:tc>
        <w:tc>
          <w:tcPr>
            <w:tcW w:w="12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97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2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2</w:t>
            </w:r>
          </w:p>
        </w:tc>
        <w:tc>
          <w:tcPr>
            <w:tcW w:w="12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97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2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3</w:t>
            </w:r>
          </w:p>
        </w:tc>
        <w:tc>
          <w:tcPr>
            <w:tcW w:w="12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97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2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4</w:t>
            </w:r>
          </w:p>
        </w:tc>
        <w:tc>
          <w:tcPr>
            <w:tcW w:w="12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97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2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5</w:t>
            </w:r>
          </w:p>
        </w:tc>
        <w:tc>
          <w:tcPr>
            <w:tcW w:w="12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92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06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97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2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4254"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累计</w:t>
            </w:r>
          </w:p>
        </w:tc>
        <w:tc>
          <w:tcPr>
            <w:tcW w:w="119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w:t>
            </w:r>
          </w:p>
        </w:tc>
        <w:tc>
          <w:tcPr>
            <w:tcW w:w="172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06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15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9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0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3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r>
    </w:tbl>
    <w:p>
      <w:pPr>
        <w:autoSpaceDE w:val="0"/>
        <w:autoSpaceDN w:val="0"/>
        <w:ind w:firstLine="536"/>
        <w:rPr>
          <w:rFonts w:eastAsia="黑体"/>
          <w:color w:val="auto"/>
          <w:sz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adjustRightInd w:val="0"/>
        <w:snapToGrid w:val="0"/>
        <w:spacing w:line="56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会议/差旅/国际合作交流费-国际合作交流费预算明细表</w:t>
      </w:r>
    </w:p>
    <w:p>
      <w:pPr>
        <w:autoSpaceDE w:val="0"/>
        <w:autoSpaceDN w:val="0"/>
        <w:adjustRightInd w:val="0"/>
        <w:snapToGrid w:val="0"/>
        <w:spacing w:line="568" w:lineRule="exact"/>
        <w:ind w:firstLine="536"/>
        <w:jc w:val="center"/>
        <w:rPr>
          <w:rFonts w:ascii="黑体" w:hAnsi="黑体" w:eastAsia="黑体"/>
          <w:color w:val="auto"/>
          <w:sz w:val="28"/>
          <w:szCs w:val="28"/>
        </w:rPr>
      </w:pPr>
    </w:p>
    <w:p>
      <w:pPr>
        <w:autoSpaceDE w:val="0"/>
        <w:autoSpaceDN w:val="0"/>
        <w:adjustRightInd w:val="0"/>
        <w:snapToGrid w:val="0"/>
        <w:spacing w:line="568" w:lineRule="exact"/>
        <w:rPr>
          <w:b/>
          <w:bCs/>
          <w:color w:val="auto"/>
        </w:rPr>
      </w:pPr>
      <w:r>
        <w:rPr>
          <w:rFonts w:hint="eastAsia" w:ascii="黑体" w:hAnsi="黑体" w:eastAsia="黑体" w:cs="黑体"/>
          <w:b w:val="0"/>
          <w:bCs w:val="0"/>
          <w:color w:val="auto"/>
          <w:sz w:val="20"/>
        </w:rPr>
        <w:t>表B12</w:t>
      </w:r>
      <w:r>
        <w:rPr>
          <w:rFonts w:hint="eastAsia"/>
          <w:b w:val="0"/>
          <w:bCs w:val="0"/>
          <w:color w:val="auto"/>
          <w:sz w:val="20"/>
        </w:rPr>
        <w:t xml:space="preserve">  </w:t>
      </w:r>
      <w:r>
        <w:rPr>
          <w:rFonts w:hint="eastAsia"/>
          <w:b/>
          <w:bCs/>
          <w:color w:val="auto"/>
          <w:sz w:val="20"/>
        </w:rPr>
        <w:t xml:space="preserve">     </w:t>
      </w:r>
      <w:r>
        <w:rPr>
          <w:rFonts w:hint="eastAsia"/>
          <w:b/>
          <w:bCs/>
          <w:color w:val="auto"/>
          <w:sz w:val="20"/>
        </w:rPr>
        <w:tab/>
      </w:r>
      <w:r>
        <w:rPr>
          <w:rFonts w:hint="eastAsia"/>
          <w:b/>
          <w:bCs/>
          <w:color w:val="auto"/>
          <w:sz w:val="20"/>
        </w:rPr>
        <w:tab/>
      </w:r>
      <w:r>
        <w:rPr>
          <w:rFonts w:hint="eastAsia"/>
          <w:b/>
          <w:bCs/>
          <w:color w:val="auto"/>
          <w:sz w:val="20"/>
        </w:rPr>
        <w:t xml:space="preserve"> </w:t>
      </w:r>
      <w:r>
        <w:rPr>
          <w:b/>
          <w:bCs/>
          <w:color w:val="auto"/>
          <w:sz w:val="20"/>
        </w:rPr>
        <w:t xml:space="preserve">                                                       </w:t>
      </w:r>
      <w:r>
        <w:rPr>
          <w:b/>
          <w:bCs/>
          <w:color w:val="auto"/>
          <w:sz w:val="20"/>
        </w:rPr>
        <w:tab/>
      </w:r>
      <w:r>
        <w:rPr>
          <w:b/>
          <w:bCs/>
          <w:color w:val="auto"/>
          <w:sz w:val="20"/>
        </w:rPr>
        <w:t xml:space="preserve"> </w:t>
      </w:r>
      <w:r>
        <w:rPr>
          <w:b/>
          <w:bCs/>
          <w:color w:val="auto"/>
          <w:sz w:val="20"/>
        </w:rPr>
        <w:tab/>
      </w:r>
      <w:r>
        <w:rPr>
          <w:b/>
          <w:bCs/>
          <w:color w:val="auto"/>
          <w:sz w:val="20"/>
        </w:rPr>
        <w:t xml:space="preserve"> </w:t>
      </w:r>
      <w:r>
        <w:rPr>
          <w:rFonts w:hint="eastAsia"/>
          <w:b/>
          <w:bCs/>
          <w:color w:val="auto"/>
          <w:sz w:val="20"/>
        </w:rPr>
        <w:t xml:space="preserve">　　                               </w:t>
      </w:r>
      <w:r>
        <w:rPr>
          <w:rFonts w:hint="eastAsia"/>
          <w:b w:val="0"/>
          <w:bCs w:val="0"/>
          <w:color w:val="auto"/>
          <w:sz w:val="20"/>
        </w:rPr>
        <w:t>金额单位：万元</w:t>
      </w:r>
    </w:p>
    <w:tbl>
      <w:tblPr>
        <w:tblStyle w:val="12"/>
        <w:tblW w:w="13544" w:type="dxa"/>
        <w:jc w:val="center"/>
        <w:tblLayout w:type="fixed"/>
        <w:tblCellMar>
          <w:top w:w="0" w:type="dxa"/>
          <w:left w:w="108" w:type="dxa"/>
          <w:bottom w:w="0" w:type="dxa"/>
          <w:right w:w="108" w:type="dxa"/>
        </w:tblCellMar>
      </w:tblPr>
      <w:tblGrid>
        <w:gridCol w:w="778"/>
        <w:gridCol w:w="1436"/>
        <w:gridCol w:w="1595"/>
        <w:gridCol w:w="1560"/>
        <w:gridCol w:w="1271"/>
        <w:gridCol w:w="1380"/>
        <w:gridCol w:w="1264"/>
        <w:gridCol w:w="1397"/>
        <w:gridCol w:w="1387"/>
        <w:gridCol w:w="1476"/>
      </w:tblGrid>
      <w:tr>
        <w:tblPrEx>
          <w:tblCellMar>
            <w:top w:w="0" w:type="dxa"/>
            <w:left w:w="108" w:type="dxa"/>
            <w:bottom w:w="0" w:type="dxa"/>
            <w:right w:w="108" w:type="dxa"/>
          </w:tblCellMar>
        </w:tblPrEx>
        <w:trPr>
          <w:trHeight w:val="697" w:hRule="atLeast"/>
          <w:jc w:val="center"/>
        </w:trPr>
        <w:tc>
          <w:tcPr>
            <w:tcW w:w="13544" w:type="dxa"/>
            <w:gridSpan w:val="10"/>
            <w:tcBorders>
              <w:top w:val="single" w:color="auto" w:sz="4" w:space="0"/>
              <w:left w:val="single" w:color="auto" w:sz="4" w:space="0"/>
              <w:bottom w:val="single" w:color="auto" w:sz="4" w:space="0"/>
              <w:right w:val="single" w:color="auto" w:sz="4" w:space="0"/>
            </w:tcBorders>
          </w:tcPr>
          <w:p>
            <w:pPr>
              <w:adjustRightInd w:val="0"/>
              <w:snapToGrid w:val="0"/>
              <w:spacing w:line="276" w:lineRule="auto"/>
              <w:rPr>
                <w:rFonts w:eastAsia="楷体_GB2312"/>
                <w:color w:val="auto"/>
                <w:sz w:val="20"/>
                <w:szCs w:val="20"/>
              </w:rPr>
            </w:pPr>
            <w:r>
              <w:rPr>
                <w:rFonts w:hint="eastAsia" w:eastAsia="楷体_GB2312"/>
                <w:color w:val="auto"/>
                <w:sz w:val="20"/>
                <w:szCs w:val="20"/>
              </w:rPr>
              <w:t>填表说明：资金来源：省级财政专项资金、</w:t>
            </w:r>
            <w:r>
              <w:rPr>
                <w:rFonts w:hint="eastAsia" w:eastAsia="楷体_GB2312" w:asciiTheme="minorHAnsi" w:hAnsiTheme="minorHAnsi" w:cstheme="minorBidi"/>
                <w:color w:val="auto"/>
                <w:sz w:val="20"/>
                <w:szCs w:val="20"/>
              </w:rPr>
              <w:t>其他渠道资金</w:t>
            </w:r>
            <w:r>
              <w:rPr>
                <w:rFonts w:hint="eastAsia" w:eastAsia="楷体_GB2312"/>
                <w:color w:val="auto"/>
                <w:sz w:val="20"/>
                <w:szCs w:val="20"/>
              </w:rPr>
              <w:t>。</w:t>
            </w:r>
          </w:p>
        </w:tc>
      </w:tr>
      <w:tr>
        <w:tblPrEx>
          <w:tblCellMar>
            <w:top w:w="0" w:type="dxa"/>
            <w:left w:w="108" w:type="dxa"/>
            <w:bottom w:w="0" w:type="dxa"/>
            <w:right w:w="108" w:type="dxa"/>
          </w:tblCellMar>
        </w:tblPrEx>
        <w:trPr>
          <w:trHeight w:val="1117" w:hRule="atLeast"/>
          <w:jc w:val="center"/>
        </w:trPr>
        <w:tc>
          <w:tcPr>
            <w:tcW w:w="77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序号</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合作交流类型</w:t>
            </w: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国家和地区           　</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接待机构</w:t>
            </w:r>
          </w:p>
        </w:tc>
        <w:tc>
          <w:tcPr>
            <w:tcW w:w="127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人数/次</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时间</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（天/次）</w:t>
            </w: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次数</w:t>
            </w:r>
          </w:p>
        </w:tc>
        <w:tc>
          <w:tcPr>
            <w:tcW w:w="13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金额</w:t>
            </w: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资金来源</w:t>
            </w:r>
          </w:p>
        </w:tc>
        <w:tc>
          <w:tcPr>
            <w:tcW w:w="14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是否为推广示范任务资金</w:t>
            </w:r>
          </w:p>
        </w:tc>
      </w:tr>
      <w:tr>
        <w:tblPrEx>
          <w:tblCellMar>
            <w:top w:w="0" w:type="dxa"/>
            <w:left w:w="108" w:type="dxa"/>
            <w:bottom w:w="0" w:type="dxa"/>
            <w:right w:w="108" w:type="dxa"/>
          </w:tblCellMar>
        </w:tblPrEx>
        <w:trPr>
          <w:trHeight w:val="457" w:hRule="atLeast"/>
          <w:jc w:val="center"/>
        </w:trPr>
        <w:tc>
          <w:tcPr>
            <w:tcW w:w="77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hint="eastAsia" w:ascii="黑体" w:hAnsi="黑体" w:eastAsia="黑体" w:cs="黑体"/>
                <w:b w:val="0"/>
                <w:bCs w:val="0"/>
                <w:color w:val="auto"/>
                <w:kern w:val="0"/>
                <w:sz w:val="20"/>
                <w:szCs w:val="20"/>
              </w:rPr>
            </w:pP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（1）</w:t>
            </w: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（2）</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（3）</w:t>
            </w:r>
          </w:p>
        </w:tc>
        <w:tc>
          <w:tcPr>
            <w:tcW w:w="127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（4）</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（5）</w:t>
            </w: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（6）</w:t>
            </w:r>
          </w:p>
        </w:tc>
        <w:tc>
          <w:tcPr>
            <w:tcW w:w="13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（7）</w:t>
            </w: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（8）</w:t>
            </w:r>
          </w:p>
        </w:tc>
        <w:tc>
          <w:tcPr>
            <w:tcW w:w="14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（9）</w:t>
            </w:r>
          </w:p>
        </w:tc>
      </w:tr>
      <w:tr>
        <w:tblPrEx>
          <w:tblCellMar>
            <w:top w:w="0" w:type="dxa"/>
            <w:left w:w="108" w:type="dxa"/>
            <w:bottom w:w="0" w:type="dxa"/>
            <w:right w:w="108" w:type="dxa"/>
          </w:tblCellMar>
        </w:tblPrEx>
        <w:trPr>
          <w:trHeight w:val="40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7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2</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7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3</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7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4</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7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5</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27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536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b/>
                <w:bCs/>
                <w:color w:val="auto"/>
                <w:kern w:val="0"/>
                <w:sz w:val="20"/>
                <w:szCs w:val="20"/>
              </w:rPr>
            </w:pPr>
            <w:r>
              <w:rPr>
                <w:rFonts w:hint="eastAsia" w:ascii="仿宋_GB2312" w:hAnsi="仿宋_GB2312" w:eastAsia="仿宋_GB2312" w:cs="仿宋_GB2312"/>
                <w:b/>
                <w:bCs/>
                <w:color w:val="auto"/>
                <w:kern w:val="0"/>
                <w:sz w:val="20"/>
                <w:szCs w:val="20"/>
              </w:rPr>
              <w:t>累计</w:t>
            </w:r>
          </w:p>
        </w:tc>
        <w:tc>
          <w:tcPr>
            <w:tcW w:w="127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3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4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r>
    </w:tbl>
    <w:p>
      <w:pPr>
        <w:autoSpaceDE w:val="0"/>
        <w:autoSpaceDN w:val="0"/>
        <w:ind w:firstLine="536"/>
        <w:rPr>
          <w:rFonts w:eastAsia="黑体"/>
          <w:color w:val="auto"/>
          <w:sz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adjustRightInd w:val="0"/>
        <w:snapToGrid w:val="0"/>
        <w:spacing w:line="56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培训费预算明细表</w:t>
      </w:r>
    </w:p>
    <w:p>
      <w:pPr>
        <w:autoSpaceDE w:val="0"/>
        <w:autoSpaceDN w:val="0"/>
        <w:adjustRightInd w:val="0"/>
        <w:snapToGrid w:val="0"/>
        <w:spacing w:line="568" w:lineRule="exact"/>
        <w:ind w:firstLine="536"/>
        <w:jc w:val="center"/>
        <w:rPr>
          <w:rFonts w:ascii="黑体" w:hAnsi="黑体" w:eastAsia="黑体"/>
          <w:color w:val="auto"/>
          <w:sz w:val="28"/>
          <w:szCs w:val="28"/>
        </w:rPr>
      </w:pPr>
    </w:p>
    <w:p>
      <w:pPr>
        <w:autoSpaceDE w:val="0"/>
        <w:autoSpaceDN w:val="0"/>
        <w:adjustRightInd w:val="0"/>
        <w:snapToGrid w:val="0"/>
        <w:spacing w:line="568" w:lineRule="exact"/>
        <w:rPr>
          <w:b w:val="0"/>
          <w:bCs w:val="0"/>
          <w:color w:val="auto"/>
        </w:rPr>
      </w:pPr>
      <w:r>
        <w:rPr>
          <w:rFonts w:hint="eastAsia" w:ascii="黑体" w:hAnsi="黑体" w:eastAsia="黑体" w:cs="黑体"/>
          <w:b w:val="0"/>
          <w:bCs w:val="0"/>
          <w:color w:val="auto"/>
          <w:sz w:val="20"/>
        </w:rPr>
        <w:t>表B1</w:t>
      </w:r>
      <w:r>
        <w:rPr>
          <w:rFonts w:ascii="黑体" w:hAnsi="黑体" w:eastAsia="黑体" w:cs="黑体"/>
          <w:b w:val="0"/>
          <w:bCs w:val="0"/>
          <w:color w:val="auto"/>
          <w:sz w:val="20"/>
        </w:rPr>
        <w:t>3</w:t>
      </w:r>
      <w:r>
        <w:rPr>
          <w:rFonts w:hint="eastAsia"/>
          <w:b w:val="0"/>
          <w:bCs w:val="0"/>
          <w:color w:val="auto"/>
          <w:sz w:val="20"/>
        </w:rPr>
        <w:t xml:space="preserve">   </w:t>
      </w:r>
      <w:r>
        <w:rPr>
          <w:rFonts w:hint="eastAsia"/>
          <w:b w:val="0"/>
          <w:bCs w:val="0"/>
          <w:color w:val="auto"/>
          <w:sz w:val="20"/>
        </w:rPr>
        <w:tab/>
      </w:r>
      <w:r>
        <w:rPr>
          <w:rFonts w:hint="eastAsia"/>
          <w:b w:val="0"/>
          <w:bCs w:val="0"/>
          <w:color w:val="auto"/>
          <w:sz w:val="20"/>
        </w:rPr>
        <w:tab/>
      </w:r>
      <w:r>
        <w:rPr>
          <w:rFonts w:hint="eastAsia"/>
          <w:b w:val="0"/>
          <w:bCs w:val="0"/>
          <w:color w:val="auto"/>
          <w:sz w:val="20"/>
        </w:rPr>
        <w:t xml:space="preserve"> </w:t>
      </w:r>
      <w:r>
        <w:rPr>
          <w:b w:val="0"/>
          <w:bCs w:val="0"/>
          <w:color w:val="auto"/>
          <w:sz w:val="20"/>
        </w:rPr>
        <w:t xml:space="preserve">                                                        </w:t>
      </w:r>
      <w:r>
        <w:rPr>
          <w:b w:val="0"/>
          <w:bCs w:val="0"/>
          <w:color w:val="auto"/>
          <w:sz w:val="20"/>
        </w:rPr>
        <w:tab/>
      </w:r>
      <w:r>
        <w:rPr>
          <w:b w:val="0"/>
          <w:bCs w:val="0"/>
          <w:color w:val="auto"/>
          <w:sz w:val="20"/>
        </w:rPr>
        <w:t xml:space="preserve"> </w:t>
      </w:r>
      <w:r>
        <w:rPr>
          <w:b w:val="0"/>
          <w:bCs w:val="0"/>
          <w:color w:val="auto"/>
          <w:sz w:val="20"/>
        </w:rPr>
        <w:tab/>
      </w:r>
      <w:r>
        <w:rPr>
          <w:b w:val="0"/>
          <w:bCs w:val="0"/>
          <w:color w:val="auto"/>
          <w:sz w:val="20"/>
        </w:rPr>
        <w:t xml:space="preserve"> </w:t>
      </w:r>
      <w:r>
        <w:rPr>
          <w:rFonts w:hint="eastAsia"/>
          <w:b w:val="0"/>
          <w:bCs w:val="0"/>
          <w:color w:val="auto"/>
          <w:sz w:val="20"/>
        </w:rPr>
        <w:t xml:space="preserve">　　                               </w:t>
      </w:r>
      <w:r>
        <w:rPr>
          <w:b w:val="0"/>
          <w:bCs w:val="0"/>
          <w:color w:val="auto"/>
          <w:sz w:val="20"/>
        </w:rPr>
        <w:t xml:space="preserve">   </w:t>
      </w:r>
      <w:r>
        <w:rPr>
          <w:rFonts w:hint="eastAsia"/>
          <w:b w:val="0"/>
          <w:bCs w:val="0"/>
          <w:color w:val="auto"/>
          <w:sz w:val="20"/>
        </w:rPr>
        <w:t>金额单位：万元</w:t>
      </w:r>
    </w:p>
    <w:tbl>
      <w:tblPr>
        <w:tblStyle w:val="12"/>
        <w:tblW w:w="13554" w:type="dxa"/>
        <w:jc w:val="center"/>
        <w:tblLayout w:type="fixed"/>
        <w:tblCellMar>
          <w:top w:w="0" w:type="dxa"/>
          <w:left w:w="108" w:type="dxa"/>
          <w:bottom w:w="0" w:type="dxa"/>
          <w:right w:w="108" w:type="dxa"/>
        </w:tblCellMar>
      </w:tblPr>
      <w:tblGrid>
        <w:gridCol w:w="778"/>
        <w:gridCol w:w="1436"/>
        <w:gridCol w:w="1316"/>
        <w:gridCol w:w="1500"/>
        <w:gridCol w:w="1567"/>
        <w:gridCol w:w="1428"/>
        <w:gridCol w:w="1260"/>
        <w:gridCol w:w="1484"/>
        <w:gridCol w:w="1207"/>
        <w:gridCol w:w="1578"/>
      </w:tblGrid>
      <w:tr>
        <w:tblPrEx>
          <w:tblCellMar>
            <w:top w:w="0" w:type="dxa"/>
            <w:left w:w="108" w:type="dxa"/>
            <w:bottom w:w="0" w:type="dxa"/>
            <w:right w:w="108" w:type="dxa"/>
          </w:tblCellMar>
        </w:tblPrEx>
        <w:trPr>
          <w:trHeight w:val="697" w:hRule="atLeast"/>
          <w:jc w:val="center"/>
        </w:trPr>
        <w:tc>
          <w:tcPr>
            <w:tcW w:w="13554" w:type="dxa"/>
            <w:gridSpan w:val="10"/>
            <w:tcBorders>
              <w:top w:val="single" w:color="auto" w:sz="4" w:space="0"/>
              <w:left w:val="single" w:color="auto" w:sz="4" w:space="0"/>
              <w:bottom w:val="single" w:color="auto" w:sz="4" w:space="0"/>
              <w:right w:val="single" w:color="auto" w:sz="4" w:space="0"/>
            </w:tcBorders>
          </w:tcPr>
          <w:p>
            <w:pPr>
              <w:adjustRightInd w:val="0"/>
              <w:snapToGrid w:val="0"/>
              <w:spacing w:line="276" w:lineRule="auto"/>
              <w:rPr>
                <w:rFonts w:eastAsia="楷体_GB2312"/>
                <w:color w:val="auto"/>
                <w:sz w:val="20"/>
                <w:szCs w:val="20"/>
              </w:rPr>
            </w:pPr>
            <w:r>
              <w:rPr>
                <w:rFonts w:hint="eastAsia" w:eastAsia="楷体_GB2312"/>
                <w:color w:val="auto"/>
                <w:sz w:val="20"/>
                <w:szCs w:val="20"/>
              </w:rPr>
              <w:t>填表说明：资金来源：省级财政专项资金、</w:t>
            </w:r>
            <w:r>
              <w:rPr>
                <w:rFonts w:hint="eastAsia" w:eastAsia="楷体_GB2312" w:asciiTheme="minorHAnsi" w:hAnsiTheme="minorHAnsi" w:cstheme="minorBidi"/>
                <w:color w:val="auto"/>
                <w:sz w:val="20"/>
                <w:szCs w:val="20"/>
              </w:rPr>
              <w:t>其他渠道资金</w:t>
            </w:r>
            <w:r>
              <w:rPr>
                <w:rFonts w:hint="eastAsia" w:eastAsia="楷体_GB2312"/>
                <w:color w:val="auto"/>
                <w:sz w:val="20"/>
                <w:szCs w:val="20"/>
              </w:rPr>
              <w:t>。</w:t>
            </w:r>
          </w:p>
        </w:tc>
      </w:tr>
      <w:tr>
        <w:trPr>
          <w:trHeight w:val="1117" w:hRule="atLeast"/>
          <w:jc w:val="center"/>
        </w:trPr>
        <w:tc>
          <w:tcPr>
            <w:tcW w:w="77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序号</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培训名称</w:t>
            </w:r>
          </w:p>
        </w:tc>
        <w:tc>
          <w:tcPr>
            <w:tcW w:w="1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召开地点            　</w:t>
            </w: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人均标准</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（元/人天）</w:t>
            </w:r>
          </w:p>
        </w:tc>
        <w:tc>
          <w:tcPr>
            <w:tcW w:w="1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人数</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（次）</w:t>
            </w:r>
          </w:p>
        </w:tc>
        <w:tc>
          <w:tcPr>
            <w:tcW w:w="14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培训会期</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（天/次）</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次数</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金额</w:t>
            </w:r>
          </w:p>
        </w:tc>
        <w:tc>
          <w:tcPr>
            <w:tcW w:w="12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资金来源</w:t>
            </w:r>
          </w:p>
        </w:tc>
        <w:tc>
          <w:tcPr>
            <w:tcW w:w="15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是否为推广示范任务资金</w:t>
            </w:r>
          </w:p>
        </w:tc>
      </w:tr>
      <w:tr>
        <w:tblPrEx>
          <w:tblCellMar>
            <w:top w:w="0" w:type="dxa"/>
            <w:left w:w="108" w:type="dxa"/>
            <w:bottom w:w="0" w:type="dxa"/>
            <w:right w:w="108" w:type="dxa"/>
          </w:tblCellMar>
        </w:tblPrEx>
        <w:trPr>
          <w:trHeight w:val="457" w:hRule="atLeast"/>
          <w:jc w:val="center"/>
        </w:trPr>
        <w:tc>
          <w:tcPr>
            <w:tcW w:w="77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hint="eastAsia" w:ascii="黑体" w:hAnsi="黑体" w:eastAsia="黑体" w:cs="黑体"/>
                <w:b w:val="0"/>
                <w:bCs w:val="0"/>
                <w:color w:val="auto"/>
                <w:kern w:val="0"/>
                <w:sz w:val="20"/>
                <w:szCs w:val="20"/>
              </w:rPr>
            </w:pP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（1）</w:t>
            </w:r>
          </w:p>
        </w:tc>
        <w:tc>
          <w:tcPr>
            <w:tcW w:w="1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（2）</w:t>
            </w: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（3）</w:t>
            </w:r>
          </w:p>
        </w:tc>
        <w:tc>
          <w:tcPr>
            <w:tcW w:w="1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（4）</w:t>
            </w:r>
          </w:p>
        </w:tc>
        <w:tc>
          <w:tcPr>
            <w:tcW w:w="14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（5）</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（6）</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（7）</w:t>
            </w:r>
          </w:p>
        </w:tc>
        <w:tc>
          <w:tcPr>
            <w:tcW w:w="12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（8）</w:t>
            </w:r>
          </w:p>
        </w:tc>
        <w:tc>
          <w:tcPr>
            <w:tcW w:w="15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（9）</w:t>
            </w:r>
          </w:p>
        </w:tc>
      </w:tr>
      <w:tr>
        <w:tblPrEx>
          <w:tblCellMar>
            <w:top w:w="0" w:type="dxa"/>
            <w:left w:w="108" w:type="dxa"/>
            <w:bottom w:w="0" w:type="dxa"/>
            <w:right w:w="108" w:type="dxa"/>
          </w:tblCellMar>
        </w:tblPrEx>
        <w:trPr>
          <w:trHeight w:val="40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2</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3</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4</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5</w:t>
            </w:r>
          </w:p>
        </w:tc>
        <w:tc>
          <w:tcPr>
            <w:tcW w:w="1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5030"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b/>
                <w:bCs/>
                <w:color w:val="auto"/>
                <w:kern w:val="0"/>
                <w:sz w:val="20"/>
                <w:szCs w:val="20"/>
              </w:rPr>
            </w:pPr>
            <w:r>
              <w:rPr>
                <w:rFonts w:hint="eastAsia" w:ascii="仿宋_GB2312" w:hAnsi="仿宋_GB2312" w:eastAsia="仿宋_GB2312" w:cs="仿宋_GB2312"/>
                <w:b/>
                <w:bCs/>
                <w:color w:val="auto"/>
                <w:kern w:val="0"/>
                <w:sz w:val="20"/>
                <w:szCs w:val="20"/>
              </w:rPr>
              <w:t>累计</w:t>
            </w:r>
          </w:p>
        </w:tc>
        <w:tc>
          <w:tcPr>
            <w:tcW w:w="1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4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5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r>
    </w:tbl>
    <w:p>
      <w:pPr>
        <w:autoSpaceDE w:val="0"/>
        <w:autoSpaceDN w:val="0"/>
        <w:jc w:val="center"/>
        <w:rPr>
          <w:rFonts w:ascii="黑体" w:hAnsi="黑体" w:eastAsia="黑体"/>
          <w:color w:val="auto"/>
          <w:sz w:val="28"/>
          <w:szCs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adjustRightInd w:val="0"/>
        <w:snapToGrid w:val="0"/>
        <w:spacing w:line="56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劳务费预算明细表</w:t>
      </w:r>
    </w:p>
    <w:p>
      <w:pPr>
        <w:autoSpaceDE w:val="0"/>
        <w:autoSpaceDN w:val="0"/>
        <w:adjustRightInd w:val="0"/>
        <w:snapToGrid w:val="0"/>
        <w:spacing w:line="568" w:lineRule="exact"/>
        <w:ind w:firstLine="536"/>
        <w:jc w:val="center"/>
        <w:rPr>
          <w:rFonts w:ascii="黑体" w:hAnsi="黑体" w:eastAsia="黑体"/>
          <w:color w:val="auto"/>
          <w:sz w:val="28"/>
          <w:szCs w:val="28"/>
        </w:rPr>
      </w:pPr>
    </w:p>
    <w:p>
      <w:pPr>
        <w:autoSpaceDE w:val="0"/>
        <w:autoSpaceDN w:val="0"/>
        <w:adjustRightInd w:val="0"/>
        <w:snapToGrid w:val="0"/>
        <w:spacing w:line="568" w:lineRule="exact"/>
        <w:rPr>
          <w:b w:val="0"/>
          <w:bCs w:val="0"/>
          <w:color w:val="auto"/>
        </w:rPr>
      </w:pPr>
      <w:r>
        <w:rPr>
          <w:rFonts w:hint="eastAsia" w:ascii="黑体" w:hAnsi="黑体" w:eastAsia="黑体" w:cs="黑体"/>
          <w:b w:val="0"/>
          <w:bCs w:val="0"/>
          <w:color w:val="auto"/>
          <w:sz w:val="20"/>
        </w:rPr>
        <w:t>表B1</w:t>
      </w:r>
      <w:r>
        <w:rPr>
          <w:rFonts w:ascii="黑体" w:hAnsi="黑体" w:eastAsia="黑体" w:cs="黑体"/>
          <w:b w:val="0"/>
          <w:bCs w:val="0"/>
          <w:color w:val="auto"/>
          <w:sz w:val="20"/>
        </w:rPr>
        <w:t>4</w:t>
      </w:r>
      <w:r>
        <w:rPr>
          <w:rFonts w:hint="eastAsia"/>
          <w:b w:val="0"/>
          <w:bCs w:val="0"/>
          <w:color w:val="auto"/>
          <w:sz w:val="20"/>
        </w:rPr>
        <w:t xml:space="preserve">     </w:t>
      </w:r>
      <w:r>
        <w:rPr>
          <w:rFonts w:hint="eastAsia"/>
          <w:b w:val="0"/>
          <w:bCs w:val="0"/>
          <w:color w:val="auto"/>
          <w:sz w:val="20"/>
        </w:rPr>
        <w:tab/>
      </w:r>
      <w:r>
        <w:rPr>
          <w:rFonts w:hint="eastAsia"/>
          <w:b w:val="0"/>
          <w:bCs w:val="0"/>
          <w:color w:val="auto"/>
          <w:sz w:val="20"/>
        </w:rPr>
        <w:tab/>
      </w:r>
      <w:r>
        <w:rPr>
          <w:rFonts w:hint="eastAsia"/>
          <w:b w:val="0"/>
          <w:bCs w:val="0"/>
          <w:color w:val="auto"/>
          <w:sz w:val="20"/>
        </w:rPr>
        <w:t xml:space="preserve"> </w:t>
      </w:r>
      <w:r>
        <w:rPr>
          <w:b w:val="0"/>
          <w:bCs w:val="0"/>
          <w:color w:val="auto"/>
          <w:sz w:val="20"/>
        </w:rPr>
        <w:t xml:space="preserve">                                                        </w:t>
      </w:r>
      <w:r>
        <w:rPr>
          <w:b w:val="0"/>
          <w:bCs w:val="0"/>
          <w:color w:val="auto"/>
          <w:sz w:val="20"/>
        </w:rPr>
        <w:tab/>
      </w:r>
      <w:r>
        <w:rPr>
          <w:b w:val="0"/>
          <w:bCs w:val="0"/>
          <w:color w:val="auto"/>
          <w:sz w:val="20"/>
        </w:rPr>
        <w:t xml:space="preserve"> </w:t>
      </w:r>
      <w:r>
        <w:rPr>
          <w:b w:val="0"/>
          <w:bCs w:val="0"/>
          <w:color w:val="auto"/>
          <w:sz w:val="20"/>
        </w:rPr>
        <w:tab/>
      </w:r>
      <w:r>
        <w:rPr>
          <w:b w:val="0"/>
          <w:bCs w:val="0"/>
          <w:color w:val="auto"/>
          <w:sz w:val="20"/>
        </w:rPr>
        <w:t xml:space="preserve"> </w:t>
      </w:r>
      <w:r>
        <w:rPr>
          <w:rFonts w:hint="eastAsia"/>
          <w:b w:val="0"/>
          <w:bCs w:val="0"/>
          <w:color w:val="auto"/>
          <w:sz w:val="20"/>
        </w:rPr>
        <w:t>　　                               金额单位：万元</w:t>
      </w:r>
    </w:p>
    <w:tbl>
      <w:tblPr>
        <w:tblStyle w:val="12"/>
        <w:tblW w:w="13403" w:type="dxa"/>
        <w:jc w:val="center"/>
        <w:tblLayout w:type="fixed"/>
        <w:tblCellMar>
          <w:top w:w="0" w:type="dxa"/>
          <w:left w:w="108" w:type="dxa"/>
          <w:bottom w:w="0" w:type="dxa"/>
          <w:right w:w="108" w:type="dxa"/>
        </w:tblCellMar>
      </w:tblPr>
      <w:tblGrid>
        <w:gridCol w:w="838"/>
        <w:gridCol w:w="2319"/>
        <w:gridCol w:w="1595"/>
        <w:gridCol w:w="1561"/>
        <w:gridCol w:w="1575"/>
        <w:gridCol w:w="1380"/>
        <w:gridCol w:w="1276"/>
        <w:gridCol w:w="1266"/>
        <w:gridCol w:w="1593"/>
      </w:tblGrid>
      <w:tr>
        <w:tblPrEx>
          <w:tblCellMar>
            <w:top w:w="0" w:type="dxa"/>
            <w:left w:w="108" w:type="dxa"/>
            <w:bottom w:w="0" w:type="dxa"/>
            <w:right w:w="108" w:type="dxa"/>
          </w:tblCellMar>
        </w:tblPrEx>
        <w:trPr>
          <w:trHeight w:val="448" w:hRule="atLeast"/>
          <w:jc w:val="center"/>
        </w:trPr>
        <w:tc>
          <w:tcPr>
            <w:tcW w:w="13403" w:type="dxa"/>
            <w:gridSpan w:val="9"/>
            <w:tcBorders>
              <w:top w:val="single" w:color="auto" w:sz="4" w:space="0"/>
              <w:left w:val="single" w:color="auto" w:sz="4" w:space="0"/>
              <w:bottom w:val="single" w:color="auto" w:sz="4" w:space="0"/>
              <w:right w:val="single" w:color="auto" w:sz="4" w:space="0"/>
            </w:tcBorders>
          </w:tcPr>
          <w:p>
            <w:pPr>
              <w:adjustRightInd w:val="0"/>
              <w:snapToGrid w:val="0"/>
              <w:spacing w:line="276" w:lineRule="auto"/>
              <w:rPr>
                <w:rFonts w:eastAsia="楷体_GB2312"/>
                <w:color w:val="auto"/>
                <w:sz w:val="20"/>
                <w:szCs w:val="20"/>
              </w:rPr>
            </w:pPr>
            <w:r>
              <w:rPr>
                <w:rFonts w:hint="eastAsia" w:eastAsia="楷体_GB2312"/>
                <w:color w:val="auto"/>
                <w:sz w:val="20"/>
                <w:szCs w:val="20"/>
              </w:rPr>
              <w:t>填表说明：资金来源：省级财政专项资金、</w:t>
            </w:r>
            <w:r>
              <w:rPr>
                <w:rFonts w:hint="eastAsia" w:eastAsia="楷体_GB2312" w:asciiTheme="minorHAnsi" w:hAnsiTheme="minorHAnsi" w:cstheme="minorBidi"/>
                <w:color w:val="auto"/>
                <w:sz w:val="20"/>
                <w:szCs w:val="20"/>
              </w:rPr>
              <w:t>其他渠道资金</w:t>
            </w:r>
            <w:r>
              <w:rPr>
                <w:rFonts w:hint="eastAsia" w:eastAsia="楷体_GB2312"/>
                <w:color w:val="auto"/>
                <w:sz w:val="20"/>
                <w:szCs w:val="20"/>
              </w:rPr>
              <w:t>。</w:t>
            </w:r>
          </w:p>
        </w:tc>
      </w:tr>
      <w:tr>
        <w:tblPrEx>
          <w:tblCellMar>
            <w:top w:w="0" w:type="dxa"/>
            <w:left w:w="108" w:type="dxa"/>
            <w:bottom w:w="0" w:type="dxa"/>
            <w:right w:w="108" w:type="dxa"/>
          </w:tblCellMar>
        </w:tblPrEx>
        <w:trPr>
          <w:trHeight w:val="1117" w:hRule="atLeast"/>
          <w:jc w:val="center"/>
        </w:trPr>
        <w:tc>
          <w:tcPr>
            <w:tcW w:w="83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序号</w:t>
            </w:r>
          </w:p>
        </w:tc>
        <w:tc>
          <w:tcPr>
            <w:tcW w:w="23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人员</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类别</w:t>
            </w: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人均标准</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（元/月）           　</w:t>
            </w:r>
          </w:p>
        </w:tc>
        <w:tc>
          <w:tcPr>
            <w:tcW w:w="1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其中：人均社会保险标准</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（元/人月）</w:t>
            </w: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人数</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工作月数</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金额</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资金来源</w:t>
            </w:r>
          </w:p>
        </w:tc>
        <w:tc>
          <w:tcPr>
            <w:tcW w:w="15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是否为推广示范任务资金</w:t>
            </w:r>
          </w:p>
        </w:tc>
      </w:tr>
      <w:tr>
        <w:tblPrEx>
          <w:tblCellMar>
            <w:top w:w="0" w:type="dxa"/>
            <w:left w:w="108" w:type="dxa"/>
            <w:bottom w:w="0" w:type="dxa"/>
            <w:right w:w="108" w:type="dxa"/>
          </w:tblCellMar>
        </w:tblPrEx>
        <w:trPr>
          <w:trHeight w:val="457" w:hRule="atLeast"/>
          <w:jc w:val="center"/>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b/>
                <w:bCs/>
                <w:color w:val="auto"/>
                <w:kern w:val="0"/>
                <w:sz w:val="20"/>
                <w:szCs w:val="20"/>
              </w:rPr>
            </w:pPr>
          </w:p>
        </w:tc>
        <w:tc>
          <w:tcPr>
            <w:tcW w:w="23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b/>
                <w:bCs/>
                <w:color w:val="auto"/>
                <w:kern w:val="0"/>
                <w:sz w:val="20"/>
                <w:szCs w:val="20"/>
              </w:rPr>
              <w:t>（1）</w:t>
            </w: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b/>
                <w:bCs/>
                <w:color w:val="auto"/>
                <w:kern w:val="0"/>
                <w:sz w:val="20"/>
                <w:szCs w:val="20"/>
              </w:rPr>
              <w:t>（2）</w:t>
            </w:r>
          </w:p>
        </w:tc>
        <w:tc>
          <w:tcPr>
            <w:tcW w:w="1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b/>
                <w:bCs/>
                <w:color w:val="auto"/>
                <w:kern w:val="0"/>
                <w:sz w:val="20"/>
                <w:szCs w:val="20"/>
              </w:rPr>
              <w:t>（</w:t>
            </w:r>
            <w:r>
              <w:rPr>
                <w:rFonts w:hint="eastAsia"/>
                <w:b/>
                <w:bCs/>
                <w:color w:val="auto"/>
                <w:kern w:val="0"/>
                <w:sz w:val="20"/>
                <w:szCs w:val="20"/>
              </w:rPr>
              <w:t>3</w:t>
            </w:r>
            <w:r>
              <w:rPr>
                <w:b/>
                <w:bCs/>
                <w:color w:val="auto"/>
                <w:kern w:val="0"/>
                <w:sz w:val="20"/>
                <w:szCs w:val="20"/>
              </w:rPr>
              <w:t>）</w:t>
            </w: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b/>
                <w:bCs/>
                <w:color w:val="auto"/>
                <w:kern w:val="0"/>
                <w:sz w:val="20"/>
                <w:szCs w:val="20"/>
              </w:rPr>
              <w:t>（</w:t>
            </w:r>
            <w:r>
              <w:rPr>
                <w:rFonts w:hint="eastAsia"/>
                <w:b/>
                <w:bCs/>
                <w:color w:val="auto"/>
                <w:kern w:val="0"/>
                <w:sz w:val="20"/>
                <w:szCs w:val="20"/>
              </w:rPr>
              <w:t>4</w:t>
            </w:r>
            <w:r>
              <w:rPr>
                <w:b/>
                <w:bCs/>
                <w:color w:val="auto"/>
                <w:kern w:val="0"/>
                <w:sz w:val="20"/>
                <w:szCs w:val="20"/>
              </w:rPr>
              <w:t>）</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b/>
                <w:bCs/>
                <w:color w:val="auto"/>
                <w:kern w:val="0"/>
                <w:sz w:val="20"/>
                <w:szCs w:val="20"/>
              </w:rPr>
              <w:t>（</w:t>
            </w:r>
            <w:r>
              <w:rPr>
                <w:rFonts w:hint="eastAsia"/>
                <w:b/>
                <w:bCs/>
                <w:color w:val="auto"/>
                <w:kern w:val="0"/>
                <w:sz w:val="20"/>
                <w:szCs w:val="20"/>
              </w:rPr>
              <w:t>5</w:t>
            </w:r>
            <w:r>
              <w:rPr>
                <w:b/>
                <w:bCs/>
                <w:color w:val="auto"/>
                <w:kern w:val="0"/>
                <w:sz w:val="20"/>
                <w:szCs w:val="20"/>
              </w:rPr>
              <w:t>）</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b/>
                <w:bCs/>
                <w:color w:val="auto"/>
                <w:kern w:val="0"/>
                <w:sz w:val="20"/>
                <w:szCs w:val="20"/>
              </w:rPr>
              <w:t>（</w:t>
            </w:r>
            <w:r>
              <w:rPr>
                <w:rFonts w:hint="eastAsia"/>
                <w:b/>
                <w:bCs/>
                <w:color w:val="auto"/>
                <w:kern w:val="0"/>
                <w:sz w:val="20"/>
                <w:szCs w:val="20"/>
              </w:rPr>
              <w:t>6</w:t>
            </w:r>
            <w:r>
              <w:rPr>
                <w:b/>
                <w:bCs/>
                <w:color w:val="auto"/>
                <w:kern w:val="0"/>
                <w:sz w:val="20"/>
                <w:szCs w:val="20"/>
              </w:rPr>
              <w:t>）</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rFonts w:hint="eastAsia"/>
                <w:b/>
                <w:bCs/>
                <w:color w:val="auto"/>
                <w:kern w:val="0"/>
                <w:sz w:val="20"/>
                <w:szCs w:val="20"/>
              </w:rPr>
              <w:t>（7）</w:t>
            </w:r>
          </w:p>
        </w:tc>
        <w:tc>
          <w:tcPr>
            <w:tcW w:w="15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rFonts w:hint="eastAsia"/>
                <w:b/>
                <w:bCs/>
                <w:color w:val="auto"/>
                <w:kern w:val="0"/>
                <w:sz w:val="20"/>
                <w:szCs w:val="20"/>
              </w:rPr>
              <w:t>（</w:t>
            </w:r>
            <w:r>
              <w:rPr>
                <w:b/>
                <w:bCs/>
                <w:color w:val="auto"/>
                <w:kern w:val="0"/>
                <w:sz w:val="20"/>
                <w:szCs w:val="20"/>
              </w:rPr>
              <w:t>8</w:t>
            </w:r>
            <w:r>
              <w:rPr>
                <w:rFonts w:hint="eastAsia"/>
                <w:b/>
                <w:bCs/>
                <w:color w:val="auto"/>
                <w:kern w:val="0"/>
                <w:sz w:val="20"/>
                <w:szCs w:val="20"/>
              </w:rPr>
              <w:t>）</w:t>
            </w:r>
          </w:p>
        </w:tc>
      </w:tr>
      <w:tr>
        <w:tblPrEx>
          <w:tblCellMar>
            <w:top w:w="0" w:type="dxa"/>
            <w:left w:w="108" w:type="dxa"/>
            <w:bottom w:w="0" w:type="dxa"/>
            <w:right w:w="108" w:type="dxa"/>
          </w:tblCellMar>
        </w:tblPrEx>
        <w:trPr>
          <w:trHeight w:val="40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p>
        </w:tc>
        <w:tc>
          <w:tcPr>
            <w:tcW w:w="23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2</w:t>
            </w:r>
          </w:p>
        </w:tc>
        <w:tc>
          <w:tcPr>
            <w:tcW w:w="23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3</w:t>
            </w:r>
          </w:p>
        </w:tc>
        <w:tc>
          <w:tcPr>
            <w:tcW w:w="23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4</w:t>
            </w:r>
          </w:p>
        </w:tc>
        <w:tc>
          <w:tcPr>
            <w:tcW w:w="23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5</w:t>
            </w:r>
          </w:p>
        </w:tc>
        <w:tc>
          <w:tcPr>
            <w:tcW w:w="23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631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b/>
                <w:bCs/>
                <w:color w:val="auto"/>
                <w:kern w:val="0"/>
                <w:sz w:val="20"/>
                <w:szCs w:val="20"/>
              </w:rPr>
            </w:pPr>
            <w:r>
              <w:rPr>
                <w:rFonts w:hint="eastAsia" w:ascii="仿宋_GB2312" w:hAnsi="仿宋_GB2312" w:eastAsia="仿宋_GB2312" w:cs="仿宋_GB2312"/>
                <w:b/>
                <w:bCs/>
                <w:color w:val="auto"/>
                <w:kern w:val="0"/>
                <w:sz w:val="20"/>
                <w:szCs w:val="20"/>
              </w:rPr>
              <w:t>累计</w:t>
            </w:r>
          </w:p>
        </w:tc>
        <w:tc>
          <w:tcPr>
            <w:tcW w:w="1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5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r>
    </w:tbl>
    <w:p>
      <w:pPr>
        <w:autoSpaceDE w:val="0"/>
        <w:autoSpaceDN w:val="0"/>
        <w:ind w:firstLine="536"/>
        <w:jc w:val="center"/>
        <w:rPr>
          <w:rFonts w:eastAsia="黑体"/>
          <w:color w:val="auto"/>
          <w:sz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adjustRightInd w:val="0"/>
        <w:snapToGrid w:val="0"/>
        <w:spacing w:line="56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专家咨询费预算明细表</w:t>
      </w:r>
    </w:p>
    <w:p>
      <w:pPr>
        <w:autoSpaceDE w:val="0"/>
        <w:autoSpaceDN w:val="0"/>
        <w:adjustRightInd w:val="0"/>
        <w:snapToGrid w:val="0"/>
        <w:spacing w:line="568" w:lineRule="exact"/>
        <w:ind w:firstLine="536"/>
        <w:jc w:val="center"/>
        <w:rPr>
          <w:rFonts w:ascii="黑体" w:hAnsi="黑体" w:eastAsia="黑体"/>
          <w:color w:val="auto"/>
          <w:sz w:val="28"/>
          <w:szCs w:val="28"/>
        </w:rPr>
      </w:pPr>
    </w:p>
    <w:p>
      <w:pPr>
        <w:autoSpaceDE w:val="0"/>
        <w:autoSpaceDN w:val="0"/>
        <w:adjustRightInd w:val="0"/>
        <w:snapToGrid w:val="0"/>
        <w:spacing w:line="568" w:lineRule="exact"/>
        <w:rPr>
          <w:rFonts w:hint="eastAsia"/>
          <w:b w:val="0"/>
          <w:bCs w:val="0"/>
          <w:color w:val="auto"/>
          <w:sz w:val="20"/>
        </w:rPr>
      </w:pPr>
      <w:r>
        <w:rPr>
          <w:rFonts w:hint="eastAsia" w:ascii="黑体" w:hAnsi="黑体" w:eastAsia="黑体" w:cs="黑体"/>
          <w:b w:val="0"/>
          <w:bCs w:val="0"/>
          <w:color w:val="auto"/>
          <w:sz w:val="20"/>
        </w:rPr>
        <w:t>表B1</w:t>
      </w:r>
      <w:r>
        <w:rPr>
          <w:rFonts w:hint="eastAsia" w:ascii="黑体" w:hAnsi="黑体" w:eastAsia="黑体" w:cs="黑体"/>
          <w:b w:val="0"/>
          <w:bCs w:val="0"/>
          <w:color w:val="auto"/>
          <w:sz w:val="20"/>
          <w:lang w:val="en-US" w:eastAsia="zh-CN"/>
        </w:rPr>
        <w:t>5</w:t>
      </w:r>
      <w:r>
        <w:rPr>
          <w:rFonts w:hint="eastAsia"/>
          <w:b w:val="0"/>
          <w:bCs w:val="0"/>
          <w:color w:val="auto"/>
          <w:sz w:val="20"/>
        </w:rPr>
        <w:t xml:space="preserve"> </w:t>
      </w:r>
      <w:r>
        <w:rPr>
          <w:rFonts w:hint="eastAsia"/>
          <w:b/>
          <w:bCs/>
          <w:color w:val="auto"/>
          <w:sz w:val="20"/>
        </w:rPr>
        <w:tab/>
      </w:r>
      <w:r>
        <w:rPr>
          <w:rFonts w:hint="eastAsia"/>
          <w:b/>
          <w:bCs/>
          <w:color w:val="auto"/>
          <w:sz w:val="20"/>
        </w:rPr>
        <w:tab/>
      </w:r>
      <w:r>
        <w:rPr>
          <w:rFonts w:hint="eastAsia"/>
          <w:b/>
          <w:bCs/>
          <w:color w:val="auto"/>
          <w:sz w:val="20"/>
        </w:rPr>
        <w:t xml:space="preserve"> </w:t>
      </w:r>
      <w:r>
        <w:rPr>
          <w:b/>
          <w:bCs/>
          <w:color w:val="auto"/>
          <w:sz w:val="20"/>
        </w:rPr>
        <w:t xml:space="preserve">                                                        </w:t>
      </w:r>
      <w:r>
        <w:rPr>
          <w:b/>
          <w:bCs/>
          <w:color w:val="auto"/>
          <w:sz w:val="20"/>
        </w:rPr>
        <w:tab/>
      </w:r>
      <w:r>
        <w:rPr>
          <w:b/>
          <w:bCs/>
          <w:color w:val="auto"/>
          <w:sz w:val="20"/>
        </w:rPr>
        <w:t xml:space="preserve"> </w:t>
      </w:r>
      <w:r>
        <w:rPr>
          <w:b/>
          <w:bCs/>
          <w:color w:val="auto"/>
          <w:sz w:val="20"/>
        </w:rPr>
        <w:tab/>
      </w:r>
      <w:r>
        <w:rPr>
          <w:b/>
          <w:bCs/>
          <w:color w:val="auto"/>
          <w:sz w:val="20"/>
        </w:rPr>
        <w:t xml:space="preserve"> </w:t>
      </w:r>
      <w:r>
        <w:rPr>
          <w:rFonts w:hint="eastAsia"/>
          <w:b/>
          <w:bCs/>
          <w:color w:val="auto"/>
          <w:sz w:val="20"/>
        </w:rPr>
        <w:t xml:space="preserve">　　                               </w:t>
      </w:r>
      <w:r>
        <w:rPr>
          <w:b/>
          <w:bCs/>
          <w:color w:val="auto"/>
          <w:sz w:val="20"/>
        </w:rPr>
        <w:t xml:space="preserve">     </w:t>
      </w:r>
      <w:r>
        <w:rPr>
          <w:rFonts w:hint="eastAsia"/>
          <w:b w:val="0"/>
          <w:bCs w:val="0"/>
          <w:color w:val="auto"/>
          <w:sz w:val="20"/>
        </w:rPr>
        <w:t>金额单位：万元</w:t>
      </w:r>
    </w:p>
    <w:tbl>
      <w:tblPr>
        <w:tblStyle w:val="12"/>
        <w:tblW w:w="14205" w:type="dxa"/>
        <w:jc w:val="center"/>
        <w:tblLayout w:type="fixed"/>
        <w:tblCellMar>
          <w:top w:w="0" w:type="dxa"/>
          <w:left w:w="108" w:type="dxa"/>
          <w:bottom w:w="0" w:type="dxa"/>
          <w:right w:w="108" w:type="dxa"/>
        </w:tblCellMar>
      </w:tblPr>
      <w:tblGrid>
        <w:gridCol w:w="838"/>
        <w:gridCol w:w="1776"/>
        <w:gridCol w:w="1595"/>
        <w:gridCol w:w="1330"/>
        <w:gridCol w:w="1343"/>
        <w:gridCol w:w="1596"/>
        <w:gridCol w:w="1386"/>
        <w:gridCol w:w="1318"/>
        <w:gridCol w:w="1399"/>
        <w:gridCol w:w="1624"/>
      </w:tblGrid>
      <w:tr>
        <w:tblPrEx>
          <w:tblCellMar>
            <w:top w:w="0" w:type="dxa"/>
            <w:left w:w="108" w:type="dxa"/>
            <w:bottom w:w="0" w:type="dxa"/>
            <w:right w:w="108" w:type="dxa"/>
          </w:tblCellMar>
        </w:tblPrEx>
        <w:trPr>
          <w:trHeight w:val="419" w:hRule="atLeast"/>
          <w:jc w:val="center"/>
        </w:trPr>
        <w:tc>
          <w:tcPr>
            <w:tcW w:w="14205" w:type="dxa"/>
            <w:gridSpan w:val="10"/>
            <w:tcBorders>
              <w:top w:val="single" w:color="auto" w:sz="4" w:space="0"/>
              <w:left w:val="single" w:color="auto" w:sz="4" w:space="0"/>
              <w:bottom w:val="single" w:color="auto" w:sz="4" w:space="0"/>
              <w:right w:val="single" w:color="auto" w:sz="4" w:space="0"/>
            </w:tcBorders>
          </w:tcPr>
          <w:p>
            <w:pPr>
              <w:adjustRightInd w:val="0"/>
              <w:snapToGrid w:val="0"/>
              <w:spacing w:line="276" w:lineRule="auto"/>
              <w:rPr>
                <w:rFonts w:asciiTheme="minorEastAsia" w:hAnsiTheme="minorEastAsia" w:eastAsiaTheme="minorEastAsia"/>
                <w:color w:val="auto"/>
                <w:kern w:val="0"/>
                <w:sz w:val="20"/>
                <w:szCs w:val="20"/>
              </w:rPr>
            </w:pPr>
            <w:r>
              <w:rPr>
                <w:rFonts w:hint="eastAsia" w:eastAsia="楷体_GB2312" w:asciiTheme="minorHAnsi" w:hAnsiTheme="minorHAnsi"/>
                <w:color w:val="auto"/>
                <w:sz w:val="20"/>
                <w:szCs w:val="20"/>
              </w:rPr>
              <w:t>填表说明：资金来源：省级财政专项资金、</w:t>
            </w:r>
            <w:r>
              <w:rPr>
                <w:rFonts w:hint="eastAsia" w:eastAsia="楷体_GB2312" w:asciiTheme="minorHAnsi" w:hAnsiTheme="minorHAnsi" w:cstheme="minorBidi"/>
                <w:color w:val="auto"/>
                <w:sz w:val="20"/>
                <w:szCs w:val="20"/>
              </w:rPr>
              <w:t>其他渠道资金</w:t>
            </w:r>
            <w:r>
              <w:rPr>
                <w:rFonts w:hint="eastAsia" w:eastAsia="楷体_GB2312" w:asciiTheme="minorHAnsi" w:hAnsiTheme="minorHAnsi"/>
                <w:color w:val="auto"/>
                <w:sz w:val="20"/>
                <w:szCs w:val="20"/>
              </w:rPr>
              <w:t>。</w:t>
            </w:r>
          </w:p>
        </w:tc>
      </w:tr>
      <w:tr>
        <w:tblPrEx>
          <w:tblCellMar>
            <w:top w:w="0" w:type="dxa"/>
            <w:left w:w="108" w:type="dxa"/>
            <w:bottom w:w="0" w:type="dxa"/>
            <w:right w:w="108" w:type="dxa"/>
          </w:tblCellMar>
        </w:tblPrEx>
        <w:trPr>
          <w:trHeight w:val="1117" w:hRule="atLeast"/>
          <w:jc w:val="center"/>
        </w:trPr>
        <w:tc>
          <w:tcPr>
            <w:tcW w:w="83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序号</w:t>
            </w:r>
          </w:p>
        </w:tc>
        <w:tc>
          <w:tcPr>
            <w:tcW w:w="17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人员</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类别</w:t>
            </w: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咨询类型           　</w:t>
            </w:r>
          </w:p>
        </w:tc>
        <w:tc>
          <w:tcPr>
            <w:tcW w:w="1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人均标准</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（元）</w:t>
            </w:r>
          </w:p>
        </w:tc>
        <w:tc>
          <w:tcPr>
            <w:tcW w:w="13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人数/次</w:t>
            </w:r>
          </w:p>
        </w:tc>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天数/次</w:t>
            </w:r>
          </w:p>
        </w:tc>
        <w:tc>
          <w:tcPr>
            <w:tcW w:w="1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次数</w:t>
            </w:r>
          </w:p>
        </w:tc>
        <w:tc>
          <w:tcPr>
            <w:tcW w:w="13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金额</w:t>
            </w:r>
          </w:p>
        </w:tc>
        <w:tc>
          <w:tcPr>
            <w:tcW w:w="1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资金来源</w:t>
            </w:r>
          </w:p>
        </w:tc>
        <w:tc>
          <w:tcPr>
            <w:tcW w:w="1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是否为推广示范任务资金</w:t>
            </w:r>
          </w:p>
        </w:tc>
      </w:tr>
      <w:tr>
        <w:tblPrEx>
          <w:tblCellMar>
            <w:top w:w="0" w:type="dxa"/>
            <w:left w:w="108" w:type="dxa"/>
            <w:bottom w:w="0" w:type="dxa"/>
            <w:right w:w="108" w:type="dxa"/>
          </w:tblCellMar>
        </w:tblPrEx>
        <w:trPr>
          <w:trHeight w:val="457" w:hRule="atLeast"/>
          <w:jc w:val="center"/>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asciiTheme="minorEastAsia" w:hAnsiTheme="minorEastAsia" w:eastAsiaTheme="minorEastAsia"/>
                <w:b/>
                <w:bCs/>
                <w:color w:val="auto"/>
                <w:kern w:val="0"/>
                <w:sz w:val="20"/>
                <w:szCs w:val="20"/>
              </w:rPr>
            </w:pPr>
          </w:p>
        </w:tc>
        <w:tc>
          <w:tcPr>
            <w:tcW w:w="17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b/>
                <w:bCs/>
                <w:color w:val="auto"/>
                <w:kern w:val="0"/>
                <w:sz w:val="20"/>
                <w:szCs w:val="20"/>
              </w:rPr>
            </w:pPr>
            <w:r>
              <w:rPr>
                <w:rFonts w:asciiTheme="minorEastAsia" w:hAnsiTheme="minorEastAsia" w:eastAsiaTheme="minorEastAsia"/>
                <w:b/>
                <w:bCs/>
                <w:color w:val="auto"/>
                <w:kern w:val="0"/>
                <w:sz w:val="20"/>
                <w:szCs w:val="20"/>
              </w:rPr>
              <w:t>（1）</w:t>
            </w: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b/>
                <w:bCs/>
                <w:color w:val="auto"/>
                <w:kern w:val="0"/>
                <w:sz w:val="20"/>
                <w:szCs w:val="20"/>
              </w:rPr>
            </w:pPr>
            <w:r>
              <w:rPr>
                <w:rFonts w:asciiTheme="minorEastAsia" w:hAnsiTheme="minorEastAsia" w:eastAsiaTheme="minorEastAsia"/>
                <w:b/>
                <w:bCs/>
                <w:color w:val="auto"/>
                <w:kern w:val="0"/>
                <w:sz w:val="20"/>
                <w:szCs w:val="20"/>
              </w:rPr>
              <w:t>（2）</w:t>
            </w:r>
          </w:p>
        </w:tc>
        <w:tc>
          <w:tcPr>
            <w:tcW w:w="1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b/>
                <w:bCs/>
                <w:color w:val="auto"/>
                <w:kern w:val="0"/>
                <w:sz w:val="20"/>
                <w:szCs w:val="20"/>
              </w:rPr>
            </w:pPr>
            <w:r>
              <w:rPr>
                <w:rFonts w:asciiTheme="minorEastAsia" w:hAnsiTheme="minorEastAsia" w:eastAsiaTheme="minorEastAsia"/>
                <w:b/>
                <w:bCs/>
                <w:color w:val="auto"/>
                <w:kern w:val="0"/>
                <w:sz w:val="20"/>
                <w:szCs w:val="20"/>
              </w:rPr>
              <w:t>（</w:t>
            </w:r>
            <w:r>
              <w:rPr>
                <w:rFonts w:hint="eastAsia" w:asciiTheme="minorEastAsia" w:hAnsiTheme="minorEastAsia" w:eastAsiaTheme="minorEastAsia"/>
                <w:b/>
                <w:bCs/>
                <w:color w:val="auto"/>
                <w:kern w:val="0"/>
                <w:sz w:val="20"/>
                <w:szCs w:val="20"/>
              </w:rPr>
              <w:t>3</w:t>
            </w:r>
            <w:r>
              <w:rPr>
                <w:rFonts w:asciiTheme="minorEastAsia" w:hAnsiTheme="minorEastAsia" w:eastAsiaTheme="minorEastAsia"/>
                <w:b/>
                <w:bCs/>
                <w:color w:val="auto"/>
                <w:kern w:val="0"/>
                <w:sz w:val="20"/>
                <w:szCs w:val="20"/>
              </w:rPr>
              <w:t>）</w:t>
            </w:r>
          </w:p>
        </w:tc>
        <w:tc>
          <w:tcPr>
            <w:tcW w:w="13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b/>
                <w:bCs/>
                <w:color w:val="auto"/>
                <w:kern w:val="0"/>
                <w:sz w:val="20"/>
                <w:szCs w:val="20"/>
              </w:rPr>
            </w:pPr>
            <w:r>
              <w:rPr>
                <w:rFonts w:asciiTheme="minorEastAsia" w:hAnsiTheme="minorEastAsia" w:eastAsiaTheme="minorEastAsia"/>
                <w:b/>
                <w:bCs/>
                <w:color w:val="auto"/>
                <w:kern w:val="0"/>
                <w:sz w:val="20"/>
                <w:szCs w:val="20"/>
              </w:rPr>
              <w:t>（</w:t>
            </w:r>
            <w:r>
              <w:rPr>
                <w:rFonts w:hint="eastAsia" w:asciiTheme="minorEastAsia" w:hAnsiTheme="minorEastAsia" w:eastAsiaTheme="minorEastAsia"/>
                <w:b/>
                <w:bCs/>
                <w:color w:val="auto"/>
                <w:kern w:val="0"/>
                <w:sz w:val="20"/>
                <w:szCs w:val="20"/>
              </w:rPr>
              <w:t>4</w:t>
            </w:r>
            <w:r>
              <w:rPr>
                <w:rFonts w:asciiTheme="minorEastAsia" w:hAnsiTheme="minorEastAsia" w:eastAsiaTheme="minorEastAsia"/>
                <w:b/>
                <w:bCs/>
                <w:color w:val="auto"/>
                <w:kern w:val="0"/>
                <w:sz w:val="20"/>
                <w:szCs w:val="20"/>
              </w:rPr>
              <w:t>）</w:t>
            </w:r>
          </w:p>
        </w:tc>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b/>
                <w:bCs/>
                <w:color w:val="auto"/>
                <w:kern w:val="0"/>
                <w:sz w:val="20"/>
                <w:szCs w:val="20"/>
              </w:rPr>
            </w:pPr>
            <w:r>
              <w:rPr>
                <w:rFonts w:asciiTheme="minorEastAsia" w:hAnsiTheme="minorEastAsia" w:eastAsiaTheme="minorEastAsia"/>
                <w:b/>
                <w:bCs/>
                <w:color w:val="auto"/>
                <w:kern w:val="0"/>
                <w:sz w:val="20"/>
                <w:szCs w:val="20"/>
              </w:rPr>
              <w:t>（</w:t>
            </w:r>
            <w:r>
              <w:rPr>
                <w:rFonts w:hint="eastAsia" w:asciiTheme="minorEastAsia" w:hAnsiTheme="minorEastAsia" w:eastAsiaTheme="minorEastAsia"/>
                <w:b/>
                <w:bCs/>
                <w:color w:val="auto"/>
                <w:kern w:val="0"/>
                <w:sz w:val="20"/>
                <w:szCs w:val="20"/>
              </w:rPr>
              <w:t>5</w:t>
            </w:r>
            <w:r>
              <w:rPr>
                <w:rFonts w:asciiTheme="minorEastAsia" w:hAnsiTheme="minorEastAsia" w:eastAsiaTheme="minorEastAsia"/>
                <w:b/>
                <w:bCs/>
                <w:color w:val="auto"/>
                <w:kern w:val="0"/>
                <w:sz w:val="20"/>
                <w:szCs w:val="20"/>
              </w:rPr>
              <w:t>）</w:t>
            </w:r>
          </w:p>
        </w:tc>
        <w:tc>
          <w:tcPr>
            <w:tcW w:w="1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b/>
                <w:bCs/>
                <w:color w:val="auto"/>
                <w:kern w:val="0"/>
                <w:sz w:val="20"/>
                <w:szCs w:val="20"/>
              </w:rPr>
            </w:pPr>
            <w:r>
              <w:rPr>
                <w:rFonts w:asciiTheme="minorEastAsia" w:hAnsiTheme="minorEastAsia" w:eastAsiaTheme="minorEastAsia"/>
                <w:b/>
                <w:bCs/>
                <w:color w:val="auto"/>
                <w:kern w:val="0"/>
                <w:sz w:val="20"/>
                <w:szCs w:val="20"/>
              </w:rPr>
              <w:t>（</w:t>
            </w:r>
            <w:r>
              <w:rPr>
                <w:rFonts w:hint="eastAsia" w:asciiTheme="minorEastAsia" w:hAnsiTheme="minorEastAsia" w:eastAsiaTheme="minorEastAsia"/>
                <w:b/>
                <w:bCs/>
                <w:color w:val="auto"/>
                <w:kern w:val="0"/>
                <w:sz w:val="20"/>
                <w:szCs w:val="20"/>
              </w:rPr>
              <w:t>6</w:t>
            </w:r>
            <w:r>
              <w:rPr>
                <w:rFonts w:asciiTheme="minorEastAsia" w:hAnsiTheme="minorEastAsia" w:eastAsiaTheme="minorEastAsia"/>
                <w:b/>
                <w:bCs/>
                <w:color w:val="auto"/>
                <w:kern w:val="0"/>
                <w:sz w:val="20"/>
                <w:szCs w:val="20"/>
              </w:rPr>
              <w:t>）</w:t>
            </w:r>
          </w:p>
        </w:tc>
        <w:tc>
          <w:tcPr>
            <w:tcW w:w="13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b/>
                <w:bCs/>
                <w:color w:val="auto"/>
                <w:kern w:val="0"/>
                <w:sz w:val="20"/>
                <w:szCs w:val="20"/>
              </w:rPr>
            </w:pPr>
            <w:r>
              <w:rPr>
                <w:rFonts w:hint="eastAsia" w:asciiTheme="minorEastAsia" w:hAnsiTheme="minorEastAsia" w:eastAsiaTheme="minorEastAsia"/>
                <w:b/>
                <w:bCs/>
                <w:color w:val="auto"/>
                <w:kern w:val="0"/>
                <w:sz w:val="20"/>
                <w:szCs w:val="20"/>
              </w:rPr>
              <w:t>（7）</w:t>
            </w:r>
          </w:p>
        </w:tc>
        <w:tc>
          <w:tcPr>
            <w:tcW w:w="1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b/>
                <w:bCs/>
                <w:color w:val="auto"/>
                <w:kern w:val="0"/>
                <w:sz w:val="20"/>
                <w:szCs w:val="20"/>
              </w:rPr>
            </w:pPr>
            <w:r>
              <w:rPr>
                <w:rFonts w:hint="eastAsia" w:asciiTheme="minorEastAsia" w:hAnsiTheme="minorEastAsia" w:eastAsiaTheme="minorEastAsia"/>
                <w:b/>
                <w:bCs/>
                <w:color w:val="auto"/>
                <w:kern w:val="0"/>
                <w:sz w:val="20"/>
                <w:szCs w:val="20"/>
              </w:rPr>
              <w:t>（8）</w:t>
            </w:r>
          </w:p>
        </w:tc>
        <w:tc>
          <w:tcPr>
            <w:tcW w:w="1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b/>
                <w:bCs/>
                <w:color w:val="auto"/>
                <w:kern w:val="0"/>
                <w:sz w:val="20"/>
                <w:szCs w:val="20"/>
              </w:rPr>
            </w:pPr>
            <w:r>
              <w:rPr>
                <w:rFonts w:hint="eastAsia" w:asciiTheme="minorEastAsia" w:hAnsiTheme="minorEastAsia" w:eastAsiaTheme="minorEastAsia"/>
                <w:b/>
                <w:bCs/>
                <w:color w:val="auto"/>
                <w:kern w:val="0"/>
                <w:sz w:val="20"/>
                <w:szCs w:val="20"/>
              </w:rPr>
              <w:t>（</w:t>
            </w:r>
            <w:r>
              <w:rPr>
                <w:rFonts w:asciiTheme="minorEastAsia" w:hAnsiTheme="minorEastAsia" w:eastAsiaTheme="minorEastAsia"/>
                <w:b/>
                <w:bCs/>
                <w:color w:val="auto"/>
                <w:kern w:val="0"/>
                <w:sz w:val="20"/>
                <w:szCs w:val="20"/>
              </w:rPr>
              <w:t>9</w:t>
            </w:r>
            <w:r>
              <w:rPr>
                <w:rFonts w:hint="eastAsia" w:asciiTheme="minorEastAsia" w:hAnsiTheme="minorEastAsia" w:eastAsiaTheme="minorEastAsia"/>
                <w:b/>
                <w:bCs/>
                <w:color w:val="auto"/>
                <w:kern w:val="0"/>
                <w:sz w:val="20"/>
                <w:szCs w:val="20"/>
              </w:rPr>
              <w:t>）</w:t>
            </w:r>
          </w:p>
        </w:tc>
      </w:tr>
      <w:tr>
        <w:tblPrEx>
          <w:tblCellMar>
            <w:top w:w="0" w:type="dxa"/>
            <w:left w:w="108" w:type="dxa"/>
            <w:bottom w:w="0" w:type="dxa"/>
            <w:right w:w="108" w:type="dxa"/>
          </w:tblCellMar>
        </w:tblPrEx>
        <w:trPr>
          <w:trHeight w:val="40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p>
        </w:tc>
        <w:tc>
          <w:tcPr>
            <w:tcW w:w="17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r>
      <w:tr>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2</w:t>
            </w:r>
          </w:p>
        </w:tc>
        <w:tc>
          <w:tcPr>
            <w:tcW w:w="17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r>
      <w:tr>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3</w:t>
            </w:r>
          </w:p>
        </w:tc>
        <w:tc>
          <w:tcPr>
            <w:tcW w:w="17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r>
      <w:tr>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4</w:t>
            </w:r>
          </w:p>
        </w:tc>
        <w:tc>
          <w:tcPr>
            <w:tcW w:w="17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r>
      <w:tr>
        <w:tblPrEx>
          <w:tblCellMar>
            <w:top w:w="0" w:type="dxa"/>
            <w:left w:w="108" w:type="dxa"/>
            <w:bottom w:w="0" w:type="dxa"/>
            <w:right w:w="108" w:type="dxa"/>
          </w:tblCellMar>
        </w:tblPrEx>
        <w:trPr>
          <w:trHeight w:val="37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5</w:t>
            </w:r>
          </w:p>
        </w:tc>
        <w:tc>
          <w:tcPr>
            <w:tcW w:w="17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r>
      <w:tr>
        <w:tblPrEx>
          <w:tblCellMar>
            <w:top w:w="0" w:type="dxa"/>
            <w:left w:w="108" w:type="dxa"/>
            <w:bottom w:w="0" w:type="dxa"/>
            <w:right w:w="108" w:type="dxa"/>
          </w:tblCellMar>
        </w:tblPrEx>
        <w:trPr>
          <w:trHeight w:val="375" w:hRule="atLeast"/>
          <w:jc w:val="center"/>
        </w:trPr>
        <w:tc>
          <w:tcPr>
            <w:tcW w:w="553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b/>
                <w:bCs/>
                <w:color w:val="auto"/>
                <w:kern w:val="0"/>
                <w:sz w:val="20"/>
                <w:szCs w:val="20"/>
              </w:rPr>
            </w:pPr>
            <w:r>
              <w:rPr>
                <w:rFonts w:hint="eastAsia" w:ascii="仿宋_GB2312" w:hAnsi="仿宋_GB2312" w:eastAsia="仿宋_GB2312" w:cs="仿宋_GB2312"/>
                <w:b/>
                <w:bCs/>
                <w:color w:val="auto"/>
                <w:kern w:val="0"/>
                <w:sz w:val="20"/>
                <w:szCs w:val="20"/>
              </w:rPr>
              <w:t>累计</w:t>
            </w:r>
          </w:p>
        </w:tc>
        <w:tc>
          <w:tcPr>
            <w:tcW w:w="13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r>
              <w:rPr>
                <w:rFonts w:asciiTheme="minorEastAsia" w:hAnsiTheme="minorEastAsia" w:eastAsiaTheme="minorEastAsia"/>
                <w:color w:val="auto"/>
                <w:kern w:val="0"/>
                <w:sz w:val="20"/>
                <w:szCs w:val="20"/>
              </w:rPr>
              <w:t>／</w:t>
            </w:r>
          </w:p>
        </w:tc>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r>
              <w:rPr>
                <w:rFonts w:asciiTheme="minorEastAsia" w:hAnsiTheme="minorEastAsia" w:eastAsiaTheme="minorEastAsia"/>
                <w:color w:val="auto"/>
                <w:kern w:val="0"/>
                <w:sz w:val="20"/>
                <w:szCs w:val="20"/>
              </w:rPr>
              <w:t>／</w:t>
            </w:r>
          </w:p>
        </w:tc>
        <w:tc>
          <w:tcPr>
            <w:tcW w:w="1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p>
        </w:tc>
        <w:tc>
          <w:tcPr>
            <w:tcW w:w="1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r>
              <w:rPr>
                <w:rFonts w:asciiTheme="minorEastAsia" w:hAnsiTheme="minorEastAsia" w:eastAsiaTheme="minorEastAsia"/>
                <w:color w:val="auto"/>
                <w:kern w:val="0"/>
                <w:sz w:val="20"/>
                <w:szCs w:val="20"/>
              </w:rPr>
              <w:t>／</w:t>
            </w:r>
          </w:p>
        </w:tc>
        <w:tc>
          <w:tcPr>
            <w:tcW w:w="1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eastAsiaTheme="minorEastAsia"/>
                <w:color w:val="auto"/>
                <w:kern w:val="0"/>
                <w:sz w:val="20"/>
                <w:szCs w:val="20"/>
              </w:rPr>
            </w:pPr>
            <w:r>
              <w:rPr>
                <w:rFonts w:hint="eastAsia" w:asciiTheme="minorEastAsia" w:hAnsiTheme="minorEastAsia" w:eastAsiaTheme="minorEastAsia"/>
                <w:color w:val="auto"/>
                <w:kern w:val="0"/>
                <w:sz w:val="20"/>
                <w:szCs w:val="20"/>
              </w:rPr>
              <w:t>／</w:t>
            </w:r>
          </w:p>
        </w:tc>
      </w:tr>
    </w:tbl>
    <w:p>
      <w:pPr>
        <w:autoSpaceDE w:val="0"/>
        <w:autoSpaceDN w:val="0"/>
        <w:ind w:firstLine="536"/>
        <w:jc w:val="center"/>
        <w:rPr>
          <w:rFonts w:eastAsia="黑体"/>
          <w:color w:val="auto"/>
          <w:sz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adjustRightInd w:val="0"/>
        <w:snapToGrid w:val="0"/>
        <w:spacing w:line="56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lang w:eastAsia="zh-Hans"/>
        </w:rPr>
        <w:t>基本建设</w:t>
      </w:r>
      <w:r>
        <w:rPr>
          <w:rFonts w:hint="eastAsia" w:ascii="方正小标宋简体" w:hAnsi="方正小标宋简体" w:eastAsia="方正小标宋简体" w:cs="方正小标宋简体"/>
          <w:color w:val="auto"/>
          <w:sz w:val="32"/>
          <w:szCs w:val="32"/>
        </w:rPr>
        <w:t>费预算明细表</w:t>
      </w:r>
    </w:p>
    <w:p>
      <w:pPr>
        <w:autoSpaceDE w:val="0"/>
        <w:autoSpaceDN w:val="0"/>
        <w:adjustRightInd w:val="0"/>
        <w:snapToGrid w:val="0"/>
        <w:spacing w:line="568" w:lineRule="exact"/>
        <w:ind w:firstLine="536"/>
        <w:jc w:val="center"/>
        <w:rPr>
          <w:rFonts w:ascii="黑体" w:hAnsi="黑体" w:eastAsia="黑体"/>
          <w:color w:val="auto"/>
          <w:sz w:val="28"/>
          <w:szCs w:val="28"/>
        </w:rPr>
      </w:pPr>
    </w:p>
    <w:p>
      <w:pPr>
        <w:autoSpaceDE w:val="0"/>
        <w:autoSpaceDN w:val="0"/>
        <w:adjustRightInd w:val="0"/>
        <w:snapToGrid w:val="0"/>
        <w:spacing w:line="568" w:lineRule="exact"/>
        <w:rPr>
          <w:b w:val="0"/>
          <w:bCs w:val="0"/>
          <w:color w:val="auto"/>
        </w:rPr>
      </w:pPr>
      <w:r>
        <w:rPr>
          <w:rFonts w:hint="eastAsia" w:ascii="黑体" w:hAnsi="黑体" w:eastAsia="黑体" w:cs="黑体"/>
          <w:b w:val="0"/>
          <w:bCs w:val="0"/>
          <w:color w:val="auto"/>
          <w:sz w:val="20"/>
        </w:rPr>
        <w:t>表B1</w:t>
      </w:r>
      <w:r>
        <w:rPr>
          <w:rFonts w:hint="eastAsia" w:ascii="黑体" w:hAnsi="黑体" w:eastAsia="黑体" w:cs="黑体"/>
          <w:b w:val="0"/>
          <w:bCs w:val="0"/>
          <w:color w:val="auto"/>
          <w:sz w:val="20"/>
          <w:lang w:val="en-US" w:eastAsia="zh-CN"/>
        </w:rPr>
        <w:t>6</w:t>
      </w:r>
      <w:r>
        <w:rPr>
          <w:rFonts w:hint="eastAsia"/>
          <w:b w:val="0"/>
          <w:bCs w:val="0"/>
          <w:color w:val="auto"/>
          <w:sz w:val="20"/>
        </w:rPr>
        <w:t xml:space="preserve"> </w:t>
      </w:r>
      <w:r>
        <w:rPr>
          <w:rFonts w:hint="eastAsia"/>
          <w:b w:val="0"/>
          <w:bCs w:val="0"/>
          <w:color w:val="auto"/>
          <w:sz w:val="20"/>
        </w:rPr>
        <w:tab/>
      </w:r>
      <w:r>
        <w:rPr>
          <w:rFonts w:hint="eastAsia"/>
          <w:b w:val="0"/>
          <w:bCs w:val="0"/>
          <w:color w:val="auto"/>
          <w:sz w:val="20"/>
        </w:rPr>
        <w:tab/>
      </w:r>
      <w:r>
        <w:rPr>
          <w:rFonts w:hint="eastAsia"/>
          <w:b w:val="0"/>
          <w:bCs w:val="0"/>
          <w:color w:val="auto"/>
          <w:sz w:val="20"/>
        </w:rPr>
        <w:t xml:space="preserve"> </w:t>
      </w:r>
      <w:r>
        <w:rPr>
          <w:b w:val="0"/>
          <w:bCs w:val="0"/>
          <w:color w:val="auto"/>
          <w:sz w:val="20"/>
        </w:rPr>
        <w:t xml:space="preserve">                                                           </w:t>
      </w:r>
      <w:r>
        <w:rPr>
          <w:b w:val="0"/>
          <w:bCs w:val="0"/>
          <w:color w:val="auto"/>
          <w:sz w:val="20"/>
        </w:rPr>
        <w:tab/>
      </w:r>
      <w:r>
        <w:rPr>
          <w:b w:val="0"/>
          <w:bCs w:val="0"/>
          <w:color w:val="auto"/>
          <w:sz w:val="20"/>
        </w:rPr>
        <w:t xml:space="preserve"> </w:t>
      </w:r>
      <w:r>
        <w:rPr>
          <w:b w:val="0"/>
          <w:bCs w:val="0"/>
          <w:color w:val="auto"/>
          <w:sz w:val="20"/>
        </w:rPr>
        <w:tab/>
      </w:r>
      <w:r>
        <w:rPr>
          <w:b w:val="0"/>
          <w:bCs w:val="0"/>
          <w:color w:val="auto"/>
          <w:sz w:val="20"/>
        </w:rPr>
        <w:t xml:space="preserve"> </w:t>
      </w:r>
      <w:r>
        <w:rPr>
          <w:rFonts w:hint="eastAsia"/>
          <w:b w:val="0"/>
          <w:bCs w:val="0"/>
          <w:color w:val="auto"/>
          <w:sz w:val="20"/>
        </w:rPr>
        <w:t>　　                                金额单位：万元</w:t>
      </w:r>
    </w:p>
    <w:tbl>
      <w:tblPr>
        <w:tblStyle w:val="12"/>
        <w:tblW w:w="13672" w:type="dxa"/>
        <w:jc w:val="center"/>
        <w:tblLayout w:type="fixed"/>
        <w:tblCellMar>
          <w:top w:w="0" w:type="dxa"/>
          <w:left w:w="108" w:type="dxa"/>
          <w:bottom w:w="0" w:type="dxa"/>
          <w:right w:w="108" w:type="dxa"/>
        </w:tblCellMar>
      </w:tblPr>
      <w:tblGrid>
        <w:gridCol w:w="1987"/>
        <w:gridCol w:w="3865"/>
        <w:gridCol w:w="1787"/>
        <w:gridCol w:w="1546"/>
        <w:gridCol w:w="1654"/>
        <w:gridCol w:w="1361"/>
        <w:gridCol w:w="1472"/>
      </w:tblGrid>
      <w:tr>
        <w:tblPrEx>
          <w:tblCellMar>
            <w:top w:w="0" w:type="dxa"/>
            <w:left w:w="108" w:type="dxa"/>
            <w:bottom w:w="0" w:type="dxa"/>
            <w:right w:w="108" w:type="dxa"/>
          </w:tblCellMar>
        </w:tblPrEx>
        <w:trPr>
          <w:trHeight w:val="440" w:hRule="atLeast"/>
          <w:jc w:val="center"/>
        </w:trPr>
        <w:tc>
          <w:tcPr>
            <w:tcW w:w="13672"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rPr>
                <w:rFonts w:eastAsia="楷体_GB2312"/>
                <w:color w:val="auto"/>
                <w:sz w:val="20"/>
                <w:szCs w:val="20"/>
              </w:rPr>
            </w:pPr>
            <w:r>
              <w:rPr>
                <w:rFonts w:hint="eastAsia" w:eastAsia="楷体_GB2312"/>
                <w:color w:val="auto"/>
                <w:sz w:val="20"/>
                <w:szCs w:val="20"/>
              </w:rPr>
              <w:t>填表说明：资金来源：省级财政专项资金、</w:t>
            </w:r>
            <w:r>
              <w:rPr>
                <w:rFonts w:hint="eastAsia" w:eastAsia="楷体_GB2312" w:asciiTheme="minorHAnsi" w:hAnsiTheme="minorHAnsi" w:cstheme="minorBidi"/>
                <w:color w:val="auto"/>
                <w:sz w:val="20"/>
                <w:szCs w:val="20"/>
              </w:rPr>
              <w:t>其他渠道资金</w:t>
            </w:r>
            <w:r>
              <w:rPr>
                <w:rFonts w:hint="eastAsia" w:eastAsia="楷体_GB2312"/>
                <w:color w:val="auto"/>
                <w:sz w:val="20"/>
                <w:szCs w:val="20"/>
              </w:rPr>
              <w:t>。</w:t>
            </w:r>
          </w:p>
        </w:tc>
      </w:tr>
      <w:tr>
        <w:tblPrEx>
          <w:tblCellMar>
            <w:top w:w="0" w:type="dxa"/>
            <w:left w:w="108" w:type="dxa"/>
            <w:bottom w:w="0" w:type="dxa"/>
            <w:right w:w="108" w:type="dxa"/>
          </w:tblCellMar>
        </w:tblPrEx>
        <w:trPr>
          <w:trHeight w:val="1117" w:hRule="atLeast"/>
          <w:jc w:val="center"/>
        </w:trPr>
        <w:tc>
          <w:tcPr>
            <w:tcW w:w="198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序号</w:t>
            </w:r>
          </w:p>
        </w:tc>
        <w:tc>
          <w:tcPr>
            <w:tcW w:w="38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lang w:eastAsia="zh-Hans"/>
              </w:rPr>
            </w:pPr>
            <w:r>
              <w:rPr>
                <w:rFonts w:hint="eastAsia" w:ascii="黑体" w:hAnsi="黑体" w:eastAsia="黑体" w:cs="黑体"/>
                <w:b w:val="0"/>
                <w:bCs w:val="0"/>
                <w:color w:val="auto"/>
                <w:kern w:val="0"/>
                <w:sz w:val="20"/>
                <w:szCs w:val="20"/>
                <w:lang w:eastAsia="zh-Hans"/>
              </w:rPr>
              <w:t>科目</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lang w:eastAsia="zh-Hans"/>
              </w:rPr>
            </w:pPr>
            <w:r>
              <w:rPr>
                <w:rFonts w:hint="eastAsia" w:ascii="黑体" w:hAnsi="黑体" w:eastAsia="黑体" w:cs="黑体"/>
                <w:b w:val="0"/>
                <w:bCs w:val="0"/>
                <w:color w:val="auto"/>
                <w:kern w:val="0"/>
                <w:sz w:val="20"/>
                <w:szCs w:val="20"/>
                <w:lang w:eastAsia="zh-Hans"/>
              </w:rPr>
              <w:t>单价</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lang w:eastAsia="zh-Hans"/>
              </w:rPr>
              <w:t>（元）</w:t>
            </w:r>
            <w:r>
              <w:rPr>
                <w:rFonts w:hint="eastAsia" w:ascii="黑体" w:hAnsi="黑体" w:eastAsia="黑体" w:cs="黑体"/>
                <w:b w:val="0"/>
                <w:bCs w:val="0"/>
                <w:color w:val="auto"/>
                <w:kern w:val="0"/>
                <w:sz w:val="20"/>
                <w:szCs w:val="20"/>
              </w:rPr>
              <w:t xml:space="preserve">          　</w:t>
            </w:r>
          </w:p>
        </w:tc>
        <w:tc>
          <w:tcPr>
            <w:tcW w:w="1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lang w:eastAsia="zh-Hans"/>
              </w:rPr>
            </w:pPr>
            <w:r>
              <w:rPr>
                <w:rFonts w:hint="eastAsia" w:ascii="黑体" w:hAnsi="黑体" w:eastAsia="黑体" w:cs="黑体"/>
                <w:b w:val="0"/>
                <w:bCs w:val="0"/>
                <w:color w:val="auto"/>
                <w:kern w:val="0"/>
                <w:sz w:val="20"/>
                <w:szCs w:val="20"/>
                <w:lang w:eastAsia="zh-Hans"/>
              </w:rPr>
              <w:t>工程量</w:t>
            </w: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lang w:eastAsia="zh-Hans"/>
              </w:rPr>
            </w:pPr>
            <w:r>
              <w:rPr>
                <w:rFonts w:hint="eastAsia" w:ascii="黑体" w:hAnsi="黑体" w:eastAsia="黑体" w:cs="黑体"/>
                <w:b w:val="0"/>
                <w:bCs w:val="0"/>
                <w:color w:val="auto"/>
                <w:kern w:val="0"/>
                <w:sz w:val="20"/>
                <w:szCs w:val="20"/>
                <w:lang w:eastAsia="zh-Hans"/>
              </w:rPr>
              <w:t>金额</w:t>
            </w:r>
          </w:p>
        </w:tc>
        <w:tc>
          <w:tcPr>
            <w:tcW w:w="13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lang w:eastAsia="zh-Hans"/>
              </w:rPr>
            </w:pPr>
            <w:r>
              <w:rPr>
                <w:rFonts w:hint="eastAsia" w:ascii="黑体" w:hAnsi="黑体" w:eastAsia="黑体" w:cs="黑体"/>
                <w:b w:val="0"/>
                <w:bCs w:val="0"/>
                <w:color w:val="auto"/>
                <w:kern w:val="0"/>
                <w:sz w:val="20"/>
                <w:szCs w:val="20"/>
                <w:lang w:eastAsia="zh-Hans"/>
              </w:rPr>
              <w:t>资金来源</w:t>
            </w: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lang w:eastAsia="zh-Hans"/>
              </w:rPr>
            </w:pPr>
            <w:r>
              <w:rPr>
                <w:rFonts w:hint="eastAsia" w:ascii="黑体" w:hAnsi="黑体" w:eastAsia="黑体" w:cs="黑体"/>
                <w:b w:val="0"/>
                <w:bCs w:val="0"/>
                <w:color w:val="auto"/>
                <w:kern w:val="0"/>
                <w:sz w:val="20"/>
                <w:szCs w:val="20"/>
              </w:rPr>
              <w:t>是否为推广示范任务资金</w:t>
            </w:r>
          </w:p>
        </w:tc>
      </w:tr>
      <w:tr>
        <w:tblPrEx>
          <w:tblCellMar>
            <w:top w:w="0" w:type="dxa"/>
            <w:left w:w="108" w:type="dxa"/>
            <w:bottom w:w="0" w:type="dxa"/>
            <w:right w:w="108" w:type="dxa"/>
          </w:tblCellMar>
        </w:tblPrEx>
        <w:trPr>
          <w:trHeight w:val="457" w:hRule="atLeast"/>
          <w:jc w:val="center"/>
        </w:trPr>
        <w:tc>
          <w:tcPr>
            <w:tcW w:w="198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hint="eastAsia" w:ascii="黑体" w:hAnsi="黑体" w:eastAsia="黑体" w:cs="黑体"/>
                <w:b w:val="0"/>
                <w:bCs w:val="0"/>
                <w:color w:val="auto"/>
                <w:kern w:val="0"/>
                <w:sz w:val="20"/>
                <w:szCs w:val="20"/>
              </w:rPr>
            </w:pPr>
          </w:p>
        </w:tc>
        <w:tc>
          <w:tcPr>
            <w:tcW w:w="38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（1）</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（2）</w:t>
            </w:r>
          </w:p>
        </w:tc>
        <w:tc>
          <w:tcPr>
            <w:tcW w:w="1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（3）</w:t>
            </w: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（4）</w:t>
            </w:r>
          </w:p>
        </w:tc>
        <w:tc>
          <w:tcPr>
            <w:tcW w:w="13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（5）</w:t>
            </w: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（6）</w:t>
            </w:r>
          </w:p>
        </w:tc>
      </w:tr>
      <w:tr>
        <w:tblPrEx>
          <w:tblCellMar>
            <w:top w:w="0" w:type="dxa"/>
            <w:left w:w="108" w:type="dxa"/>
            <w:bottom w:w="0" w:type="dxa"/>
            <w:right w:w="108" w:type="dxa"/>
          </w:tblCellMar>
        </w:tblPrEx>
        <w:trPr>
          <w:trHeight w:val="40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b/>
                <w:bCs/>
                <w:color w:val="auto"/>
                <w:kern w:val="0"/>
                <w:sz w:val="20"/>
                <w:szCs w:val="20"/>
              </w:rPr>
              <w:t>1</w:t>
            </w:r>
          </w:p>
        </w:tc>
        <w:tc>
          <w:tcPr>
            <w:tcW w:w="38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lang w:eastAsia="zh-Hans"/>
              </w:rPr>
            </w:pPr>
            <w:r>
              <w:rPr>
                <w:rFonts w:hint="eastAsia" w:ascii="仿宋_GB2312" w:hAnsi="仿宋_GB2312" w:eastAsia="仿宋_GB2312" w:cs="仿宋_GB2312"/>
                <w:b/>
                <w:bCs/>
                <w:color w:val="auto"/>
                <w:kern w:val="0"/>
                <w:sz w:val="20"/>
                <w:szCs w:val="20"/>
                <w:lang w:eastAsia="zh-Hans"/>
              </w:rPr>
              <w:t>基本建设费合计</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r>
              <w:rPr>
                <w:rFonts w:hint="eastAsia" w:ascii="仿宋_GB2312" w:hAnsi="仿宋_GB2312" w:eastAsia="仿宋_GB2312" w:cs="仿宋_GB2312"/>
                <w:color w:val="auto"/>
                <w:kern w:val="0"/>
                <w:sz w:val="20"/>
                <w:szCs w:val="20"/>
                <w:lang w:eastAsia="zh-Hans"/>
              </w:rPr>
              <w:t>.1</w:t>
            </w:r>
          </w:p>
        </w:tc>
        <w:tc>
          <w:tcPr>
            <w:tcW w:w="38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lang w:eastAsia="zh-Hans"/>
              </w:rPr>
            </w:pPr>
            <w:r>
              <w:rPr>
                <w:rFonts w:hint="eastAsia" w:ascii="仿宋_GB2312" w:hAnsi="仿宋_GB2312" w:eastAsia="仿宋_GB2312" w:cs="仿宋_GB2312"/>
                <w:color w:val="auto"/>
                <w:kern w:val="0"/>
                <w:sz w:val="20"/>
                <w:szCs w:val="20"/>
                <w:lang w:eastAsia="zh-Hans"/>
              </w:rPr>
              <w:t>房屋建筑物构建</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r>
              <w:rPr>
                <w:rFonts w:hint="eastAsia" w:ascii="仿宋_GB2312" w:hAnsi="仿宋_GB2312" w:eastAsia="仿宋_GB2312" w:cs="仿宋_GB2312"/>
                <w:color w:val="auto"/>
                <w:kern w:val="0"/>
                <w:sz w:val="20"/>
                <w:szCs w:val="20"/>
                <w:lang w:eastAsia="zh-Hans"/>
              </w:rPr>
              <w:t>.2</w:t>
            </w:r>
          </w:p>
        </w:tc>
        <w:tc>
          <w:tcPr>
            <w:tcW w:w="38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lang w:eastAsia="zh-Hans"/>
              </w:rPr>
            </w:pPr>
            <w:r>
              <w:rPr>
                <w:rFonts w:hint="eastAsia" w:ascii="仿宋_GB2312" w:hAnsi="仿宋_GB2312" w:eastAsia="仿宋_GB2312" w:cs="仿宋_GB2312"/>
                <w:color w:val="auto"/>
                <w:kern w:val="0"/>
                <w:sz w:val="20"/>
                <w:szCs w:val="20"/>
                <w:lang w:eastAsia="zh-Hans"/>
              </w:rPr>
              <w:t>专用设备购置</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r>
              <w:rPr>
                <w:rFonts w:hint="eastAsia" w:ascii="仿宋_GB2312" w:hAnsi="仿宋_GB2312" w:eastAsia="仿宋_GB2312" w:cs="仿宋_GB2312"/>
                <w:color w:val="auto"/>
                <w:kern w:val="0"/>
                <w:sz w:val="20"/>
                <w:szCs w:val="20"/>
                <w:lang w:eastAsia="zh-Hans"/>
              </w:rPr>
              <w:t>.3</w:t>
            </w:r>
          </w:p>
        </w:tc>
        <w:tc>
          <w:tcPr>
            <w:tcW w:w="38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lang w:eastAsia="zh-Hans"/>
              </w:rPr>
            </w:pPr>
            <w:r>
              <w:rPr>
                <w:rFonts w:hint="eastAsia" w:ascii="仿宋_GB2312" w:hAnsi="仿宋_GB2312" w:eastAsia="仿宋_GB2312" w:cs="仿宋_GB2312"/>
                <w:color w:val="auto"/>
                <w:kern w:val="0"/>
                <w:sz w:val="20"/>
                <w:szCs w:val="20"/>
                <w:lang w:eastAsia="zh-Hans"/>
              </w:rPr>
              <w:t>基础设施建设</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r>
              <w:rPr>
                <w:rFonts w:hint="eastAsia" w:ascii="仿宋_GB2312" w:hAnsi="仿宋_GB2312" w:eastAsia="仿宋_GB2312" w:cs="仿宋_GB2312"/>
                <w:color w:val="auto"/>
                <w:kern w:val="0"/>
                <w:sz w:val="20"/>
                <w:szCs w:val="20"/>
                <w:lang w:eastAsia="zh-Hans"/>
              </w:rPr>
              <w:t>.4</w:t>
            </w:r>
          </w:p>
        </w:tc>
        <w:tc>
          <w:tcPr>
            <w:tcW w:w="38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lang w:eastAsia="zh-Hans"/>
              </w:rPr>
            </w:pPr>
            <w:r>
              <w:rPr>
                <w:rFonts w:hint="eastAsia" w:ascii="仿宋_GB2312" w:hAnsi="仿宋_GB2312" w:eastAsia="仿宋_GB2312" w:cs="仿宋_GB2312"/>
                <w:color w:val="auto"/>
                <w:kern w:val="0"/>
                <w:sz w:val="20"/>
                <w:szCs w:val="20"/>
                <w:lang w:eastAsia="zh-Hans"/>
              </w:rPr>
              <w:t>大型修缮</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r>
              <w:rPr>
                <w:rFonts w:hint="eastAsia" w:ascii="仿宋_GB2312" w:hAnsi="仿宋_GB2312" w:eastAsia="仿宋_GB2312" w:cs="仿宋_GB2312"/>
                <w:color w:val="auto"/>
                <w:kern w:val="0"/>
                <w:sz w:val="20"/>
                <w:szCs w:val="20"/>
                <w:lang w:eastAsia="zh-Hans"/>
              </w:rPr>
              <w:t>.5</w:t>
            </w:r>
          </w:p>
        </w:tc>
        <w:tc>
          <w:tcPr>
            <w:tcW w:w="38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lang w:eastAsia="zh-Hans"/>
              </w:rPr>
            </w:pPr>
            <w:r>
              <w:rPr>
                <w:rFonts w:hint="eastAsia" w:ascii="仿宋_GB2312" w:hAnsi="仿宋_GB2312" w:eastAsia="仿宋_GB2312" w:cs="仿宋_GB2312"/>
                <w:color w:val="auto"/>
                <w:kern w:val="0"/>
                <w:sz w:val="20"/>
                <w:szCs w:val="20"/>
                <w:lang w:eastAsia="zh-Hans"/>
              </w:rPr>
              <w:t>信息网络建设</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rPr>
          <w:trHeight w:val="375" w:hRule="atLeast"/>
          <w:jc w:val="center"/>
        </w:trPr>
        <w:tc>
          <w:tcPr>
            <w:tcW w:w="19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r>
              <w:rPr>
                <w:rFonts w:hint="eastAsia" w:ascii="仿宋_GB2312" w:hAnsi="仿宋_GB2312" w:eastAsia="仿宋_GB2312" w:cs="仿宋_GB2312"/>
                <w:color w:val="auto"/>
                <w:kern w:val="0"/>
                <w:sz w:val="20"/>
                <w:szCs w:val="20"/>
                <w:lang w:eastAsia="zh-Hans"/>
              </w:rPr>
              <w:t>.6</w:t>
            </w:r>
          </w:p>
        </w:tc>
        <w:tc>
          <w:tcPr>
            <w:tcW w:w="38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lang w:eastAsia="zh-Hans"/>
              </w:rPr>
            </w:pPr>
            <w:r>
              <w:rPr>
                <w:rFonts w:hint="eastAsia" w:ascii="仿宋_GB2312" w:hAnsi="仿宋_GB2312" w:eastAsia="仿宋_GB2312" w:cs="仿宋_GB2312"/>
                <w:color w:val="auto"/>
                <w:kern w:val="0"/>
                <w:sz w:val="20"/>
                <w:szCs w:val="20"/>
                <w:lang w:eastAsia="zh-Hans"/>
              </w:rPr>
              <w:t>其他基本建设支出</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3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bl>
    <w:p>
      <w:pPr>
        <w:rPr>
          <w:color w:val="auto"/>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adjustRightInd w:val="0"/>
        <w:snapToGrid w:val="0"/>
        <w:spacing w:line="56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其他费用预算明细表</w:t>
      </w:r>
    </w:p>
    <w:p>
      <w:pPr>
        <w:autoSpaceDE w:val="0"/>
        <w:autoSpaceDN w:val="0"/>
        <w:adjustRightInd w:val="0"/>
        <w:snapToGrid w:val="0"/>
        <w:spacing w:line="568" w:lineRule="exact"/>
        <w:ind w:firstLine="536"/>
        <w:jc w:val="center"/>
        <w:rPr>
          <w:rFonts w:ascii="黑体" w:hAnsi="黑体" w:eastAsia="黑体"/>
          <w:color w:val="auto"/>
          <w:sz w:val="28"/>
          <w:szCs w:val="28"/>
        </w:rPr>
      </w:pPr>
    </w:p>
    <w:p>
      <w:pPr>
        <w:autoSpaceDE w:val="0"/>
        <w:autoSpaceDN w:val="0"/>
        <w:adjustRightInd w:val="0"/>
        <w:snapToGrid w:val="0"/>
        <w:spacing w:line="568" w:lineRule="exact"/>
        <w:ind w:firstLine="200" w:firstLineChars="100"/>
        <w:rPr>
          <w:b w:val="0"/>
          <w:bCs w:val="0"/>
          <w:color w:val="auto"/>
        </w:rPr>
      </w:pPr>
      <w:r>
        <w:rPr>
          <w:rFonts w:hint="eastAsia" w:ascii="黑体" w:hAnsi="黑体" w:eastAsia="黑体" w:cs="黑体"/>
          <w:b w:val="0"/>
          <w:bCs w:val="0"/>
          <w:color w:val="auto"/>
          <w:sz w:val="20"/>
        </w:rPr>
        <w:t>表B1</w:t>
      </w:r>
      <w:r>
        <w:rPr>
          <w:rFonts w:hint="eastAsia" w:ascii="黑体" w:hAnsi="黑体" w:eastAsia="黑体" w:cs="黑体"/>
          <w:b w:val="0"/>
          <w:bCs w:val="0"/>
          <w:color w:val="auto"/>
          <w:sz w:val="20"/>
          <w:lang w:val="en-US" w:eastAsia="zh-CN"/>
        </w:rPr>
        <w:t>7</w:t>
      </w:r>
      <w:r>
        <w:rPr>
          <w:rFonts w:hint="eastAsia"/>
          <w:b w:val="0"/>
          <w:bCs w:val="0"/>
          <w:color w:val="auto"/>
          <w:sz w:val="20"/>
        </w:rPr>
        <w:t xml:space="preserve">  </w:t>
      </w:r>
      <w:r>
        <w:rPr>
          <w:rFonts w:hint="eastAsia"/>
          <w:b w:val="0"/>
          <w:bCs w:val="0"/>
          <w:color w:val="auto"/>
          <w:sz w:val="20"/>
        </w:rPr>
        <w:tab/>
      </w:r>
      <w:r>
        <w:rPr>
          <w:rFonts w:hint="eastAsia"/>
          <w:b w:val="0"/>
          <w:bCs w:val="0"/>
          <w:color w:val="auto"/>
          <w:sz w:val="20"/>
        </w:rPr>
        <w:tab/>
      </w:r>
      <w:r>
        <w:rPr>
          <w:rFonts w:hint="eastAsia"/>
          <w:b w:val="0"/>
          <w:bCs w:val="0"/>
          <w:color w:val="auto"/>
          <w:sz w:val="20"/>
        </w:rPr>
        <w:t xml:space="preserve"> </w:t>
      </w:r>
      <w:r>
        <w:rPr>
          <w:b w:val="0"/>
          <w:bCs w:val="0"/>
          <w:color w:val="auto"/>
          <w:sz w:val="20"/>
        </w:rPr>
        <w:t xml:space="preserve">                                                       </w:t>
      </w:r>
      <w:r>
        <w:rPr>
          <w:b w:val="0"/>
          <w:bCs w:val="0"/>
          <w:color w:val="auto"/>
          <w:sz w:val="20"/>
        </w:rPr>
        <w:tab/>
      </w:r>
      <w:r>
        <w:rPr>
          <w:b w:val="0"/>
          <w:bCs w:val="0"/>
          <w:color w:val="auto"/>
          <w:sz w:val="20"/>
        </w:rPr>
        <w:t xml:space="preserve"> </w:t>
      </w:r>
      <w:r>
        <w:rPr>
          <w:b w:val="0"/>
          <w:bCs w:val="0"/>
          <w:color w:val="auto"/>
          <w:sz w:val="20"/>
        </w:rPr>
        <w:tab/>
      </w:r>
      <w:r>
        <w:rPr>
          <w:b w:val="0"/>
          <w:bCs w:val="0"/>
          <w:color w:val="auto"/>
          <w:sz w:val="20"/>
        </w:rPr>
        <w:t xml:space="preserve"> </w:t>
      </w:r>
      <w:r>
        <w:rPr>
          <w:rFonts w:hint="eastAsia"/>
          <w:b w:val="0"/>
          <w:bCs w:val="0"/>
          <w:color w:val="auto"/>
          <w:sz w:val="20"/>
        </w:rPr>
        <w:t>　　                               金额单位：万元</w:t>
      </w:r>
    </w:p>
    <w:tbl>
      <w:tblPr>
        <w:tblStyle w:val="12"/>
        <w:tblW w:w="13333" w:type="dxa"/>
        <w:jc w:val="center"/>
        <w:tblLayout w:type="fixed"/>
        <w:tblCellMar>
          <w:top w:w="0" w:type="dxa"/>
          <w:left w:w="108" w:type="dxa"/>
          <w:bottom w:w="0" w:type="dxa"/>
          <w:right w:w="108" w:type="dxa"/>
        </w:tblCellMar>
      </w:tblPr>
      <w:tblGrid>
        <w:gridCol w:w="869"/>
        <w:gridCol w:w="3350"/>
        <w:gridCol w:w="1728"/>
        <w:gridCol w:w="1653"/>
        <w:gridCol w:w="1349"/>
        <w:gridCol w:w="1513"/>
        <w:gridCol w:w="1235"/>
        <w:gridCol w:w="1636"/>
      </w:tblGrid>
      <w:tr>
        <w:tblPrEx>
          <w:tblCellMar>
            <w:top w:w="0" w:type="dxa"/>
            <w:left w:w="108" w:type="dxa"/>
            <w:bottom w:w="0" w:type="dxa"/>
            <w:right w:w="108" w:type="dxa"/>
          </w:tblCellMar>
        </w:tblPrEx>
        <w:trPr>
          <w:trHeight w:val="697" w:hRule="atLeast"/>
          <w:jc w:val="center"/>
        </w:trPr>
        <w:tc>
          <w:tcPr>
            <w:tcW w:w="13333" w:type="dxa"/>
            <w:gridSpan w:val="8"/>
            <w:tcBorders>
              <w:top w:val="single" w:color="auto" w:sz="4" w:space="0"/>
              <w:left w:val="single" w:color="auto" w:sz="4" w:space="0"/>
              <w:bottom w:val="single" w:color="auto" w:sz="4" w:space="0"/>
              <w:right w:val="single" w:color="auto" w:sz="4" w:space="0"/>
            </w:tcBorders>
          </w:tcPr>
          <w:p>
            <w:pPr>
              <w:adjustRightInd w:val="0"/>
              <w:snapToGrid w:val="0"/>
              <w:spacing w:line="276" w:lineRule="auto"/>
              <w:rPr>
                <w:rFonts w:eastAsia="楷体_GB2312"/>
                <w:color w:val="auto"/>
                <w:sz w:val="20"/>
                <w:szCs w:val="20"/>
              </w:rPr>
            </w:pPr>
            <w:r>
              <w:rPr>
                <w:rFonts w:hint="eastAsia" w:eastAsia="楷体_GB2312"/>
                <w:color w:val="auto"/>
                <w:sz w:val="20"/>
                <w:szCs w:val="20"/>
              </w:rPr>
              <w:t>填表说明：资金来源：省级财政专项资金、</w:t>
            </w:r>
            <w:r>
              <w:rPr>
                <w:rFonts w:hint="eastAsia" w:eastAsia="楷体_GB2312" w:asciiTheme="minorHAnsi" w:hAnsiTheme="minorHAnsi" w:cstheme="minorBidi"/>
                <w:color w:val="auto"/>
                <w:sz w:val="20"/>
                <w:szCs w:val="20"/>
              </w:rPr>
              <w:t>其他渠道资金</w:t>
            </w:r>
            <w:r>
              <w:rPr>
                <w:rFonts w:hint="eastAsia" w:eastAsia="楷体_GB2312"/>
                <w:color w:val="auto"/>
                <w:sz w:val="20"/>
                <w:szCs w:val="20"/>
              </w:rPr>
              <w:t>。</w:t>
            </w:r>
          </w:p>
        </w:tc>
      </w:tr>
      <w:tr>
        <w:tblPrEx>
          <w:tblCellMar>
            <w:top w:w="0" w:type="dxa"/>
            <w:left w:w="108" w:type="dxa"/>
            <w:bottom w:w="0" w:type="dxa"/>
            <w:right w:w="108" w:type="dxa"/>
          </w:tblCellMar>
        </w:tblPrEx>
        <w:trPr>
          <w:trHeight w:val="1117" w:hRule="atLeast"/>
          <w:jc w:val="center"/>
        </w:trPr>
        <w:tc>
          <w:tcPr>
            <w:tcW w:w="86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序号</w:t>
            </w:r>
          </w:p>
        </w:tc>
        <w:tc>
          <w:tcPr>
            <w:tcW w:w="33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费用名称</w:t>
            </w:r>
          </w:p>
        </w:tc>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数量          　</w:t>
            </w:r>
          </w:p>
        </w:tc>
        <w:tc>
          <w:tcPr>
            <w:tcW w:w="16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单价</w:t>
            </w:r>
          </w:p>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（元/单位）</w:t>
            </w:r>
          </w:p>
        </w:tc>
        <w:tc>
          <w:tcPr>
            <w:tcW w:w="13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计量单位</w:t>
            </w:r>
          </w:p>
        </w:tc>
        <w:tc>
          <w:tcPr>
            <w:tcW w:w="15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金额</w:t>
            </w:r>
          </w:p>
        </w:tc>
        <w:tc>
          <w:tcPr>
            <w:tcW w:w="12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资金来源</w:t>
            </w:r>
          </w:p>
        </w:tc>
        <w:tc>
          <w:tcPr>
            <w:tcW w:w="16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是否为推广示范任务资金</w:t>
            </w:r>
          </w:p>
        </w:tc>
      </w:tr>
      <w:tr>
        <w:tblPrEx>
          <w:tblCellMar>
            <w:top w:w="0" w:type="dxa"/>
            <w:left w:w="108" w:type="dxa"/>
            <w:bottom w:w="0" w:type="dxa"/>
            <w:right w:w="108" w:type="dxa"/>
          </w:tblCellMar>
        </w:tblPrEx>
        <w:trPr>
          <w:trHeight w:val="457" w:hRule="atLeast"/>
          <w:jc w:val="center"/>
        </w:trPr>
        <w:tc>
          <w:tcPr>
            <w:tcW w:w="869"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b/>
                <w:bCs/>
                <w:color w:val="auto"/>
                <w:kern w:val="0"/>
                <w:sz w:val="20"/>
                <w:szCs w:val="20"/>
              </w:rPr>
            </w:pPr>
          </w:p>
        </w:tc>
        <w:tc>
          <w:tcPr>
            <w:tcW w:w="33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b/>
                <w:bCs/>
                <w:color w:val="auto"/>
                <w:kern w:val="0"/>
                <w:sz w:val="20"/>
                <w:szCs w:val="20"/>
              </w:rPr>
              <w:t>（1）</w:t>
            </w:r>
          </w:p>
        </w:tc>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b/>
                <w:bCs/>
                <w:color w:val="auto"/>
                <w:kern w:val="0"/>
                <w:sz w:val="20"/>
                <w:szCs w:val="20"/>
              </w:rPr>
              <w:t>（2）</w:t>
            </w:r>
          </w:p>
        </w:tc>
        <w:tc>
          <w:tcPr>
            <w:tcW w:w="16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b/>
                <w:bCs/>
                <w:color w:val="auto"/>
                <w:kern w:val="0"/>
                <w:sz w:val="20"/>
                <w:szCs w:val="20"/>
              </w:rPr>
              <w:t>（</w:t>
            </w:r>
            <w:r>
              <w:rPr>
                <w:rFonts w:hint="eastAsia"/>
                <w:b/>
                <w:bCs/>
                <w:color w:val="auto"/>
                <w:kern w:val="0"/>
                <w:sz w:val="20"/>
                <w:szCs w:val="20"/>
              </w:rPr>
              <w:t>3</w:t>
            </w:r>
            <w:r>
              <w:rPr>
                <w:b/>
                <w:bCs/>
                <w:color w:val="auto"/>
                <w:kern w:val="0"/>
                <w:sz w:val="20"/>
                <w:szCs w:val="20"/>
              </w:rPr>
              <w:t>）</w:t>
            </w:r>
          </w:p>
        </w:tc>
        <w:tc>
          <w:tcPr>
            <w:tcW w:w="13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b/>
                <w:bCs/>
                <w:color w:val="auto"/>
                <w:kern w:val="0"/>
                <w:sz w:val="20"/>
                <w:szCs w:val="20"/>
              </w:rPr>
              <w:t>（</w:t>
            </w:r>
            <w:r>
              <w:rPr>
                <w:rFonts w:hint="eastAsia"/>
                <w:b/>
                <w:bCs/>
                <w:color w:val="auto"/>
                <w:kern w:val="0"/>
                <w:sz w:val="20"/>
                <w:szCs w:val="20"/>
              </w:rPr>
              <w:t>4</w:t>
            </w:r>
            <w:r>
              <w:rPr>
                <w:b/>
                <w:bCs/>
                <w:color w:val="auto"/>
                <w:kern w:val="0"/>
                <w:sz w:val="20"/>
                <w:szCs w:val="20"/>
              </w:rPr>
              <w:t>）</w:t>
            </w:r>
          </w:p>
        </w:tc>
        <w:tc>
          <w:tcPr>
            <w:tcW w:w="15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b/>
                <w:bCs/>
                <w:color w:val="auto"/>
                <w:kern w:val="0"/>
                <w:sz w:val="20"/>
                <w:szCs w:val="20"/>
              </w:rPr>
              <w:t>（</w:t>
            </w:r>
            <w:r>
              <w:rPr>
                <w:rFonts w:hint="eastAsia"/>
                <w:b/>
                <w:bCs/>
                <w:color w:val="auto"/>
                <w:kern w:val="0"/>
                <w:sz w:val="20"/>
                <w:szCs w:val="20"/>
              </w:rPr>
              <w:t>5</w:t>
            </w:r>
            <w:r>
              <w:rPr>
                <w:b/>
                <w:bCs/>
                <w:color w:val="auto"/>
                <w:kern w:val="0"/>
                <w:sz w:val="20"/>
                <w:szCs w:val="20"/>
              </w:rPr>
              <w:t>）</w:t>
            </w:r>
          </w:p>
        </w:tc>
        <w:tc>
          <w:tcPr>
            <w:tcW w:w="12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b/>
                <w:bCs/>
                <w:color w:val="auto"/>
                <w:kern w:val="0"/>
                <w:sz w:val="20"/>
                <w:szCs w:val="20"/>
              </w:rPr>
              <w:t>（</w:t>
            </w:r>
            <w:r>
              <w:rPr>
                <w:rFonts w:hint="eastAsia"/>
                <w:b/>
                <w:bCs/>
                <w:color w:val="auto"/>
                <w:kern w:val="0"/>
                <w:sz w:val="20"/>
                <w:szCs w:val="20"/>
              </w:rPr>
              <w:t>6</w:t>
            </w:r>
            <w:r>
              <w:rPr>
                <w:b/>
                <w:bCs/>
                <w:color w:val="auto"/>
                <w:kern w:val="0"/>
                <w:sz w:val="20"/>
                <w:szCs w:val="20"/>
              </w:rPr>
              <w:t>）</w:t>
            </w:r>
          </w:p>
        </w:tc>
        <w:tc>
          <w:tcPr>
            <w:tcW w:w="16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bCs/>
                <w:color w:val="auto"/>
                <w:kern w:val="0"/>
                <w:sz w:val="20"/>
                <w:szCs w:val="20"/>
              </w:rPr>
            </w:pPr>
            <w:r>
              <w:rPr>
                <w:rFonts w:hint="eastAsia" w:asciiTheme="minorEastAsia" w:hAnsiTheme="minorEastAsia" w:eastAsiaTheme="minorEastAsia"/>
                <w:b/>
                <w:bCs/>
                <w:color w:val="auto"/>
                <w:kern w:val="0"/>
                <w:sz w:val="20"/>
                <w:szCs w:val="20"/>
              </w:rPr>
              <w:t>（</w:t>
            </w:r>
            <w:r>
              <w:rPr>
                <w:rFonts w:asciiTheme="minorEastAsia" w:hAnsiTheme="minorEastAsia" w:eastAsiaTheme="minorEastAsia"/>
                <w:b/>
                <w:bCs/>
                <w:color w:val="auto"/>
                <w:kern w:val="0"/>
                <w:sz w:val="20"/>
                <w:szCs w:val="20"/>
              </w:rPr>
              <w:t>7</w:t>
            </w:r>
            <w:r>
              <w:rPr>
                <w:rFonts w:hint="eastAsia" w:asciiTheme="minorEastAsia" w:hAnsiTheme="minorEastAsia" w:eastAsiaTheme="minorEastAsia"/>
                <w:b/>
                <w:bCs/>
                <w:color w:val="auto"/>
                <w:kern w:val="0"/>
                <w:sz w:val="20"/>
                <w:szCs w:val="20"/>
              </w:rPr>
              <w:t>）</w:t>
            </w:r>
          </w:p>
        </w:tc>
      </w:tr>
      <w:tr>
        <w:tblPrEx>
          <w:tblCellMar>
            <w:top w:w="0" w:type="dxa"/>
            <w:left w:w="108" w:type="dxa"/>
            <w:bottom w:w="0" w:type="dxa"/>
            <w:right w:w="108" w:type="dxa"/>
          </w:tblCellMar>
        </w:tblPrEx>
        <w:trPr>
          <w:trHeight w:val="40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p>
        </w:tc>
        <w:tc>
          <w:tcPr>
            <w:tcW w:w="33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6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6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2</w:t>
            </w:r>
          </w:p>
        </w:tc>
        <w:tc>
          <w:tcPr>
            <w:tcW w:w="33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6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6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3</w:t>
            </w:r>
          </w:p>
        </w:tc>
        <w:tc>
          <w:tcPr>
            <w:tcW w:w="33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6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6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4</w:t>
            </w:r>
          </w:p>
        </w:tc>
        <w:tc>
          <w:tcPr>
            <w:tcW w:w="33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6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6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5</w:t>
            </w:r>
          </w:p>
        </w:tc>
        <w:tc>
          <w:tcPr>
            <w:tcW w:w="33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6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13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5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6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r>
      <w:tr>
        <w:tblPrEx>
          <w:tblCellMar>
            <w:top w:w="0" w:type="dxa"/>
            <w:left w:w="108" w:type="dxa"/>
            <w:bottom w:w="0" w:type="dxa"/>
            <w:right w:w="108" w:type="dxa"/>
          </w:tblCellMar>
        </w:tblPrEx>
        <w:trPr>
          <w:trHeight w:val="375" w:hRule="atLeast"/>
          <w:jc w:val="center"/>
        </w:trPr>
        <w:tc>
          <w:tcPr>
            <w:tcW w:w="7600"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hint="eastAsia" w:ascii="仿宋_GB2312" w:hAnsi="仿宋_GB2312" w:eastAsia="仿宋_GB2312" w:cs="仿宋_GB2312"/>
                <w:b/>
                <w:bCs/>
                <w:color w:val="auto"/>
                <w:kern w:val="0"/>
                <w:sz w:val="20"/>
                <w:szCs w:val="20"/>
              </w:rPr>
            </w:pPr>
            <w:r>
              <w:rPr>
                <w:rFonts w:hint="eastAsia" w:ascii="仿宋_GB2312" w:hAnsi="仿宋_GB2312" w:eastAsia="仿宋_GB2312" w:cs="仿宋_GB2312"/>
                <w:b/>
                <w:bCs/>
                <w:color w:val="auto"/>
                <w:kern w:val="0"/>
                <w:sz w:val="20"/>
                <w:szCs w:val="20"/>
              </w:rPr>
              <w:t>累计</w:t>
            </w:r>
          </w:p>
        </w:tc>
        <w:tc>
          <w:tcPr>
            <w:tcW w:w="13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color w:val="auto"/>
                <w:kern w:val="0"/>
                <w:sz w:val="20"/>
                <w:szCs w:val="20"/>
              </w:rPr>
              <w:t>／</w:t>
            </w:r>
          </w:p>
        </w:tc>
        <w:tc>
          <w:tcPr>
            <w:tcW w:w="15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p>
        </w:tc>
        <w:tc>
          <w:tcPr>
            <w:tcW w:w="12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eastAsia="仿宋_GB2312"/>
                <w:color w:val="auto"/>
                <w:kern w:val="0"/>
                <w:sz w:val="20"/>
                <w:szCs w:val="20"/>
              </w:rPr>
            </w:pPr>
            <w:r>
              <w:rPr>
                <w:rFonts w:hint="eastAsia" w:asciiTheme="minorEastAsia" w:hAnsiTheme="minorEastAsia" w:eastAsiaTheme="minorEastAsia"/>
                <w:color w:val="auto"/>
                <w:kern w:val="0"/>
                <w:sz w:val="20"/>
                <w:szCs w:val="20"/>
              </w:rPr>
              <w:t>／</w:t>
            </w:r>
          </w:p>
        </w:tc>
        <w:tc>
          <w:tcPr>
            <w:tcW w:w="16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color w:val="auto"/>
                <w:kern w:val="0"/>
                <w:sz w:val="20"/>
                <w:szCs w:val="20"/>
              </w:rPr>
            </w:pPr>
            <w:r>
              <w:rPr>
                <w:rFonts w:hint="eastAsia" w:asciiTheme="minorEastAsia" w:hAnsiTheme="minorEastAsia" w:eastAsiaTheme="minorEastAsia"/>
                <w:color w:val="auto"/>
                <w:kern w:val="0"/>
                <w:sz w:val="20"/>
                <w:szCs w:val="20"/>
              </w:rPr>
              <w:t>／</w:t>
            </w:r>
          </w:p>
        </w:tc>
      </w:tr>
    </w:tbl>
    <w:p>
      <w:pPr>
        <w:autoSpaceDE w:val="0"/>
        <w:autoSpaceDN w:val="0"/>
        <w:ind w:firstLine="536"/>
        <w:jc w:val="center"/>
        <w:rPr>
          <w:rFonts w:eastAsia="黑体"/>
          <w:color w:val="auto"/>
          <w:sz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adjustRightInd w:val="0"/>
        <w:snapToGrid w:val="0"/>
        <w:spacing w:line="56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间接费用预算明细表</w:t>
      </w:r>
    </w:p>
    <w:p>
      <w:pPr>
        <w:autoSpaceDE w:val="0"/>
        <w:autoSpaceDN w:val="0"/>
        <w:adjustRightInd w:val="0"/>
        <w:snapToGrid w:val="0"/>
        <w:spacing w:line="568" w:lineRule="exact"/>
        <w:ind w:firstLine="536"/>
        <w:jc w:val="center"/>
        <w:rPr>
          <w:rFonts w:ascii="黑体" w:hAnsi="黑体" w:eastAsia="黑体"/>
          <w:color w:val="auto"/>
          <w:sz w:val="28"/>
          <w:szCs w:val="28"/>
        </w:rPr>
      </w:pPr>
    </w:p>
    <w:p>
      <w:pPr>
        <w:autoSpaceDE w:val="0"/>
        <w:autoSpaceDN w:val="0"/>
        <w:adjustRightInd w:val="0"/>
        <w:snapToGrid w:val="0"/>
        <w:spacing w:line="568" w:lineRule="exact"/>
        <w:ind w:firstLine="300" w:firstLineChars="150"/>
        <w:rPr>
          <w:b w:val="0"/>
          <w:bCs w:val="0"/>
          <w:color w:val="auto"/>
        </w:rPr>
      </w:pPr>
      <w:r>
        <w:rPr>
          <w:rFonts w:hint="eastAsia" w:ascii="黑体" w:hAnsi="黑体" w:eastAsia="黑体" w:cs="黑体"/>
          <w:b w:val="0"/>
          <w:bCs w:val="0"/>
          <w:color w:val="auto"/>
          <w:sz w:val="20"/>
        </w:rPr>
        <w:t>表B1</w:t>
      </w:r>
      <w:r>
        <w:rPr>
          <w:rFonts w:hint="eastAsia" w:ascii="黑体" w:hAnsi="黑体" w:eastAsia="黑体" w:cs="黑体"/>
          <w:b w:val="0"/>
          <w:bCs w:val="0"/>
          <w:color w:val="auto"/>
          <w:sz w:val="20"/>
          <w:lang w:val="en-US" w:eastAsia="zh-CN"/>
        </w:rPr>
        <w:t>8</w:t>
      </w:r>
      <w:r>
        <w:rPr>
          <w:rFonts w:hint="eastAsia"/>
          <w:b w:val="0"/>
          <w:bCs w:val="0"/>
          <w:color w:val="auto"/>
          <w:sz w:val="20"/>
        </w:rPr>
        <w:t xml:space="preserve">  </w:t>
      </w:r>
      <w:r>
        <w:rPr>
          <w:rFonts w:hint="eastAsia"/>
          <w:b w:val="0"/>
          <w:bCs w:val="0"/>
          <w:color w:val="auto"/>
          <w:sz w:val="20"/>
        </w:rPr>
        <w:tab/>
      </w:r>
      <w:r>
        <w:rPr>
          <w:rFonts w:hint="eastAsia"/>
          <w:b w:val="0"/>
          <w:bCs w:val="0"/>
          <w:color w:val="auto"/>
          <w:sz w:val="20"/>
        </w:rPr>
        <w:tab/>
      </w:r>
      <w:r>
        <w:rPr>
          <w:rFonts w:hint="eastAsia"/>
          <w:b w:val="0"/>
          <w:bCs w:val="0"/>
          <w:color w:val="auto"/>
          <w:sz w:val="20"/>
        </w:rPr>
        <w:t xml:space="preserve"> </w:t>
      </w:r>
      <w:r>
        <w:rPr>
          <w:b w:val="0"/>
          <w:bCs w:val="0"/>
          <w:color w:val="auto"/>
          <w:sz w:val="20"/>
        </w:rPr>
        <w:t xml:space="preserve">                                                        </w:t>
      </w:r>
      <w:r>
        <w:rPr>
          <w:b w:val="0"/>
          <w:bCs w:val="0"/>
          <w:color w:val="auto"/>
          <w:sz w:val="20"/>
        </w:rPr>
        <w:tab/>
      </w:r>
      <w:r>
        <w:rPr>
          <w:b w:val="0"/>
          <w:bCs w:val="0"/>
          <w:color w:val="auto"/>
          <w:sz w:val="20"/>
        </w:rPr>
        <w:t xml:space="preserve"> </w:t>
      </w:r>
      <w:r>
        <w:rPr>
          <w:b w:val="0"/>
          <w:bCs w:val="0"/>
          <w:color w:val="auto"/>
          <w:sz w:val="20"/>
        </w:rPr>
        <w:tab/>
      </w:r>
      <w:r>
        <w:rPr>
          <w:b w:val="0"/>
          <w:bCs w:val="0"/>
          <w:color w:val="auto"/>
          <w:sz w:val="20"/>
        </w:rPr>
        <w:t xml:space="preserve"> </w:t>
      </w:r>
      <w:r>
        <w:rPr>
          <w:rFonts w:hint="eastAsia"/>
          <w:b w:val="0"/>
          <w:bCs w:val="0"/>
          <w:color w:val="auto"/>
          <w:sz w:val="20"/>
        </w:rPr>
        <w:t>　　                               金额单位：万元</w:t>
      </w:r>
    </w:p>
    <w:tbl>
      <w:tblPr>
        <w:tblStyle w:val="12"/>
        <w:tblW w:w="13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5372"/>
        <w:gridCol w:w="2854"/>
        <w:gridCol w:w="4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3309" w:type="dxa"/>
            <w:gridSpan w:val="4"/>
            <w:vAlign w:val="center"/>
          </w:tcPr>
          <w:p>
            <w:pPr>
              <w:adjustRightInd w:val="0"/>
              <w:snapToGrid w:val="0"/>
              <w:spacing w:line="276" w:lineRule="auto"/>
              <w:jc w:val="left"/>
              <w:rPr>
                <w:rFonts w:hint="eastAsia" w:ascii="楷体_GB2312" w:hAnsi="楷体_GB2312" w:eastAsia="楷体_GB2312" w:cs="楷体_GB2312"/>
                <w:color w:val="auto"/>
                <w:sz w:val="20"/>
                <w:szCs w:val="20"/>
              </w:rPr>
            </w:pPr>
            <w:r>
              <w:rPr>
                <w:rFonts w:hint="eastAsia" w:ascii="楷体_GB2312" w:hAnsi="楷体_GB2312" w:eastAsia="楷体_GB2312" w:cs="楷体_GB2312"/>
                <w:color w:val="auto"/>
                <w:sz w:val="20"/>
                <w:szCs w:val="20"/>
              </w:rPr>
              <w:t>填表说明：1.资金来源：省级财政专项资金、其他渠道资金；</w:t>
            </w:r>
          </w:p>
          <w:p>
            <w:pPr>
              <w:adjustRightInd w:val="0"/>
              <w:snapToGrid w:val="0"/>
              <w:spacing w:line="276" w:lineRule="auto"/>
              <w:ind w:firstLine="1000" w:firstLineChars="500"/>
              <w:jc w:val="left"/>
              <w:rPr>
                <w:rFonts w:hint="eastAsia" w:ascii="仿宋_GB2312" w:hAnsi="仿宋_GB2312" w:eastAsia="仿宋_GB2312" w:cs="仿宋_GB2312"/>
                <w:color w:val="auto"/>
                <w:sz w:val="20"/>
                <w:szCs w:val="20"/>
              </w:rPr>
            </w:pPr>
            <w:r>
              <w:rPr>
                <w:rFonts w:hint="eastAsia" w:ascii="楷体_GB2312" w:hAnsi="楷体_GB2312" w:eastAsia="楷体_GB2312" w:cs="楷体_GB2312"/>
                <w:color w:val="auto"/>
                <w:sz w:val="20"/>
                <w:szCs w:val="20"/>
              </w:rPr>
              <w:t>2.科研项目（课题）如包括技术推广示范内容，应扣减相应资金后再按照间接费用计算方法计算，并提供预算编制说明。技术推广示范类项目（课题）不允许列支间接费用。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869" w:type="dxa"/>
            <w:vMerge w:val="restart"/>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序号</w:t>
            </w:r>
          </w:p>
        </w:tc>
        <w:tc>
          <w:tcPr>
            <w:tcW w:w="5372"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费用名称</w:t>
            </w:r>
          </w:p>
        </w:tc>
        <w:tc>
          <w:tcPr>
            <w:tcW w:w="2854"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金额</w:t>
            </w:r>
          </w:p>
        </w:tc>
        <w:tc>
          <w:tcPr>
            <w:tcW w:w="4214"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资金来源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69" w:type="dxa"/>
            <w:vMerge w:val="continue"/>
            <w:vAlign w:val="center"/>
          </w:tcPr>
          <w:p>
            <w:pPr>
              <w:adjustRightInd w:val="0"/>
              <w:snapToGrid w:val="0"/>
              <w:spacing w:line="276" w:lineRule="auto"/>
              <w:jc w:val="left"/>
              <w:rPr>
                <w:rFonts w:hint="eastAsia" w:ascii="黑体" w:hAnsi="黑体" w:eastAsia="黑体" w:cs="黑体"/>
                <w:b w:val="0"/>
                <w:bCs w:val="0"/>
                <w:color w:val="auto"/>
                <w:kern w:val="0"/>
                <w:sz w:val="20"/>
                <w:szCs w:val="20"/>
              </w:rPr>
            </w:pPr>
          </w:p>
        </w:tc>
        <w:tc>
          <w:tcPr>
            <w:tcW w:w="5372"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（1）</w:t>
            </w:r>
          </w:p>
        </w:tc>
        <w:tc>
          <w:tcPr>
            <w:tcW w:w="2854"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（2）</w:t>
            </w:r>
          </w:p>
        </w:tc>
        <w:tc>
          <w:tcPr>
            <w:tcW w:w="4214" w:type="dxa"/>
            <w:vAlign w:val="center"/>
          </w:tcPr>
          <w:p>
            <w:pPr>
              <w:adjustRightInd w:val="0"/>
              <w:snapToGrid w:val="0"/>
              <w:spacing w:line="276" w:lineRule="auto"/>
              <w:jc w:val="center"/>
              <w:rPr>
                <w:rFonts w:hint="eastAsia" w:ascii="黑体" w:hAnsi="黑体" w:eastAsia="黑体" w:cs="黑体"/>
                <w:b w:val="0"/>
                <w:bCs w:val="0"/>
                <w:color w:val="auto"/>
                <w:kern w:val="0"/>
                <w:sz w:val="20"/>
                <w:szCs w:val="20"/>
              </w:rPr>
            </w:pPr>
            <w:r>
              <w:rPr>
                <w:rFonts w:hint="eastAsia" w:ascii="黑体" w:hAnsi="黑体" w:eastAsia="黑体" w:cs="黑体"/>
                <w:b w:val="0"/>
                <w:bCs w:val="0"/>
                <w:color w:val="auto"/>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69"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1</w:t>
            </w:r>
          </w:p>
        </w:tc>
        <w:tc>
          <w:tcPr>
            <w:tcW w:w="5372"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2854" w:type="dxa"/>
            <w:vAlign w:val="center"/>
          </w:tcPr>
          <w:p>
            <w:pPr>
              <w:adjustRightInd w:val="0"/>
              <w:snapToGrid w:val="0"/>
              <w:spacing w:line="276" w:lineRule="auto"/>
              <w:jc w:val="center"/>
              <w:rPr>
                <w:color w:val="auto"/>
                <w:kern w:val="0"/>
                <w:sz w:val="20"/>
                <w:szCs w:val="20"/>
              </w:rPr>
            </w:pPr>
          </w:p>
        </w:tc>
        <w:tc>
          <w:tcPr>
            <w:tcW w:w="4214" w:type="dxa"/>
            <w:vAlign w:val="center"/>
          </w:tcPr>
          <w:p>
            <w:pPr>
              <w:adjustRightInd w:val="0"/>
              <w:snapToGrid w:val="0"/>
              <w:spacing w:line="276" w:lineRule="auto"/>
              <w:jc w:val="center"/>
              <w:rPr>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9"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2</w:t>
            </w:r>
          </w:p>
        </w:tc>
        <w:tc>
          <w:tcPr>
            <w:tcW w:w="5372"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2854" w:type="dxa"/>
            <w:vAlign w:val="center"/>
          </w:tcPr>
          <w:p>
            <w:pPr>
              <w:adjustRightInd w:val="0"/>
              <w:snapToGrid w:val="0"/>
              <w:spacing w:line="276" w:lineRule="auto"/>
              <w:jc w:val="center"/>
              <w:rPr>
                <w:color w:val="auto"/>
                <w:kern w:val="0"/>
                <w:sz w:val="20"/>
                <w:szCs w:val="20"/>
              </w:rPr>
            </w:pPr>
          </w:p>
        </w:tc>
        <w:tc>
          <w:tcPr>
            <w:tcW w:w="4214" w:type="dxa"/>
            <w:vAlign w:val="center"/>
          </w:tcPr>
          <w:p>
            <w:pPr>
              <w:adjustRightInd w:val="0"/>
              <w:snapToGrid w:val="0"/>
              <w:spacing w:line="276" w:lineRule="auto"/>
              <w:jc w:val="center"/>
              <w:rPr>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9"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3</w:t>
            </w:r>
          </w:p>
        </w:tc>
        <w:tc>
          <w:tcPr>
            <w:tcW w:w="5372"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2854" w:type="dxa"/>
            <w:vAlign w:val="center"/>
          </w:tcPr>
          <w:p>
            <w:pPr>
              <w:adjustRightInd w:val="0"/>
              <w:snapToGrid w:val="0"/>
              <w:spacing w:line="276" w:lineRule="auto"/>
              <w:jc w:val="center"/>
              <w:rPr>
                <w:color w:val="auto"/>
                <w:kern w:val="0"/>
                <w:sz w:val="20"/>
                <w:szCs w:val="20"/>
              </w:rPr>
            </w:pPr>
          </w:p>
        </w:tc>
        <w:tc>
          <w:tcPr>
            <w:tcW w:w="4214" w:type="dxa"/>
            <w:vAlign w:val="center"/>
          </w:tcPr>
          <w:p>
            <w:pPr>
              <w:adjustRightInd w:val="0"/>
              <w:snapToGrid w:val="0"/>
              <w:spacing w:line="276" w:lineRule="auto"/>
              <w:jc w:val="center"/>
              <w:rPr>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9"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4</w:t>
            </w:r>
          </w:p>
        </w:tc>
        <w:tc>
          <w:tcPr>
            <w:tcW w:w="5372"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2854" w:type="dxa"/>
            <w:vAlign w:val="center"/>
          </w:tcPr>
          <w:p>
            <w:pPr>
              <w:adjustRightInd w:val="0"/>
              <w:snapToGrid w:val="0"/>
              <w:spacing w:line="276" w:lineRule="auto"/>
              <w:jc w:val="center"/>
              <w:rPr>
                <w:color w:val="auto"/>
                <w:kern w:val="0"/>
                <w:sz w:val="20"/>
                <w:szCs w:val="20"/>
              </w:rPr>
            </w:pPr>
          </w:p>
        </w:tc>
        <w:tc>
          <w:tcPr>
            <w:tcW w:w="4214" w:type="dxa"/>
            <w:vAlign w:val="center"/>
          </w:tcPr>
          <w:p>
            <w:pPr>
              <w:adjustRightInd w:val="0"/>
              <w:snapToGrid w:val="0"/>
              <w:spacing w:line="276" w:lineRule="auto"/>
              <w:jc w:val="center"/>
              <w:rPr>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9"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5</w:t>
            </w:r>
          </w:p>
        </w:tc>
        <w:tc>
          <w:tcPr>
            <w:tcW w:w="5372" w:type="dxa"/>
            <w:vAlign w:val="center"/>
          </w:tcPr>
          <w:p>
            <w:pPr>
              <w:adjustRightInd w:val="0"/>
              <w:snapToGrid w:val="0"/>
              <w:spacing w:line="276" w:lineRule="auto"/>
              <w:jc w:val="center"/>
              <w:rPr>
                <w:rFonts w:hint="eastAsia" w:ascii="仿宋_GB2312" w:hAnsi="仿宋_GB2312" w:eastAsia="仿宋_GB2312" w:cs="仿宋_GB2312"/>
                <w:color w:val="auto"/>
                <w:kern w:val="0"/>
                <w:sz w:val="20"/>
                <w:szCs w:val="20"/>
              </w:rPr>
            </w:pPr>
          </w:p>
        </w:tc>
        <w:tc>
          <w:tcPr>
            <w:tcW w:w="2854" w:type="dxa"/>
            <w:vAlign w:val="center"/>
          </w:tcPr>
          <w:p>
            <w:pPr>
              <w:adjustRightInd w:val="0"/>
              <w:snapToGrid w:val="0"/>
              <w:spacing w:line="276" w:lineRule="auto"/>
              <w:jc w:val="center"/>
              <w:rPr>
                <w:color w:val="auto"/>
                <w:kern w:val="0"/>
                <w:sz w:val="20"/>
                <w:szCs w:val="20"/>
              </w:rPr>
            </w:pPr>
          </w:p>
        </w:tc>
        <w:tc>
          <w:tcPr>
            <w:tcW w:w="4214" w:type="dxa"/>
            <w:vAlign w:val="center"/>
          </w:tcPr>
          <w:p>
            <w:pPr>
              <w:adjustRightInd w:val="0"/>
              <w:snapToGrid w:val="0"/>
              <w:spacing w:line="276" w:lineRule="auto"/>
              <w:jc w:val="center"/>
              <w:rPr>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41" w:type="dxa"/>
            <w:gridSpan w:val="2"/>
            <w:vAlign w:val="center"/>
          </w:tcPr>
          <w:p>
            <w:pPr>
              <w:adjustRightInd w:val="0"/>
              <w:snapToGrid w:val="0"/>
              <w:spacing w:line="276" w:lineRule="auto"/>
              <w:jc w:val="center"/>
              <w:rPr>
                <w:rFonts w:hint="eastAsia" w:ascii="仿宋_GB2312" w:hAnsi="仿宋_GB2312" w:eastAsia="仿宋_GB2312" w:cs="仿宋_GB2312"/>
                <w:b/>
                <w:bCs/>
                <w:color w:val="auto"/>
                <w:kern w:val="0"/>
                <w:sz w:val="20"/>
                <w:szCs w:val="20"/>
              </w:rPr>
            </w:pPr>
            <w:r>
              <w:rPr>
                <w:rFonts w:hint="eastAsia" w:ascii="仿宋_GB2312" w:hAnsi="仿宋_GB2312" w:eastAsia="仿宋_GB2312" w:cs="仿宋_GB2312"/>
                <w:b/>
                <w:bCs/>
                <w:color w:val="auto"/>
                <w:kern w:val="0"/>
                <w:sz w:val="20"/>
                <w:szCs w:val="20"/>
              </w:rPr>
              <w:t>累计</w:t>
            </w:r>
          </w:p>
        </w:tc>
        <w:tc>
          <w:tcPr>
            <w:tcW w:w="2854" w:type="dxa"/>
            <w:vAlign w:val="center"/>
          </w:tcPr>
          <w:p>
            <w:pPr>
              <w:adjustRightInd w:val="0"/>
              <w:snapToGrid w:val="0"/>
              <w:spacing w:line="276" w:lineRule="auto"/>
              <w:jc w:val="center"/>
              <w:rPr>
                <w:color w:val="auto"/>
                <w:kern w:val="0"/>
                <w:sz w:val="20"/>
                <w:szCs w:val="20"/>
              </w:rPr>
            </w:pPr>
          </w:p>
        </w:tc>
        <w:tc>
          <w:tcPr>
            <w:tcW w:w="4214" w:type="dxa"/>
            <w:vAlign w:val="center"/>
          </w:tcPr>
          <w:p>
            <w:pPr>
              <w:adjustRightInd w:val="0"/>
              <w:snapToGrid w:val="0"/>
              <w:spacing w:line="276" w:lineRule="auto"/>
              <w:jc w:val="center"/>
              <w:rPr>
                <w:rFonts w:eastAsia="仿宋_GB2312"/>
                <w:color w:val="auto"/>
                <w:kern w:val="0"/>
                <w:sz w:val="20"/>
                <w:szCs w:val="20"/>
              </w:rPr>
            </w:pPr>
            <w:r>
              <w:rPr>
                <w:rFonts w:hint="eastAsia"/>
                <w:color w:val="auto"/>
                <w:kern w:val="0"/>
                <w:sz w:val="20"/>
                <w:szCs w:val="20"/>
              </w:rPr>
              <w:t>/</w:t>
            </w:r>
          </w:p>
        </w:tc>
      </w:tr>
    </w:tbl>
    <w:p>
      <w:pPr>
        <w:autoSpaceDE w:val="0"/>
        <w:autoSpaceDN w:val="0"/>
        <w:rPr>
          <w:rFonts w:eastAsia="黑体"/>
          <w:color w:val="auto"/>
          <w:sz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autoSpaceDE w:val="0"/>
        <w:autoSpaceDN w:val="0"/>
        <w:adjustRightInd w:val="0"/>
        <w:snapToGrid w:val="0"/>
        <w:spacing w:line="56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项目（课题）承担单位资金分配预算明细表</w:t>
      </w:r>
    </w:p>
    <w:p>
      <w:pPr>
        <w:autoSpaceDE w:val="0"/>
        <w:autoSpaceDN w:val="0"/>
        <w:adjustRightInd w:val="0"/>
        <w:snapToGrid w:val="0"/>
        <w:spacing w:line="568" w:lineRule="exact"/>
        <w:jc w:val="center"/>
        <w:rPr>
          <w:rFonts w:eastAsia="黑体"/>
          <w:color w:val="auto"/>
          <w:sz w:val="28"/>
        </w:rPr>
      </w:pPr>
    </w:p>
    <w:p>
      <w:pPr>
        <w:autoSpaceDE w:val="0"/>
        <w:autoSpaceDN w:val="0"/>
        <w:adjustRightInd w:val="0"/>
        <w:snapToGrid w:val="0"/>
        <w:spacing w:line="568" w:lineRule="exact"/>
        <w:rPr>
          <w:b w:val="0"/>
          <w:bCs w:val="0"/>
          <w:color w:val="auto"/>
        </w:rPr>
      </w:pPr>
      <w:r>
        <w:rPr>
          <w:rFonts w:hint="eastAsia" w:ascii="黑体" w:hAnsi="黑体" w:eastAsia="黑体" w:cs="黑体"/>
          <w:b w:val="0"/>
          <w:bCs w:val="0"/>
          <w:color w:val="auto"/>
          <w:sz w:val="20"/>
        </w:rPr>
        <w:t>表B</w:t>
      </w:r>
      <w:r>
        <w:rPr>
          <w:rFonts w:hint="eastAsia" w:ascii="黑体" w:hAnsi="黑体" w:eastAsia="黑体" w:cs="黑体"/>
          <w:b w:val="0"/>
          <w:bCs w:val="0"/>
          <w:color w:val="auto"/>
          <w:sz w:val="20"/>
          <w:lang w:val="en-US" w:eastAsia="zh-CN"/>
        </w:rPr>
        <w:t>19</w:t>
      </w:r>
      <w:r>
        <w:rPr>
          <w:rFonts w:hint="eastAsia"/>
          <w:b w:val="0"/>
          <w:bCs w:val="0"/>
          <w:color w:val="auto"/>
          <w:sz w:val="20"/>
        </w:rPr>
        <w:tab/>
      </w:r>
      <w:r>
        <w:rPr>
          <w:rFonts w:hint="eastAsia"/>
          <w:b w:val="0"/>
          <w:bCs w:val="0"/>
          <w:color w:val="auto"/>
          <w:sz w:val="20"/>
        </w:rPr>
        <w:tab/>
      </w:r>
      <w:r>
        <w:rPr>
          <w:rFonts w:hint="eastAsia"/>
          <w:b w:val="0"/>
          <w:bCs w:val="0"/>
          <w:color w:val="auto"/>
          <w:sz w:val="20"/>
        </w:rPr>
        <w:t xml:space="preserve"> </w:t>
      </w:r>
      <w:r>
        <w:rPr>
          <w:b w:val="0"/>
          <w:bCs w:val="0"/>
          <w:color w:val="auto"/>
          <w:sz w:val="20"/>
        </w:rPr>
        <w:t xml:space="preserve">                                                       </w:t>
      </w:r>
      <w:r>
        <w:rPr>
          <w:b w:val="0"/>
          <w:bCs w:val="0"/>
          <w:color w:val="auto"/>
          <w:sz w:val="20"/>
        </w:rPr>
        <w:tab/>
      </w:r>
      <w:r>
        <w:rPr>
          <w:b w:val="0"/>
          <w:bCs w:val="0"/>
          <w:color w:val="auto"/>
          <w:sz w:val="20"/>
        </w:rPr>
        <w:t xml:space="preserve"> </w:t>
      </w:r>
      <w:r>
        <w:rPr>
          <w:b w:val="0"/>
          <w:bCs w:val="0"/>
          <w:color w:val="auto"/>
          <w:sz w:val="20"/>
        </w:rPr>
        <w:tab/>
      </w:r>
      <w:r>
        <w:rPr>
          <w:b w:val="0"/>
          <w:bCs w:val="0"/>
          <w:color w:val="auto"/>
          <w:sz w:val="20"/>
        </w:rPr>
        <w:t xml:space="preserve"> </w:t>
      </w:r>
      <w:r>
        <w:rPr>
          <w:rFonts w:hint="eastAsia"/>
          <w:b w:val="0"/>
          <w:bCs w:val="0"/>
          <w:color w:val="auto"/>
          <w:sz w:val="20"/>
        </w:rPr>
        <w:t xml:space="preserve">　　                           </w:t>
      </w:r>
      <w:r>
        <w:rPr>
          <w:b w:val="0"/>
          <w:bCs w:val="0"/>
          <w:color w:val="auto"/>
          <w:sz w:val="20"/>
        </w:rPr>
        <w:t xml:space="preserve">     </w:t>
      </w:r>
      <w:r>
        <w:rPr>
          <w:rFonts w:hint="eastAsia"/>
          <w:b w:val="0"/>
          <w:bCs w:val="0"/>
          <w:color w:val="auto"/>
          <w:sz w:val="20"/>
        </w:rPr>
        <w:t xml:space="preserve">    金额单位：万元</w:t>
      </w:r>
    </w:p>
    <w:tbl>
      <w:tblPr>
        <w:tblStyle w:val="12"/>
        <w:tblW w:w="13363" w:type="dxa"/>
        <w:jc w:val="center"/>
        <w:tblLayout w:type="fixed"/>
        <w:tblCellMar>
          <w:top w:w="0" w:type="dxa"/>
          <w:left w:w="0" w:type="dxa"/>
          <w:bottom w:w="0" w:type="dxa"/>
          <w:right w:w="0" w:type="dxa"/>
        </w:tblCellMar>
      </w:tblPr>
      <w:tblGrid>
        <w:gridCol w:w="426"/>
        <w:gridCol w:w="2983"/>
        <w:gridCol w:w="888"/>
        <w:gridCol w:w="838"/>
        <w:gridCol w:w="3207"/>
        <w:gridCol w:w="983"/>
        <w:gridCol w:w="9"/>
        <w:gridCol w:w="961"/>
        <w:gridCol w:w="9"/>
        <w:gridCol w:w="890"/>
        <w:gridCol w:w="1077"/>
        <w:gridCol w:w="1092"/>
      </w:tblGrid>
      <w:tr>
        <w:tblPrEx>
          <w:tblCellMar>
            <w:top w:w="0" w:type="dxa"/>
            <w:left w:w="0" w:type="dxa"/>
            <w:bottom w:w="0" w:type="dxa"/>
            <w:right w:w="0" w:type="dxa"/>
          </w:tblCellMar>
        </w:tblPrEx>
        <w:trPr>
          <w:cantSplit/>
          <w:trHeight w:val="965" w:hRule="atLeast"/>
          <w:jc w:val="center"/>
        </w:trPr>
        <w:tc>
          <w:tcPr>
            <w:tcW w:w="13363" w:type="dxa"/>
            <w:gridSpan w:val="1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utoSpaceDE w:val="0"/>
              <w:autoSpaceDN w:val="0"/>
              <w:adjustRightInd w:val="0"/>
              <w:snapToGrid w:val="0"/>
              <w:spacing w:line="220" w:lineRule="exact"/>
              <w:ind w:left="0" w:firstLine="0" w:firstLineChars="0"/>
              <w:rPr>
                <w:rFonts w:eastAsia="楷体_GB2312"/>
                <w:color w:val="auto"/>
                <w:sz w:val="20"/>
                <w:szCs w:val="20"/>
              </w:rPr>
            </w:pPr>
            <w:r>
              <w:rPr>
                <w:rFonts w:hint="eastAsia" w:eastAsia="楷体_GB2312"/>
                <w:color w:val="auto"/>
                <w:sz w:val="20"/>
                <w:szCs w:val="20"/>
              </w:rPr>
              <w:t>填表说明：1.单位类型为牵头承担单位、参与单位；</w:t>
            </w:r>
          </w:p>
          <w:p>
            <w:pPr>
              <w:autoSpaceDE w:val="0"/>
              <w:autoSpaceDN w:val="0"/>
              <w:adjustRightInd w:val="0"/>
              <w:snapToGrid w:val="0"/>
              <w:spacing w:line="220" w:lineRule="exact"/>
              <w:ind w:left="661" w:hanging="704" w:hangingChars="352"/>
              <w:rPr>
                <w:rFonts w:eastAsia="楷体_GB2312"/>
                <w:color w:val="auto"/>
                <w:sz w:val="20"/>
                <w:szCs w:val="20"/>
              </w:rPr>
            </w:pPr>
            <w:r>
              <w:rPr>
                <w:rFonts w:hint="eastAsia" w:eastAsia="楷体_GB2312"/>
                <w:color w:val="auto"/>
                <w:sz w:val="20"/>
                <w:szCs w:val="20"/>
              </w:rPr>
              <w:t xml:space="preserve">          2.组织机构代码指企事业单位国家标准代码，单位若已三证合一请填写单位统一社会信用代码, 无组织机构代码的单位填写“000000000”。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49" w:hRule="atLeast"/>
          <w:jc w:val="center"/>
        </w:trPr>
        <w:tc>
          <w:tcPr>
            <w:tcW w:w="426" w:type="dxa"/>
            <w:vMerge w:val="restart"/>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序号</w:t>
            </w:r>
          </w:p>
        </w:tc>
        <w:tc>
          <w:tcPr>
            <w:tcW w:w="2983" w:type="dxa"/>
            <w:vMerge w:val="restart"/>
            <w:tcBorders>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单位名称</w:t>
            </w:r>
          </w:p>
        </w:tc>
        <w:tc>
          <w:tcPr>
            <w:tcW w:w="888" w:type="dxa"/>
            <w:vMerge w:val="restart"/>
            <w:tcBorders>
              <w:lef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组织机构代码</w:t>
            </w:r>
          </w:p>
        </w:tc>
        <w:tc>
          <w:tcPr>
            <w:tcW w:w="838" w:type="dxa"/>
            <w:vMerge w:val="restart"/>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单位</w:t>
            </w:r>
          </w:p>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类型</w:t>
            </w:r>
          </w:p>
        </w:tc>
        <w:tc>
          <w:tcPr>
            <w:tcW w:w="3207" w:type="dxa"/>
            <w:vMerge w:val="restart"/>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任务分工</w:t>
            </w:r>
          </w:p>
        </w:tc>
        <w:tc>
          <w:tcPr>
            <w:tcW w:w="983" w:type="dxa"/>
            <w:vMerge w:val="restart"/>
            <w:tcBorders>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负责人</w:t>
            </w:r>
          </w:p>
        </w:tc>
        <w:tc>
          <w:tcPr>
            <w:tcW w:w="970" w:type="dxa"/>
            <w:gridSpan w:val="2"/>
            <w:vMerge w:val="restart"/>
            <w:tcBorders>
              <w:left w:val="single" w:color="auto" w:sz="4" w:space="0"/>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合计</w:t>
            </w:r>
          </w:p>
        </w:tc>
        <w:tc>
          <w:tcPr>
            <w:tcW w:w="1976" w:type="dxa"/>
            <w:gridSpan w:val="3"/>
            <w:tcBorders>
              <w:left w:val="single" w:color="auto" w:sz="4" w:space="0"/>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省级财政专项资金</w:t>
            </w:r>
          </w:p>
        </w:tc>
        <w:tc>
          <w:tcPr>
            <w:tcW w:w="1092" w:type="dxa"/>
            <w:vMerge w:val="restart"/>
            <w:tcBorders>
              <w:lef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其他渠道资金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26" w:type="dxa"/>
            <w:vMerge w:val="continue"/>
            <w:vAlign w:val="center"/>
          </w:tcPr>
          <w:p>
            <w:pPr>
              <w:autoSpaceDE w:val="0"/>
              <w:autoSpaceDN w:val="0"/>
              <w:adjustRightInd w:val="0"/>
              <w:snapToGrid w:val="0"/>
              <w:jc w:val="center"/>
              <w:rPr>
                <w:rFonts w:hint="eastAsia" w:ascii="黑体" w:hAnsi="黑体" w:eastAsia="黑体" w:cs="黑体"/>
                <w:b w:val="0"/>
                <w:bCs w:val="0"/>
                <w:color w:val="auto"/>
                <w:sz w:val="20"/>
                <w:szCs w:val="20"/>
              </w:rPr>
            </w:pPr>
          </w:p>
        </w:tc>
        <w:tc>
          <w:tcPr>
            <w:tcW w:w="2983" w:type="dxa"/>
            <w:vMerge w:val="continue"/>
            <w:tcBorders>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p>
        </w:tc>
        <w:tc>
          <w:tcPr>
            <w:tcW w:w="888" w:type="dxa"/>
            <w:vMerge w:val="continue"/>
            <w:tcBorders>
              <w:lef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p>
        </w:tc>
        <w:tc>
          <w:tcPr>
            <w:tcW w:w="838" w:type="dxa"/>
            <w:vMerge w:val="continue"/>
            <w:vAlign w:val="center"/>
          </w:tcPr>
          <w:p>
            <w:pPr>
              <w:autoSpaceDE w:val="0"/>
              <w:autoSpaceDN w:val="0"/>
              <w:adjustRightInd w:val="0"/>
              <w:snapToGrid w:val="0"/>
              <w:jc w:val="center"/>
              <w:rPr>
                <w:rFonts w:hint="eastAsia" w:ascii="黑体" w:hAnsi="黑体" w:eastAsia="黑体" w:cs="黑体"/>
                <w:b w:val="0"/>
                <w:bCs w:val="0"/>
                <w:color w:val="auto"/>
                <w:sz w:val="20"/>
                <w:szCs w:val="20"/>
              </w:rPr>
            </w:pPr>
          </w:p>
        </w:tc>
        <w:tc>
          <w:tcPr>
            <w:tcW w:w="3207" w:type="dxa"/>
            <w:vMerge w:val="continue"/>
            <w:vAlign w:val="center"/>
          </w:tcPr>
          <w:p>
            <w:pPr>
              <w:autoSpaceDE w:val="0"/>
              <w:autoSpaceDN w:val="0"/>
              <w:adjustRightInd w:val="0"/>
              <w:snapToGrid w:val="0"/>
              <w:jc w:val="center"/>
              <w:rPr>
                <w:rFonts w:hint="eastAsia" w:ascii="黑体" w:hAnsi="黑体" w:eastAsia="黑体" w:cs="黑体"/>
                <w:b w:val="0"/>
                <w:bCs w:val="0"/>
                <w:color w:val="auto"/>
                <w:sz w:val="20"/>
                <w:szCs w:val="20"/>
              </w:rPr>
            </w:pPr>
          </w:p>
        </w:tc>
        <w:tc>
          <w:tcPr>
            <w:tcW w:w="983" w:type="dxa"/>
            <w:vMerge w:val="continue"/>
            <w:tcBorders>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p>
        </w:tc>
        <w:tc>
          <w:tcPr>
            <w:tcW w:w="970" w:type="dxa"/>
            <w:gridSpan w:val="2"/>
            <w:vMerge w:val="continue"/>
            <w:tcBorders>
              <w:left w:val="single" w:color="auto" w:sz="4" w:space="0"/>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p>
        </w:tc>
        <w:tc>
          <w:tcPr>
            <w:tcW w:w="899" w:type="dxa"/>
            <w:gridSpan w:val="2"/>
            <w:tcBorders>
              <w:left w:val="single" w:color="auto" w:sz="4" w:space="0"/>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小计</w:t>
            </w:r>
          </w:p>
        </w:tc>
        <w:tc>
          <w:tcPr>
            <w:tcW w:w="1077" w:type="dxa"/>
            <w:tcBorders>
              <w:left w:val="single" w:color="auto" w:sz="4" w:space="0"/>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 xml:space="preserve">其中：间接费用 </w:t>
            </w:r>
          </w:p>
        </w:tc>
        <w:tc>
          <w:tcPr>
            <w:tcW w:w="1092" w:type="dxa"/>
            <w:vMerge w:val="continue"/>
            <w:tcBorders>
              <w:lef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autoSpaceDE w:val="0"/>
              <w:autoSpaceDN w:val="0"/>
              <w:adjustRightInd w:val="0"/>
              <w:snapToGrid w:val="0"/>
              <w:jc w:val="center"/>
              <w:rPr>
                <w:rFonts w:hint="eastAsia" w:ascii="黑体" w:hAnsi="黑体" w:eastAsia="黑体" w:cs="黑体"/>
                <w:b w:val="0"/>
                <w:bCs w:val="0"/>
                <w:color w:val="auto"/>
                <w:sz w:val="20"/>
                <w:szCs w:val="20"/>
              </w:rPr>
            </w:pPr>
          </w:p>
        </w:tc>
        <w:tc>
          <w:tcPr>
            <w:tcW w:w="2983" w:type="dxa"/>
            <w:tcBorders>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（1）</w:t>
            </w:r>
          </w:p>
        </w:tc>
        <w:tc>
          <w:tcPr>
            <w:tcW w:w="888" w:type="dxa"/>
            <w:tcBorders>
              <w:lef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（2）</w:t>
            </w:r>
          </w:p>
        </w:tc>
        <w:tc>
          <w:tcPr>
            <w:tcW w:w="838" w:type="dxa"/>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（3）</w:t>
            </w:r>
          </w:p>
        </w:tc>
        <w:tc>
          <w:tcPr>
            <w:tcW w:w="3207" w:type="dxa"/>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（4）</w:t>
            </w:r>
          </w:p>
        </w:tc>
        <w:tc>
          <w:tcPr>
            <w:tcW w:w="983" w:type="dxa"/>
            <w:tcBorders>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（5）</w:t>
            </w:r>
          </w:p>
        </w:tc>
        <w:tc>
          <w:tcPr>
            <w:tcW w:w="970" w:type="dxa"/>
            <w:gridSpan w:val="2"/>
            <w:tcBorders>
              <w:left w:val="single" w:color="auto" w:sz="4" w:space="0"/>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（6）</w:t>
            </w:r>
          </w:p>
        </w:tc>
        <w:tc>
          <w:tcPr>
            <w:tcW w:w="899" w:type="dxa"/>
            <w:gridSpan w:val="2"/>
            <w:tcBorders>
              <w:left w:val="single" w:color="auto" w:sz="4" w:space="0"/>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（7）</w:t>
            </w:r>
          </w:p>
        </w:tc>
        <w:tc>
          <w:tcPr>
            <w:tcW w:w="1077" w:type="dxa"/>
            <w:tcBorders>
              <w:left w:val="single" w:color="auto" w:sz="4" w:space="0"/>
              <w:righ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（8）</w:t>
            </w:r>
          </w:p>
        </w:tc>
        <w:tc>
          <w:tcPr>
            <w:tcW w:w="1092" w:type="dxa"/>
            <w:tcBorders>
              <w:left w:val="single" w:color="auto" w:sz="4" w:space="0"/>
            </w:tcBorders>
            <w:vAlign w:val="center"/>
          </w:tcPr>
          <w:p>
            <w:pPr>
              <w:autoSpaceDE w:val="0"/>
              <w:autoSpaceDN w:val="0"/>
              <w:adjustRightInd w:val="0"/>
              <w:snapToGrid w:val="0"/>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6"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2983" w:type="dxa"/>
            <w:tcBorders>
              <w:righ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888" w:type="dxa"/>
            <w:tcBorders>
              <w:lef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838" w:type="dxa"/>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3207" w:type="dxa"/>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983" w:type="dxa"/>
            <w:tcBorders>
              <w:righ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970" w:type="dxa"/>
            <w:gridSpan w:val="2"/>
            <w:tcBorders>
              <w:left w:val="single" w:color="auto" w:sz="4" w:space="0"/>
              <w:righ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899" w:type="dxa"/>
            <w:gridSpan w:val="2"/>
            <w:tcBorders>
              <w:left w:val="single" w:color="auto" w:sz="4" w:space="0"/>
              <w:righ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1077" w:type="dxa"/>
            <w:tcBorders>
              <w:left w:val="single" w:color="auto" w:sz="4" w:space="0"/>
              <w:righ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1092" w:type="dxa"/>
            <w:tcBorders>
              <w:lef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6" w:type="dxa"/>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w:t>
            </w:r>
          </w:p>
        </w:tc>
        <w:tc>
          <w:tcPr>
            <w:tcW w:w="2983" w:type="dxa"/>
            <w:tcBorders>
              <w:righ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888" w:type="dxa"/>
            <w:tcBorders>
              <w:lef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838" w:type="dxa"/>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3207" w:type="dxa"/>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983" w:type="dxa"/>
            <w:tcBorders>
              <w:righ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970" w:type="dxa"/>
            <w:gridSpan w:val="2"/>
            <w:tcBorders>
              <w:left w:val="single" w:color="auto" w:sz="4" w:space="0"/>
              <w:righ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899" w:type="dxa"/>
            <w:gridSpan w:val="2"/>
            <w:tcBorders>
              <w:left w:val="single" w:color="auto" w:sz="4" w:space="0"/>
              <w:righ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1077" w:type="dxa"/>
            <w:tcBorders>
              <w:left w:val="single" w:color="auto" w:sz="4" w:space="0"/>
              <w:righ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c>
          <w:tcPr>
            <w:tcW w:w="1092" w:type="dxa"/>
            <w:tcBorders>
              <w:lef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9334" w:type="dxa"/>
            <w:gridSpan w:val="7"/>
            <w:tcBorders>
              <w:right w:val="single" w:color="auto" w:sz="4" w:space="0"/>
            </w:tcBorders>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累计</w:t>
            </w:r>
          </w:p>
        </w:tc>
        <w:tc>
          <w:tcPr>
            <w:tcW w:w="970" w:type="dxa"/>
            <w:gridSpan w:val="2"/>
            <w:tcBorders>
              <w:left w:val="single" w:color="auto" w:sz="4" w:space="0"/>
              <w:right w:val="single" w:color="auto" w:sz="4" w:space="0"/>
            </w:tcBorders>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890" w:type="dxa"/>
            <w:tcBorders>
              <w:left w:val="single" w:color="auto" w:sz="4" w:space="0"/>
              <w:right w:val="single" w:color="auto" w:sz="4" w:space="0"/>
            </w:tcBorders>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077" w:type="dxa"/>
            <w:tcBorders>
              <w:left w:val="single" w:color="auto" w:sz="4" w:space="0"/>
              <w:right w:val="single" w:color="auto" w:sz="4" w:space="0"/>
            </w:tcBorders>
            <w:vAlign w:val="center"/>
          </w:tcPr>
          <w:p>
            <w:pPr>
              <w:autoSpaceDE w:val="0"/>
              <w:autoSpaceDN w:val="0"/>
              <w:adjustRightInd w:val="0"/>
              <w:snapToGrid w:val="0"/>
              <w:jc w:val="center"/>
              <w:rPr>
                <w:rFonts w:hint="eastAsia" w:ascii="仿宋_GB2312" w:hAnsi="仿宋_GB2312" w:eastAsia="仿宋_GB2312" w:cs="仿宋_GB2312"/>
                <w:color w:val="auto"/>
                <w:sz w:val="20"/>
                <w:szCs w:val="20"/>
              </w:rPr>
            </w:pPr>
          </w:p>
        </w:tc>
        <w:tc>
          <w:tcPr>
            <w:tcW w:w="1092" w:type="dxa"/>
            <w:tcBorders>
              <w:left w:val="single" w:color="auto" w:sz="4" w:space="0"/>
            </w:tcBorders>
            <w:vAlign w:val="center"/>
          </w:tcPr>
          <w:p>
            <w:pPr>
              <w:autoSpaceDE w:val="0"/>
              <w:autoSpaceDN w:val="0"/>
              <w:adjustRightInd w:val="0"/>
              <w:snapToGrid w:val="0"/>
              <w:rPr>
                <w:rFonts w:hint="eastAsia" w:ascii="仿宋_GB2312" w:hAnsi="仿宋_GB2312" w:eastAsia="仿宋_GB2312" w:cs="仿宋_GB2312"/>
                <w:color w:val="auto"/>
                <w:sz w:val="20"/>
                <w:szCs w:val="20"/>
              </w:rPr>
            </w:pPr>
          </w:p>
        </w:tc>
      </w:tr>
    </w:tbl>
    <w:p>
      <w:pPr>
        <w:adjustRightInd w:val="0"/>
        <w:snapToGrid w:val="0"/>
        <w:spacing w:line="440" w:lineRule="exact"/>
        <w:rPr>
          <w:rFonts w:hint="eastAsia" w:ascii="仿宋_GB2312" w:hAnsi="仿宋_GB2312" w:eastAsia="仿宋_GB2312" w:cs="仿宋_GB2312"/>
          <w:color w:val="auto"/>
          <w:sz w:val="20"/>
          <w:szCs w:val="20"/>
        </w:rPr>
      </w:pPr>
      <w:r>
        <w:rPr>
          <w:rFonts w:hint="eastAsia" w:ascii="黑体" w:hAnsi="黑体" w:eastAsia="黑体" w:cs="黑体"/>
          <w:color w:val="auto"/>
          <w:sz w:val="20"/>
          <w:szCs w:val="20"/>
        </w:rPr>
        <w:t>注：</w:t>
      </w:r>
      <w:r>
        <w:rPr>
          <w:rFonts w:hint="eastAsia" w:ascii="仿宋_GB2312" w:hAnsi="仿宋_GB2312" w:eastAsia="仿宋_GB2312" w:cs="仿宋_GB2312"/>
          <w:color w:val="auto"/>
          <w:sz w:val="20"/>
          <w:szCs w:val="20"/>
        </w:rPr>
        <w:t>1.任务分工的描述应简洁，不超过300字。</w:t>
      </w:r>
    </w:p>
    <w:p>
      <w:pPr>
        <w:topLinePunct w:val="0"/>
        <w:adjustRightInd w:val="0"/>
        <w:snapToGrid w:val="0"/>
        <w:spacing w:line="440" w:lineRule="exact"/>
        <w:ind w:firstLine="400" w:firstLineChars="200"/>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2.牵头承担单位应当根据实施进度和资金使用情况汇报、监督工作，参与单位不得再向外转拨资金。</w:t>
      </w:r>
    </w:p>
    <w:p>
      <w:pPr>
        <w:ind w:firstLine="450" w:firstLineChars="250"/>
        <w:rPr>
          <w:rFonts w:ascii="宋体" w:hAnsi="宋体" w:cs="宋体"/>
          <w:color w:val="auto"/>
          <w:sz w:val="18"/>
          <w:szCs w:val="18"/>
        </w:rPr>
      </w:pPr>
    </w:p>
    <w:p>
      <w:pPr>
        <w:ind w:firstLine="450" w:firstLineChars="250"/>
        <w:rPr>
          <w:rFonts w:ascii="宋体" w:hAnsi="宋体" w:cs="宋体"/>
          <w:color w:val="auto"/>
          <w:sz w:val="18"/>
          <w:szCs w:val="1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Cs/>
          <w:snapToGrid w:val="0"/>
          <w:color w:val="auto"/>
          <w:kern w:val="0"/>
          <w:sz w:val="32"/>
          <w:szCs w:val="32"/>
        </w:rPr>
      </w:pPr>
      <w:r>
        <w:rPr>
          <w:rFonts w:hint="eastAsia" w:ascii="黑体" w:hAnsi="黑体" w:eastAsia="黑体" w:cs="黑体"/>
          <w:bCs/>
          <w:snapToGrid w:val="0"/>
          <w:color w:val="auto"/>
          <w:kern w:val="0"/>
          <w:sz w:val="32"/>
          <w:szCs w:val="32"/>
        </w:rPr>
        <w:t>九、预算主要用途</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i w:val="0"/>
          <w:iCs w:val="0"/>
          <w:snapToGrid w:val="0"/>
          <w:color w:val="auto"/>
          <w:kern w:val="0"/>
          <w:sz w:val="32"/>
          <w:szCs w:val="32"/>
        </w:rPr>
      </w:pPr>
      <w:r>
        <w:rPr>
          <w:rFonts w:hint="eastAsia" w:ascii="楷体_GB2312" w:hAnsi="楷体_GB2312" w:eastAsia="楷体_GB2312" w:cs="楷体_GB2312"/>
          <w:i w:val="0"/>
          <w:iCs w:val="0"/>
          <w:snapToGrid w:val="0"/>
          <w:color w:val="auto"/>
          <w:kern w:val="0"/>
          <w:sz w:val="32"/>
          <w:szCs w:val="32"/>
        </w:rPr>
        <w:t>（一）省级财政资金预算主要用途</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（主要说明省级财政资金与研究任务/推广示范任务的关系及一一对应情况等）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i w:val="0"/>
          <w:iCs w:val="0"/>
          <w:snapToGrid w:val="0"/>
          <w:color w:val="auto"/>
          <w:kern w:val="0"/>
          <w:sz w:val="32"/>
          <w:szCs w:val="32"/>
        </w:rPr>
      </w:pPr>
      <w:r>
        <w:rPr>
          <w:rFonts w:hint="eastAsia" w:ascii="楷体_GB2312" w:hAnsi="楷体_GB2312" w:eastAsia="楷体_GB2312" w:cs="楷体_GB2312"/>
          <w:i w:val="0"/>
          <w:iCs w:val="0"/>
          <w:snapToGrid w:val="0"/>
          <w:color w:val="auto"/>
          <w:kern w:val="0"/>
          <w:sz w:val="32"/>
          <w:szCs w:val="32"/>
        </w:rPr>
        <w:t>（二）其他渠道资金预算主要用途</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Cs/>
          <w:snapToGrid w:val="0"/>
          <w:color w:val="auto"/>
          <w:kern w:val="0"/>
          <w:sz w:val="32"/>
          <w:szCs w:val="32"/>
        </w:rPr>
      </w:pPr>
      <w:r>
        <w:rPr>
          <w:rFonts w:hint="eastAsia" w:ascii="黑体" w:hAnsi="黑体" w:eastAsia="黑体" w:cs="黑体"/>
          <w:bCs/>
          <w:snapToGrid w:val="0"/>
          <w:color w:val="auto"/>
          <w:kern w:val="0"/>
          <w:sz w:val="32"/>
          <w:szCs w:val="32"/>
        </w:rPr>
        <w:t>十、预算说明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w:t>
      </w:r>
      <w:r>
        <w:rPr>
          <w:rFonts w:hint="eastAsia" w:ascii="仿宋_GB2312" w:hAnsi="仿宋_GB2312" w:eastAsia="仿宋_GB2312" w:cs="仿宋_GB2312"/>
          <w:i w:val="0"/>
          <w:iCs w:val="0"/>
          <w:snapToGrid w:val="0"/>
          <w:color w:val="auto"/>
          <w:kern w:val="0"/>
          <w:sz w:val="32"/>
          <w:szCs w:val="32"/>
          <w:lang w:eastAsia="zh-Hans"/>
        </w:rPr>
        <w:t>该部分需严格按照如下要求编写。</w:t>
      </w:r>
      <w:r>
        <w:rPr>
          <w:rFonts w:hint="eastAsia" w:ascii="仿宋_GB2312" w:hAnsi="仿宋_GB2312" w:eastAsia="仿宋_GB2312" w:cs="仿宋_GB2312"/>
          <w:i w:val="0"/>
          <w:iCs w:val="0"/>
          <w:snapToGrid w:val="0"/>
          <w:color w:val="auto"/>
          <w:kern w:val="0"/>
          <w:sz w:val="32"/>
          <w:szCs w:val="32"/>
        </w:rPr>
        <w:t>“</w:t>
      </w:r>
      <w:r>
        <w:rPr>
          <w:rFonts w:hint="eastAsia" w:ascii="仿宋_GB2312" w:hAnsi="仿宋_GB2312" w:eastAsia="仿宋_GB2312" w:cs="仿宋_GB2312"/>
          <w:i w:val="0"/>
          <w:iCs w:val="0"/>
          <w:snapToGrid w:val="0"/>
          <w:color w:val="auto"/>
          <w:kern w:val="0"/>
          <w:sz w:val="32"/>
          <w:szCs w:val="32"/>
          <w:lang w:eastAsia="zh-Hans"/>
        </w:rPr>
        <w:t>研究内容</w:t>
      </w:r>
      <w:r>
        <w:rPr>
          <w:rFonts w:hint="eastAsia" w:ascii="仿宋_GB2312" w:hAnsi="仿宋_GB2312" w:eastAsia="仿宋_GB2312" w:cs="仿宋_GB2312"/>
          <w:i w:val="0"/>
          <w:iCs w:val="0"/>
          <w:snapToGrid w:val="0"/>
          <w:color w:val="auto"/>
          <w:kern w:val="0"/>
          <w:sz w:val="32"/>
          <w:szCs w:val="32"/>
        </w:rPr>
        <w:t>”分为几部分，每一个费类应对应研究内容的部分，分别说明。对项目（课题）各科目支出主要用途、与项目（课题）任务的相关性、必要性及测算方法、测算依据进行详细说明；如同一科目同时编列省级财政专项资金和其他渠道资金的，应分别就省级财政专项资金、其他渠道资金在本科目的具体用途予以说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i w:val="0"/>
          <w:iCs w:val="0"/>
          <w:snapToGrid w:val="0"/>
          <w:color w:val="auto"/>
          <w:kern w:val="0"/>
          <w:sz w:val="32"/>
          <w:szCs w:val="32"/>
        </w:rPr>
      </w:pPr>
      <w:r>
        <w:rPr>
          <w:rFonts w:hint="eastAsia" w:ascii="楷体_GB2312" w:hAnsi="楷体_GB2312" w:eastAsia="楷体_GB2312" w:cs="楷体_GB2312"/>
          <w:i w:val="0"/>
          <w:iCs w:val="0"/>
          <w:snapToGrid w:val="0"/>
          <w:color w:val="auto"/>
          <w:kern w:val="0"/>
          <w:sz w:val="32"/>
          <w:szCs w:val="32"/>
        </w:rPr>
        <w:t>（一）直接费用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1.设备费（应当对仪器设备购置进行重点说明）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经费预算  万元，占总经费预算  %。</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i w:val="0"/>
          <w:iCs w:val="0"/>
          <w:snapToGrid w:val="0"/>
          <w:color w:val="auto"/>
          <w:kern w:val="0"/>
          <w:sz w:val="32"/>
          <w:szCs w:val="32"/>
          <w:lang w:eastAsia="zh-Hans"/>
        </w:rPr>
      </w:pPr>
      <w:r>
        <w:rPr>
          <w:rFonts w:hint="eastAsia" w:ascii="仿宋_GB2312" w:hAnsi="仿宋_GB2312" w:eastAsia="仿宋_GB2312" w:cs="仿宋_GB2312"/>
          <w:b/>
          <w:bCs/>
          <w:i w:val="0"/>
          <w:iCs w:val="0"/>
          <w:snapToGrid w:val="0"/>
          <w:color w:val="auto"/>
          <w:kern w:val="0"/>
          <w:sz w:val="32"/>
          <w:szCs w:val="32"/>
          <w:lang w:eastAsia="zh-Hans"/>
        </w:rPr>
        <w:t>研究内容1：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（2）与项目（课题）</w:t>
      </w:r>
      <w:r>
        <w:rPr>
          <w:rFonts w:hint="eastAsia" w:ascii="仿宋_GB2312" w:hAnsi="仿宋_GB2312" w:eastAsia="仿宋_GB2312" w:cs="仿宋_GB2312"/>
          <w:i w:val="0"/>
          <w:iCs w:val="0"/>
          <w:snapToGrid w:val="0"/>
          <w:color w:val="auto"/>
          <w:kern w:val="0"/>
          <w:sz w:val="32"/>
          <w:szCs w:val="32"/>
          <w:lang w:eastAsia="zh-Hans"/>
        </w:rPr>
        <w:t>任务的</w:t>
      </w:r>
      <w:r>
        <w:rPr>
          <w:rFonts w:hint="eastAsia" w:ascii="仿宋_GB2312" w:hAnsi="仿宋_GB2312" w:eastAsia="仿宋_GB2312" w:cs="仿宋_GB2312"/>
          <w:i w:val="0"/>
          <w:iCs w:val="0"/>
          <w:snapToGrid w:val="0"/>
          <w:color w:val="auto"/>
          <w:kern w:val="0"/>
          <w:sz w:val="32"/>
          <w:szCs w:val="32"/>
        </w:rPr>
        <w:t>相关性说明：应说明该项支出的主要用途，用于支撑保障研究的哪部分内容，拟支出内容的必要性。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（3）测算方法（依据）：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i w:val="0"/>
          <w:iCs w:val="0"/>
          <w:snapToGrid w:val="0"/>
          <w:color w:val="auto"/>
          <w:kern w:val="0"/>
          <w:sz w:val="32"/>
          <w:szCs w:val="32"/>
          <w:lang w:eastAsia="zh-Hans"/>
        </w:rPr>
      </w:pPr>
      <w:r>
        <w:rPr>
          <w:rFonts w:hint="eastAsia" w:ascii="仿宋_GB2312" w:hAnsi="仿宋_GB2312" w:eastAsia="仿宋_GB2312" w:cs="仿宋_GB2312"/>
          <w:b/>
          <w:bCs/>
          <w:i w:val="0"/>
          <w:iCs w:val="0"/>
          <w:snapToGrid w:val="0"/>
          <w:color w:val="auto"/>
          <w:kern w:val="0"/>
          <w:sz w:val="32"/>
          <w:szCs w:val="32"/>
          <w:lang w:eastAsia="zh-Hans"/>
        </w:rPr>
        <w:t>研究内容2：</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lang w:bidi="ar"/>
        </w:rPr>
        <w:t>（2）与项目（课题）任务的相关性说明：</w:t>
      </w:r>
      <w:r>
        <w:rPr>
          <w:rFonts w:hint="eastAsia" w:ascii="仿宋_GB2312" w:hAnsi="仿宋_GB2312" w:eastAsia="仿宋_GB2312" w:cs="仿宋_GB2312"/>
          <w:i w:val="0"/>
          <w:iCs w:val="0"/>
          <w:snapToGrid w:val="0"/>
          <w:color w:val="auto"/>
          <w:kern w:val="0"/>
          <w:sz w:val="32"/>
          <w:szCs w:val="32"/>
        </w:rPr>
        <w:t>应说明该项支出的主要用途，用于支撑保障研究的哪部分内容，拟支出内容的必要性。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lang w:bidi="ar"/>
        </w:rPr>
        <w:t>（3）测算方法（依据）：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2.材料费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lang w:eastAsia="zh-Hans"/>
        </w:rPr>
        <w:t>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万元，占总经费预算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i w:val="0"/>
          <w:iCs w:val="0"/>
          <w:snapToGrid w:val="0"/>
          <w:color w:val="auto"/>
          <w:kern w:val="0"/>
          <w:sz w:val="32"/>
          <w:szCs w:val="32"/>
          <w:lang w:eastAsia="zh-Hans"/>
        </w:rPr>
      </w:pPr>
      <w:r>
        <w:rPr>
          <w:rFonts w:hint="eastAsia" w:ascii="仿宋_GB2312" w:hAnsi="仿宋_GB2312" w:eastAsia="仿宋_GB2312" w:cs="仿宋_GB2312"/>
          <w:b/>
          <w:bCs/>
          <w:i w:val="0"/>
          <w:iCs w:val="0"/>
          <w:snapToGrid w:val="0"/>
          <w:color w:val="auto"/>
          <w:kern w:val="0"/>
          <w:sz w:val="32"/>
          <w:szCs w:val="32"/>
          <w:lang w:eastAsia="zh-Hans"/>
        </w:rPr>
        <w:t>研究内容1：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与项目（课题）任务的相关性说明：</w:t>
      </w:r>
      <w:r>
        <w:rPr>
          <w:rFonts w:hint="eastAsia" w:ascii="仿宋_GB2312" w:hAnsi="仿宋_GB2312" w:eastAsia="仿宋_GB2312" w:cs="仿宋_GB2312"/>
          <w:i w:val="0"/>
          <w:iCs w:val="0"/>
          <w:snapToGrid w:val="0"/>
          <w:color w:val="auto"/>
          <w:kern w:val="0"/>
          <w:sz w:val="32"/>
          <w:szCs w:val="32"/>
        </w:rPr>
        <w:t>应说明该项支出的主要用途，用于支撑保障研究的哪部分内容，拟支出内容的必要性。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测算方法（依据）：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3.测试化验加工费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lang w:eastAsia="zh-Hans"/>
        </w:rPr>
        <w:t>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万元，占总经费预算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i w:val="0"/>
          <w:iCs w:val="0"/>
          <w:snapToGrid w:val="0"/>
          <w:color w:val="auto"/>
          <w:kern w:val="0"/>
          <w:sz w:val="32"/>
          <w:szCs w:val="32"/>
          <w:lang w:eastAsia="zh-Hans"/>
        </w:rPr>
      </w:pPr>
      <w:r>
        <w:rPr>
          <w:rFonts w:hint="eastAsia" w:ascii="仿宋_GB2312" w:hAnsi="仿宋_GB2312" w:eastAsia="仿宋_GB2312" w:cs="仿宋_GB2312"/>
          <w:b/>
          <w:bCs/>
          <w:i w:val="0"/>
          <w:iCs w:val="0"/>
          <w:snapToGrid w:val="0"/>
          <w:color w:val="auto"/>
          <w:kern w:val="0"/>
          <w:sz w:val="32"/>
          <w:szCs w:val="32"/>
          <w:lang w:eastAsia="zh-Hans"/>
        </w:rPr>
        <w:t>研究内容1：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与项目（课题）任务的相关性说明：</w:t>
      </w:r>
      <w:r>
        <w:rPr>
          <w:rFonts w:hint="eastAsia" w:ascii="仿宋_GB2312" w:hAnsi="仿宋_GB2312" w:eastAsia="仿宋_GB2312" w:cs="仿宋_GB2312"/>
          <w:i w:val="0"/>
          <w:iCs w:val="0"/>
          <w:snapToGrid w:val="0"/>
          <w:color w:val="auto"/>
          <w:kern w:val="0"/>
          <w:sz w:val="32"/>
          <w:szCs w:val="32"/>
        </w:rPr>
        <w:t>应说明该项支出的主要用途，用于支撑保障研究的哪部分内容，拟支出内容的必要性。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测算方法（依据）：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4.燃料动力费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lang w:eastAsia="zh-Hans"/>
        </w:rPr>
        <w:t>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万元，占总经费预算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i w:val="0"/>
          <w:iCs w:val="0"/>
          <w:snapToGrid w:val="0"/>
          <w:color w:val="auto"/>
          <w:kern w:val="0"/>
          <w:sz w:val="32"/>
          <w:szCs w:val="32"/>
          <w:lang w:eastAsia="zh-Hans"/>
        </w:rPr>
      </w:pPr>
      <w:r>
        <w:rPr>
          <w:rFonts w:hint="eastAsia" w:ascii="仿宋_GB2312" w:hAnsi="仿宋_GB2312" w:eastAsia="仿宋_GB2312" w:cs="仿宋_GB2312"/>
          <w:b/>
          <w:bCs/>
          <w:i w:val="0"/>
          <w:iCs w:val="0"/>
          <w:snapToGrid w:val="0"/>
          <w:color w:val="auto"/>
          <w:kern w:val="0"/>
          <w:sz w:val="32"/>
          <w:szCs w:val="32"/>
          <w:lang w:eastAsia="zh-Hans"/>
        </w:rPr>
        <w:t>研究内容1：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与项目（课题）任务的相关性说明：</w:t>
      </w:r>
      <w:r>
        <w:rPr>
          <w:rFonts w:hint="eastAsia" w:ascii="仿宋_GB2312" w:hAnsi="仿宋_GB2312" w:eastAsia="仿宋_GB2312" w:cs="仿宋_GB2312"/>
          <w:i w:val="0"/>
          <w:iCs w:val="0"/>
          <w:snapToGrid w:val="0"/>
          <w:color w:val="auto"/>
          <w:kern w:val="0"/>
          <w:sz w:val="32"/>
          <w:szCs w:val="32"/>
        </w:rPr>
        <w:t>应说明该项支出的主要用途，用于支撑保障研究的哪部分内容，拟支出内容的必要性。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测算方法（依据）：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5.出版/文献/信息传播/知识产权事务费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lang w:eastAsia="zh-Hans"/>
        </w:rPr>
        <w:t>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万元，占总经费预算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b/>
          <w:bCs/>
          <w:i w:val="0"/>
          <w:iCs w:val="0"/>
          <w:snapToGrid w:val="0"/>
          <w:color w:val="auto"/>
          <w:kern w:val="0"/>
          <w:sz w:val="32"/>
          <w:szCs w:val="32"/>
          <w:lang w:eastAsia="zh-Hans"/>
        </w:rPr>
        <w:t>研究内容1：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与项目（课题）任务的相关性说明：</w:t>
      </w:r>
      <w:r>
        <w:rPr>
          <w:rFonts w:hint="eastAsia" w:ascii="仿宋_GB2312" w:hAnsi="仿宋_GB2312" w:eastAsia="仿宋_GB2312" w:cs="仿宋_GB2312"/>
          <w:i w:val="0"/>
          <w:iCs w:val="0"/>
          <w:snapToGrid w:val="0"/>
          <w:color w:val="auto"/>
          <w:kern w:val="0"/>
          <w:sz w:val="32"/>
          <w:szCs w:val="32"/>
        </w:rPr>
        <w:t>应说明该项支出的主要用途，用于支撑保障研究的哪部分内容，拟支出内容的必要性。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测算方法（依据）：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6.会议/差旅/国际合作与交流费（科研人员结合科研活动实际需要编制预算并按规定统筹安排使用，其中不超过直接费用10%的，不需要提供预算测算依据。超过直接费用10%的，应说明测算过程和依据）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lang w:eastAsia="zh-Hans"/>
        </w:rPr>
        <w:t>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万元，占总经费预算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i w:val="0"/>
          <w:iCs w:val="0"/>
          <w:snapToGrid w:val="0"/>
          <w:color w:val="auto"/>
          <w:kern w:val="0"/>
          <w:sz w:val="32"/>
          <w:szCs w:val="32"/>
          <w:lang w:eastAsia="zh-Hans"/>
        </w:rPr>
      </w:pPr>
      <w:r>
        <w:rPr>
          <w:rFonts w:hint="eastAsia" w:ascii="仿宋_GB2312" w:hAnsi="仿宋_GB2312" w:eastAsia="仿宋_GB2312" w:cs="仿宋_GB2312"/>
          <w:b/>
          <w:bCs/>
          <w:i w:val="0"/>
          <w:iCs w:val="0"/>
          <w:snapToGrid w:val="0"/>
          <w:color w:val="auto"/>
          <w:kern w:val="0"/>
          <w:sz w:val="32"/>
          <w:szCs w:val="32"/>
          <w:lang w:eastAsia="zh-Hans"/>
        </w:rPr>
        <w:t>研究内容1：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与项目（课题）任务的相关性说明：</w:t>
      </w:r>
      <w:r>
        <w:rPr>
          <w:rFonts w:hint="eastAsia" w:ascii="仿宋_GB2312" w:hAnsi="仿宋_GB2312" w:eastAsia="仿宋_GB2312" w:cs="仿宋_GB2312"/>
          <w:i w:val="0"/>
          <w:iCs w:val="0"/>
          <w:snapToGrid w:val="0"/>
          <w:color w:val="auto"/>
          <w:kern w:val="0"/>
          <w:sz w:val="32"/>
          <w:szCs w:val="32"/>
        </w:rPr>
        <w:t>应说明该项支出的主要用途，用于支撑保障研究的哪部分内容，拟支出内容的必要性。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测算方法（依据）：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7.培训费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lang w:eastAsia="zh-Hans"/>
        </w:rPr>
        <w:t>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万元，占总经费预算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i w:val="0"/>
          <w:iCs w:val="0"/>
          <w:snapToGrid w:val="0"/>
          <w:color w:val="auto"/>
          <w:kern w:val="0"/>
          <w:sz w:val="32"/>
          <w:szCs w:val="32"/>
          <w:lang w:eastAsia="zh-Hans"/>
        </w:rPr>
      </w:pPr>
      <w:r>
        <w:rPr>
          <w:rFonts w:hint="eastAsia" w:ascii="仿宋_GB2312" w:hAnsi="仿宋_GB2312" w:eastAsia="仿宋_GB2312" w:cs="仿宋_GB2312"/>
          <w:b/>
          <w:bCs/>
          <w:i w:val="0"/>
          <w:iCs w:val="0"/>
          <w:snapToGrid w:val="0"/>
          <w:color w:val="auto"/>
          <w:kern w:val="0"/>
          <w:sz w:val="32"/>
          <w:szCs w:val="32"/>
          <w:lang w:eastAsia="zh-Hans"/>
        </w:rPr>
        <w:t>研究内容1：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与项目（课题）任务的相关性说明：</w:t>
      </w:r>
      <w:r>
        <w:rPr>
          <w:rFonts w:hint="eastAsia" w:ascii="仿宋_GB2312" w:hAnsi="仿宋_GB2312" w:eastAsia="仿宋_GB2312" w:cs="仿宋_GB2312"/>
          <w:i w:val="0"/>
          <w:iCs w:val="0"/>
          <w:snapToGrid w:val="0"/>
          <w:color w:val="auto"/>
          <w:kern w:val="0"/>
          <w:sz w:val="32"/>
          <w:szCs w:val="32"/>
        </w:rPr>
        <w:t>应说明该项支出的主要用途，用于支撑保障研究的哪部分内容，拟支出内容的必要性。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测算方法（依据）：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8.劳务费（劳务费预算无比例限制。参与项目（课题）实施的研究生、博士后、访问学者以及项目（课题）聘用的人员、科研辅助人员等，均可开支劳务费。项目（课题）聘用人员的劳务费开支标准，参照当地科学研究和技术服务业从业人员平均工资水平，根据其在项目（课题）实施中承担的工作任务确定，其社会保险补助纳入劳务费科目中列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lang w:eastAsia="zh-Hans"/>
        </w:rPr>
        <w:t>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万元，占总经费预算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i w:val="0"/>
          <w:iCs w:val="0"/>
          <w:snapToGrid w:val="0"/>
          <w:color w:val="auto"/>
          <w:kern w:val="0"/>
          <w:sz w:val="32"/>
          <w:szCs w:val="32"/>
          <w:lang w:eastAsia="zh-Hans"/>
        </w:rPr>
      </w:pPr>
      <w:r>
        <w:rPr>
          <w:rFonts w:hint="eastAsia" w:ascii="仿宋_GB2312" w:hAnsi="仿宋_GB2312" w:eastAsia="仿宋_GB2312" w:cs="仿宋_GB2312"/>
          <w:b/>
          <w:bCs/>
          <w:i w:val="0"/>
          <w:iCs w:val="0"/>
          <w:snapToGrid w:val="0"/>
          <w:color w:val="auto"/>
          <w:kern w:val="0"/>
          <w:sz w:val="32"/>
          <w:szCs w:val="32"/>
          <w:lang w:eastAsia="zh-Hans"/>
        </w:rPr>
        <w:t>研究内容1：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与项目（课题）任务的相关性说明：</w:t>
      </w:r>
      <w:r>
        <w:rPr>
          <w:rFonts w:hint="eastAsia" w:ascii="仿宋_GB2312" w:hAnsi="仿宋_GB2312" w:eastAsia="仿宋_GB2312" w:cs="仿宋_GB2312"/>
          <w:i w:val="0"/>
          <w:iCs w:val="0"/>
          <w:snapToGrid w:val="0"/>
          <w:color w:val="auto"/>
          <w:kern w:val="0"/>
          <w:sz w:val="32"/>
          <w:szCs w:val="32"/>
        </w:rPr>
        <w:t>应说明该项支出的主要用途，用于支撑保障研究的哪部分内容，拟支出内容的必要性。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测算方法（依据）：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i w:val="0"/>
          <w:iCs w:val="0"/>
          <w:snapToGrid w:val="0"/>
          <w:color w:val="auto"/>
          <w:kern w:val="0"/>
          <w:sz w:val="32"/>
          <w:szCs w:val="32"/>
          <w:lang w:eastAsia="zh-Hans"/>
        </w:rPr>
      </w:pPr>
      <w:r>
        <w:rPr>
          <w:rFonts w:hint="eastAsia" w:ascii="仿宋_GB2312" w:hAnsi="仿宋_GB2312" w:eastAsia="仿宋_GB2312" w:cs="仿宋_GB2312"/>
          <w:b/>
          <w:bCs/>
          <w:i w:val="0"/>
          <w:iCs w:val="0"/>
          <w:snapToGrid w:val="0"/>
          <w:color w:val="auto"/>
          <w:kern w:val="0"/>
          <w:sz w:val="32"/>
          <w:szCs w:val="32"/>
          <w:lang w:eastAsia="zh-Hans"/>
        </w:rPr>
        <w:t>研究内容1：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与项目（课题）任务的相关性说明：</w:t>
      </w:r>
      <w:r>
        <w:rPr>
          <w:rFonts w:hint="eastAsia" w:ascii="仿宋_GB2312" w:hAnsi="仿宋_GB2312" w:eastAsia="仿宋_GB2312" w:cs="仿宋_GB2312"/>
          <w:i w:val="0"/>
          <w:iCs w:val="0"/>
          <w:snapToGrid w:val="0"/>
          <w:color w:val="auto"/>
          <w:kern w:val="0"/>
          <w:sz w:val="32"/>
          <w:szCs w:val="32"/>
        </w:rPr>
        <w:t>应说明该项支出的主要用途，用于支撑保障研究的哪部分内容，拟支出内容的必要性。同时应与项目人员表中所列人员相一致。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测算方法（依据）：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10</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专家咨询费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lang w:eastAsia="zh-Hans"/>
        </w:rPr>
        <w:t>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万元，占总经费预算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i w:val="0"/>
          <w:iCs w:val="0"/>
          <w:snapToGrid w:val="0"/>
          <w:color w:val="auto"/>
          <w:kern w:val="0"/>
          <w:sz w:val="32"/>
          <w:szCs w:val="32"/>
          <w:lang w:eastAsia="zh-Hans"/>
        </w:rPr>
      </w:pPr>
      <w:r>
        <w:rPr>
          <w:rFonts w:hint="eastAsia" w:ascii="仿宋_GB2312" w:hAnsi="仿宋_GB2312" w:eastAsia="仿宋_GB2312" w:cs="仿宋_GB2312"/>
          <w:b/>
          <w:bCs/>
          <w:i w:val="0"/>
          <w:iCs w:val="0"/>
          <w:snapToGrid w:val="0"/>
          <w:color w:val="auto"/>
          <w:kern w:val="0"/>
          <w:sz w:val="32"/>
          <w:szCs w:val="32"/>
          <w:lang w:eastAsia="zh-Hans"/>
        </w:rPr>
        <w:t>研究内容1：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与项目（课题）任务的相关性说明：</w:t>
      </w:r>
      <w:r>
        <w:rPr>
          <w:rFonts w:hint="eastAsia" w:ascii="仿宋_GB2312" w:hAnsi="仿宋_GB2312" w:eastAsia="仿宋_GB2312" w:cs="仿宋_GB2312"/>
          <w:i w:val="0"/>
          <w:iCs w:val="0"/>
          <w:snapToGrid w:val="0"/>
          <w:color w:val="auto"/>
          <w:kern w:val="0"/>
          <w:sz w:val="32"/>
          <w:szCs w:val="32"/>
        </w:rPr>
        <w:t>应说明该项支出的主要用途，用于支撑保障研究的哪部分内容，拟支出内容的必要性。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测算方法（依据）：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11</w:t>
      </w:r>
      <w:r>
        <w:rPr>
          <w:rFonts w:hint="eastAsia" w:ascii="仿宋_GB2312" w:hAnsi="仿宋_GB2312" w:eastAsia="仿宋_GB2312" w:cs="仿宋_GB2312"/>
          <w:i w:val="0"/>
          <w:iCs w:val="0"/>
          <w:snapToGrid w:val="0"/>
          <w:color w:val="auto"/>
          <w:kern w:val="0"/>
          <w:sz w:val="32"/>
          <w:szCs w:val="32"/>
          <w:lang w:eastAsia="zh-Hans"/>
        </w:rPr>
        <w:t>.基本建设费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lang w:eastAsia="zh-Hans"/>
        </w:rPr>
        <w:t>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万元，占总经费预算</w:t>
      </w:r>
      <w:r>
        <w:rPr>
          <w:rFonts w:hint="eastAsia" w:ascii="仿宋_GB2312" w:hAnsi="仿宋_GB2312" w:eastAsia="仿宋_GB2312" w:cs="仿宋_GB2312"/>
          <w:i w:val="0"/>
          <w:iCs w:val="0"/>
          <w:snapToGrid w:val="0"/>
          <w:color w:val="auto"/>
          <w:kern w:val="0"/>
          <w:sz w:val="32"/>
          <w:szCs w:val="32"/>
          <w:u w:val="single"/>
          <w:lang w:eastAsia="zh-Hans"/>
        </w:rPr>
        <w:t xml:space="preserve">  </w:t>
      </w: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i w:val="0"/>
          <w:iCs w:val="0"/>
          <w:snapToGrid w:val="0"/>
          <w:color w:val="auto"/>
          <w:kern w:val="0"/>
          <w:sz w:val="32"/>
          <w:szCs w:val="32"/>
          <w:lang w:eastAsia="zh-Hans"/>
        </w:rPr>
      </w:pPr>
      <w:r>
        <w:rPr>
          <w:rFonts w:hint="eastAsia" w:ascii="仿宋_GB2312" w:hAnsi="仿宋_GB2312" w:eastAsia="仿宋_GB2312" w:cs="仿宋_GB2312"/>
          <w:b/>
          <w:bCs/>
          <w:i w:val="0"/>
          <w:iCs w:val="0"/>
          <w:snapToGrid w:val="0"/>
          <w:color w:val="auto"/>
          <w:kern w:val="0"/>
          <w:sz w:val="32"/>
          <w:szCs w:val="32"/>
          <w:lang w:eastAsia="zh-Hans"/>
        </w:rPr>
        <w:t>研究内容1：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与项目（课题）任务的相关性说明：</w:t>
      </w:r>
      <w:r>
        <w:rPr>
          <w:rFonts w:hint="eastAsia" w:ascii="仿宋_GB2312" w:hAnsi="仿宋_GB2312" w:eastAsia="仿宋_GB2312" w:cs="仿宋_GB2312"/>
          <w:i w:val="0"/>
          <w:iCs w:val="0"/>
          <w:snapToGrid w:val="0"/>
          <w:color w:val="auto"/>
          <w:kern w:val="0"/>
          <w:sz w:val="32"/>
          <w:szCs w:val="32"/>
        </w:rPr>
        <w:t>应说明该项支出的主要用途，用于支撑保障研究的哪部分内容，拟支出内容的必要性。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测算方法（依据）：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lang w:eastAsia="zh-Hans"/>
        </w:rPr>
      </w:pPr>
      <w:r>
        <w:rPr>
          <w:rFonts w:hint="eastAsia" w:ascii="仿宋_GB2312" w:hAnsi="仿宋_GB2312" w:eastAsia="仿宋_GB2312" w:cs="仿宋_GB2312"/>
          <w:i w:val="0"/>
          <w:iCs w:val="0"/>
          <w:snapToGrid w:val="0"/>
          <w:color w:val="auto"/>
          <w:kern w:val="0"/>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12.其他</w:t>
      </w:r>
      <w:r>
        <w:rPr>
          <w:rFonts w:hint="eastAsia" w:ascii="仿宋_GB2312" w:hAnsi="仿宋_GB2312" w:eastAsia="仿宋_GB2312" w:cs="仿宋_GB2312"/>
          <w:i w:val="0"/>
          <w:iCs w:val="0"/>
          <w:snapToGrid w:val="0"/>
          <w:color w:val="auto"/>
          <w:kern w:val="0"/>
          <w:sz w:val="32"/>
          <w:szCs w:val="32"/>
          <w:lang w:eastAsia="zh-Hans"/>
        </w:rPr>
        <w:t>费用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i w:val="0"/>
          <w:iCs w:val="0"/>
          <w:snapToGrid w:val="0"/>
          <w:color w:val="auto"/>
          <w:kern w:val="0"/>
          <w:sz w:val="32"/>
          <w:szCs w:val="32"/>
        </w:rPr>
      </w:pPr>
      <w:r>
        <w:rPr>
          <w:rFonts w:hint="eastAsia" w:ascii="楷体_GB2312" w:hAnsi="楷体_GB2312" w:eastAsia="楷体_GB2312" w:cs="楷体_GB2312"/>
          <w:i w:val="0"/>
          <w:iCs w:val="0"/>
          <w:snapToGrid w:val="0"/>
          <w:color w:val="auto"/>
          <w:kern w:val="0"/>
          <w:sz w:val="32"/>
          <w:szCs w:val="32"/>
        </w:rPr>
        <w:t>（二）间接费用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iCs/>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（科研项目（课题）如包括技术推广示范内容，应扣减相应资金后再按照间接费用计算方法计算，并提供预算编制说明。技术推广示范类项目（课题）不允许列支间接费用）</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napToGrid w:val="0"/>
          <w:color w:val="auto"/>
          <w:kern w:val="0"/>
          <w:sz w:val="32"/>
          <w:szCs w:val="32"/>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keepNext w:val="0"/>
        <w:keepLines w:val="0"/>
        <w:pageBreakBefore w:val="0"/>
        <w:widowControl w:val="0"/>
        <w:kinsoku/>
        <w:wordWrap/>
        <w:overflowPunct/>
        <w:topLinePunct w:val="0"/>
        <w:autoSpaceDE/>
        <w:autoSpaceDN/>
        <w:bidi w:val="0"/>
        <w:adjustRightInd w:val="0"/>
        <w:snapToGrid w:val="0"/>
        <w:spacing w:line="420" w:lineRule="exact"/>
        <w:ind w:firstLine="640" w:firstLineChars="200"/>
        <w:textAlignment w:val="auto"/>
        <w:rPr>
          <w:rFonts w:ascii="黑体" w:hAnsi="黑体" w:eastAsia="黑体" w:cs="黑体"/>
          <w:bCs/>
          <w:color w:val="auto"/>
          <w:kern w:val="0"/>
          <w:sz w:val="32"/>
          <w:szCs w:val="32"/>
        </w:rPr>
      </w:pPr>
      <w:r>
        <w:rPr>
          <w:rFonts w:hint="eastAsia" w:ascii="黑体" w:hAnsi="黑体" w:eastAsia="黑体" w:cs="黑体"/>
          <w:bCs/>
          <w:color w:val="auto"/>
          <w:kern w:val="0"/>
          <w:sz w:val="32"/>
          <w:szCs w:val="32"/>
        </w:rPr>
        <w:t>十一、绩效目标</w:t>
      </w:r>
    </w:p>
    <w:p>
      <w:pPr>
        <w:keepNext w:val="0"/>
        <w:keepLines w:val="0"/>
        <w:pageBreakBefore w:val="0"/>
        <w:widowControl w:val="0"/>
        <w:kinsoku/>
        <w:wordWrap/>
        <w:overflowPunct/>
        <w:topLinePunct w:val="0"/>
        <w:autoSpaceDE/>
        <w:autoSpaceDN/>
        <w:bidi w:val="0"/>
        <w:adjustRightInd w:val="0"/>
        <w:snapToGrid w:val="0"/>
        <w:spacing w:line="420" w:lineRule="exact"/>
        <w:ind w:firstLine="640" w:firstLineChars="200"/>
        <w:textAlignment w:val="auto"/>
        <w:rPr>
          <w:rFonts w:hint="eastAsia" w:ascii="仿宋_GB2312" w:hAnsi="仿宋_GB2312" w:eastAsia="仿宋_GB2312" w:cs="仿宋_GB2312"/>
          <w:i w:val="0"/>
          <w:iCs w:val="0"/>
          <w:color w:val="auto"/>
          <w:sz w:val="32"/>
          <w:szCs w:val="32"/>
        </w:rPr>
      </w:pPr>
      <w:r>
        <w:rPr>
          <w:rFonts w:hint="eastAsia" w:ascii="仿宋_GB2312" w:hAnsi="仿宋_GB2312" w:eastAsia="仿宋_GB2312" w:cs="仿宋_GB2312"/>
          <w:i w:val="0"/>
          <w:iCs w:val="0"/>
          <w:color w:val="auto"/>
          <w:sz w:val="32"/>
          <w:szCs w:val="32"/>
        </w:rPr>
        <w:t>（包含经济效益、社会效益、生态效益分析。需填写支出绩效目标表）</w:t>
      </w:r>
    </w:p>
    <w:p>
      <w:pPr>
        <w:pStyle w:val="5"/>
        <w:rPr>
          <w:rFonts w:hint="eastAsia"/>
        </w:rPr>
      </w:pPr>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ascii="方正小标宋简体" w:hAnsi="方正小标宋简体" w:eastAsia="方正小标宋简体" w:cs="方正小标宋简体"/>
          <w:color w:val="auto"/>
          <w:kern w:val="0"/>
          <w:sz w:val="32"/>
          <w:szCs w:val="32"/>
          <w:lang w:bidi="ar"/>
        </w:rPr>
      </w:pPr>
      <w:r>
        <w:rPr>
          <w:rFonts w:hint="eastAsia" w:ascii="方正小标宋简体" w:hAnsi="方正小标宋简体" w:eastAsia="方正小标宋简体" w:cs="方正小标宋简体"/>
          <w:color w:val="auto"/>
          <w:kern w:val="0"/>
          <w:sz w:val="32"/>
          <w:szCs w:val="32"/>
          <w:lang w:bidi="ar"/>
        </w:rPr>
        <w:t>支出绩效目标表（示例）</w:t>
      </w: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_GB2312" w:hAnsi="宋体" w:eastAsia="仿宋_GB2312" w:cs="仿宋_GB2312"/>
          <w:color w:val="auto"/>
          <w:kern w:val="0"/>
          <w:sz w:val="24"/>
          <w:szCs w:val="24"/>
          <w:lang w:bidi="ar"/>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color w:val="auto"/>
          <w:sz w:val="24"/>
          <w:szCs w:val="24"/>
        </w:rPr>
      </w:pPr>
      <w:r>
        <w:rPr>
          <w:rFonts w:hint="eastAsia" w:ascii="仿宋_GB2312" w:hAnsi="宋体" w:eastAsia="仿宋_GB2312" w:cs="仿宋_GB2312"/>
          <w:color w:val="auto"/>
          <w:kern w:val="0"/>
          <w:sz w:val="24"/>
          <w:szCs w:val="24"/>
          <w:lang w:bidi="ar"/>
        </w:rPr>
        <w:t xml:space="preserve">单位：       </w:t>
      </w:r>
      <w:r>
        <w:rPr>
          <w:rFonts w:hint="eastAsia" w:ascii="仿宋_GB2312" w:hAnsi="宋体" w:eastAsia="仿宋_GB2312" w:cs="仿宋_GB2312"/>
          <w:color w:val="auto"/>
          <w:kern w:val="0"/>
          <w:sz w:val="24"/>
          <w:szCs w:val="24"/>
          <w:lang w:val="en-US" w:eastAsia="zh-CN" w:bidi="ar"/>
        </w:rPr>
        <w:t xml:space="preserve">           </w:t>
      </w:r>
      <w:r>
        <w:rPr>
          <w:rFonts w:hint="eastAsia" w:ascii="仿宋_GB2312" w:hAnsi="宋体" w:eastAsia="仿宋_GB2312" w:cs="仿宋_GB2312"/>
          <w:color w:val="auto"/>
          <w:kern w:val="0"/>
          <w:sz w:val="24"/>
          <w:szCs w:val="24"/>
          <w:lang w:bidi="ar"/>
        </w:rPr>
        <w:t xml:space="preserve">                 </w:t>
      </w:r>
      <w:r>
        <w:rPr>
          <w:rFonts w:hint="eastAsia" w:ascii="宋体" w:hAnsi="宋体" w:eastAsia="仿宋_GB2312" w:cs="宋体"/>
          <w:color w:val="auto"/>
          <w:kern w:val="0"/>
          <w:sz w:val="24"/>
          <w:szCs w:val="24"/>
          <w:lang w:bidi="ar"/>
        </w:rPr>
        <w:t>项目</w:t>
      </w:r>
      <w:r>
        <w:rPr>
          <w:rFonts w:hint="eastAsia" w:ascii="宋体" w:hAnsi="宋体" w:cs="宋体"/>
          <w:color w:val="auto"/>
          <w:kern w:val="0"/>
          <w:sz w:val="24"/>
          <w:szCs w:val="24"/>
          <w:lang w:bidi="ar"/>
        </w:rPr>
        <w:t>（课题）</w:t>
      </w:r>
      <w:r>
        <w:rPr>
          <w:rFonts w:hint="eastAsia" w:ascii="仿宋_GB2312" w:hAnsi="宋体" w:eastAsia="仿宋_GB2312" w:cs="仿宋_GB2312"/>
          <w:color w:val="auto"/>
          <w:kern w:val="0"/>
          <w:sz w:val="24"/>
          <w:szCs w:val="24"/>
          <w:lang w:bidi="ar"/>
        </w:rPr>
        <w:t>名称：</w:t>
      </w:r>
    </w:p>
    <w:tbl>
      <w:tblPr>
        <w:tblStyle w:val="12"/>
        <w:tblW w:w="13543" w:type="dxa"/>
        <w:jc w:val="center"/>
        <w:tblLayout w:type="fixed"/>
        <w:tblCellMar>
          <w:top w:w="15" w:type="dxa"/>
          <w:left w:w="15" w:type="dxa"/>
          <w:bottom w:w="15" w:type="dxa"/>
          <w:right w:w="15" w:type="dxa"/>
        </w:tblCellMar>
      </w:tblPr>
      <w:tblGrid>
        <w:gridCol w:w="1141"/>
        <w:gridCol w:w="1440"/>
        <w:gridCol w:w="2325"/>
        <w:gridCol w:w="1725"/>
        <w:gridCol w:w="1396"/>
        <w:gridCol w:w="5516"/>
      </w:tblGrid>
      <w:tr>
        <w:tblPrEx>
          <w:tblCellMar>
            <w:top w:w="15" w:type="dxa"/>
            <w:left w:w="15" w:type="dxa"/>
            <w:bottom w:w="15" w:type="dxa"/>
            <w:right w:w="15" w:type="dxa"/>
          </w:tblCellMar>
        </w:tblPrEx>
        <w:trPr>
          <w:trHeight w:val="756" w:hRule="atLeast"/>
          <w:tblHeader/>
          <w:jc w:val="center"/>
        </w:trPr>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黑体" w:hAnsi="黑体" w:eastAsia="黑体" w:cs="黑体"/>
                <w:color w:val="auto"/>
                <w:sz w:val="20"/>
                <w:szCs w:val="20"/>
              </w:rPr>
            </w:pPr>
            <w:r>
              <w:rPr>
                <w:rFonts w:hint="eastAsia" w:ascii="黑体" w:hAnsi="黑体" w:eastAsia="黑体" w:cs="黑体"/>
                <w:color w:val="auto"/>
                <w:kern w:val="0"/>
                <w:sz w:val="20"/>
                <w:szCs w:val="20"/>
                <w:lang w:bidi="ar"/>
              </w:rPr>
              <w:t>绩效目标</w:t>
            </w:r>
          </w:p>
        </w:tc>
        <w:tc>
          <w:tcPr>
            <w:tcW w:w="3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黑体" w:hAnsi="黑体" w:eastAsia="黑体" w:cs="黑体"/>
                <w:color w:val="auto"/>
                <w:sz w:val="20"/>
                <w:szCs w:val="20"/>
              </w:rPr>
            </w:pPr>
            <w:r>
              <w:rPr>
                <w:rFonts w:hint="eastAsia" w:ascii="黑体" w:hAnsi="黑体" w:eastAsia="黑体" w:cs="黑体"/>
                <w:color w:val="auto"/>
                <w:kern w:val="0"/>
                <w:sz w:val="20"/>
                <w:szCs w:val="20"/>
                <w:lang w:bidi="ar"/>
              </w:rPr>
              <w:t>实施期目标（跨年度项目（课题）需填写，当年度项目（课题）不需填写）</w:t>
            </w:r>
          </w:p>
        </w:tc>
        <w:tc>
          <w:tcPr>
            <w:tcW w:w="3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黑体" w:hAnsi="黑体" w:eastAsia="黑体" w:cs="黑体"/>
                <w:color w:val="auto"/>
                <w:sz w:val="20"/>
                <w:szCs w:val="20"/>
              </w:rPr>
            </w:pPr>
            <w:r>
              <w:rPr>
                <w:rFonts w:hint="eastAsia" w:ascii="黑体" w:hAnsi="黑体" w:eastAsia="黑体" w:cs="黑体"/>
                <w:color w:val="auto"/>
                <w:kern w:val="0"/>
                <w:sz w:val="20"/>
                <w:szCs w:val="20"/>
                <w:lang w:bidi="ar"/>
              </w:rPr>
              <w:t>当年度目标*</w:t>
            </w:r>
          </w:p>
        </w:tc>
        <w:tc>
          <w:tcPr>
            <w:tcW w:w="5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黑体" w:hAnsi="黑体" w:eastAsia="黑体" w:cs="黑体"/>
                <w:color w:val="auto"/>
                <w:sz w:val="20"/>
                <w:szCs w:val="20"/>
              </w:rPr>
            </w:pPr>
            <w:r>
              <w:rPr>
                <w:rFonts w:hint="eastAsia" w:ascii="黑体" w:hAnsi="黑体" w:eastAsia="黑体" w:cs="黑体"/>
                <w:color w:val="auto"/>
                <w:kern w:val="0"/>
                <w:sz w:val="20"/>
                <w:szCs w:val="20"/>
                <w:lang w:bidi="ar"/>
              </w:rPr>
              <w:t>填写说明</w:t>
            </w:r>
          </w:p>
        </w:tc>
      </w:tr>
      <w:tr>
        <w:tblPrEx>
          <w:tblCellMar>
            <w:top w:w="15" w:type="dxa"/>
            <w:left w:w="15" w:type="dxa"/>
            <w:bottom w:w="15" w:type="dxa"/>
            <w:right w:w="15" w:type="dxa"/>
          </w:tblCellMar>
        </w:tblPrEx>
        <w:trPr>
          <w:trHeight w:val="863" w:hRule="atLeast"/>
          <w:jc w:val="center"/>
        </w:trPr>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总体目标</w:t>
            </w:r>
          </w:p>
        </w:tc>
        <w:tc>
          <w:tcPr>
            <w:tcW w:w="3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left"/>
              <w:rPr>
                <w:rFonts w:ascii="仿宋_GB2312" w:hAnsi="宋体" w:eastAsia="仿宋_GB2312" w:cs="仿宋_GB2312"/>
                <w:color w:val="auto"/>
                <w:sz w:val="20"/>
                <w:szCs w:val="20"/>
              </w:rPr>
            </w:pPr>
          </w:p>
        </w:tc>
        <w:tc>
          <w:tcPr>
            <w:tcW w:w="3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center"/>
              <w:rPr>
                <w:rFonts w:ascii="仿宋_GB2312" w:hAnsi="宋体" w:eastAsia="仿宋_GB2312" w:cs="仿宋_GB2312"/>
                <w:color w:val="auto"/>
                <w:sz w:val="20"/>
                <w:szCs w:val="20"/>
              </w:rPr>
            </w:pPr>
          </w:p>
        </w:tc>
        <w:tc>
          <w:tcPr>
            <w:tcW w:w="5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根据</w:t>
            </w:r>
            <w:r>
              <w:rPr>
                <w:rFonts w:hint="eastAsia" w:ascii="宋体" w:hAnsi="宋体" w:eastAsia="仿宋_GB2312" w:cs="宋体"/>
                <w:color w:val="auto"/>
                <w:kern w:val="0"/>
                <w:sz w:val="20"/>
                <w:szCs w:val="20"/>
                <w:lang w:bidi="ar"/>
              </w:rPr>
              <w:t>项目</w:t>
            </w:r>
            <w:r>
              <w:rPr>
                <w:rFonts w:hint="eastAsia" w:ascii="宋体" w:hAnsi="宋体" w:cs="宋体"/>
                <w:color w:val="auto"/>
                <w:kern w:val="0"/>
                <w:sz w:val="20"/>
                <w:szCs w:val="20"/>
                <w:lang w:bidi="ar"/>
              </w:rPr>
              <w:t>（课题）</w:t>
            </w:r>
            <w:r>
              <w:rPr>
                <w:rFonts w:hint="eastAsia" w:ascii="仿宋_GB2312" w:hAnsi="宋体" w:eastAsia="仿宋_GB2312" w:cs="仿宋_GB2312"/>
                <w:color w:val="auto"/>
                <w:kern w:val="0"/>
                <w:sz w:val="20"/>
                <w:szCs w:val="20"/>
                <w:lang w:bidi="ar"/>
              </w:rPr>
              <w:t>资金设立（或政策意图）的初衷，概括性描述该</w:t>
            </w:r>
            <w:r>
              <w:rPr>
                <w:rFonts w:hint="eastAsia" w:ascii="宋体" w:hAnsi="宋体" w:eastAsia="仿宋_GB2312" w:cs="宋体"/>
                <w:color w:val="auto"/>
                <w:kern w:val="0"/>
                <w:sz w:val="20"/>
                <w:szCs w:val="20"/>
                <w:lang w:bidi="ar"/>
              </w:rPr>
              <w:t>项目</w:t>
            </w:r>
            <w:r>
              <w:rPr>
                <w:rFonts w:hint="eastAsia" w:ascii="宋体" w:hAnsi="宋体" w:cs="宋体"/>
                <w:color w:val="auto"/>
                <w:kern w:val="0"/>
                <w:sz w:val="20"/>
                <w:szCs w:val="20"/>
                <w:lang w:bidi="ar"/>
              </w:rPr>
              <w:t>（课题）</w:t>
            </w:r>
            <w:r>
              <w:rPr>
                <w:rFonts w:hint="eastAsia" w:ascii="仿宋_GB2312" w:hAnsi="宋体" w:eastAsia="仿宋_GB2312" w:cs="仿宋_GB2312"/>
                <w:color w:val="auto"/>
                <w:kern w:val="0"/>
                <w:sz w:val="20"/>
                <w:szCs w:val="20"/>
                <w:lang w:bidi="ar"/>
              </w:rPr>
              <w:t>资金安排后应达到的总体目标和效果（总任务、总要求、总产出和总效益）。</w:t>
            </w:r>
          </w:p>
        </w:tc>
      </w:tr>
      <w:tr>
        <w:tblPrEx>
          <w:tblCellMar>
            <w:top w:w="15" w:type="dxa"/>
            <w:left w:w="15" w:type="dxa"/>
            <w:bottom w:w="15" w:type="dxa"/>
            <w:right w:w="15" w:type="dxa"/>
          </w:tblCellMar>
        </w:tblPrEx>
        <w:trPr>
          <w:trHeight w:val="306" w:hRule="atLeast"/>
          <w:jc w:val="center"/>
        </w:trPr>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一级指标</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二级指标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三级指标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实施周期指标值</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当年度指标值</w:t>
            </w:r>
          </w:p>
        </w:tc>
        <w:tc>
          <w:tcPr>
            <w:tcW w:w="5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left"/>
              <w:rPr>
                <w:rFonts w:ascii="仿宋_GB2312" w:hAnsi="宋体" w:eastAsia="仿宋_GB2312" w:cs="仿宋_GB2312"/>
                <w:color w:val="auto"/>
                <w:sz w:val="20"/>
                <w:szCs w:val="20"/>
              </w:rPr>
            </w:pPr>
          </w:p>
        </w:tc>
      </w:tr>
      <w:tr>
        <w:tblPrEx>
          <w:tblCellMar>
            <w:top w:w="15" w:type="dxa"/>
            <w:left w:w="15" w:type="dxa"/>
            <w:bottom w:w="15" w:type="dxa"/>
            <w:right w:w="15" w:type="dxa"/>
          </w:tblCellMar>
        </w:tblPrEx>
        <w:trPr>
          <w:trHeight w:val="306" w:hRule="atLeast"/>
          <w:jc w:val="center"/>
        </w:trPr>
        <w:tc>
          <w:tcPr>
            <w:tcW w:w="11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产</w:t>
            </w:r>
            <w:r>
              <w:rPr>
                <w:rFonts w:hint="eastAsia" w:ascii="仿宋_GB2312" w:hAnsi="宋体" w:eastAsia="仿宋_GB2312" w:cs="仿宋_GB2312"/>
                <w:color w:val="auto"/>
                <w:kern w:val="0"/>
                <w:sz w:val="20"/>
                <w:szCs w:val="20"/>
                <w:lang w:bidi="ar"/>
              </w:rPr>
              <w:br w:type="textWrapping"/>
            </w:r>
            <w:r>
              <w:rPr>
                <w:rFonts w:hint="eastAsia" w:ascii="仿宋_GB2312" w:hAnsi="宋体" w:eastAsia="仿宋_GB2312" w:cs="仿宋_GB2312"/>
                <w:color w:val="auto"/>
                <w:kern w:val="0"/>
                <w:sz w:val="20"/>
                <w:szCs w:val="20"/>
                <w:lang w:bidi="ar"/>
              </w:rPr>
              <w:t>出</w:t>
            </w:r>
            <w:r>
              <w:rPr>
                <w:rFonts w:hint="eastAsia" w:ascii="仿宋_GB2312" w:hAnsi="宋体" w:eastAsia="仿宋_GB2312" w:cs="仿宋_GB2312"/>
                <w:color w:val="auto"/>
                <w:kern w:val="0"/>
                <w:sz w:val="20"/>
                <w:szCs w:val="20"/>
                <w:lang w:bidi="ar"/>
              </w:rPr>
              <w:br w:type="textWrapping"/>
            </w:r>
            <w:r>
              <w:rPr>
                <w:rFonts w:hint="eastAsia" w:ascii="仿宋_GB2312" w:hAnsi="宋体" w:eastAsia="仿宋_GB2312" w:cs="仿宋_GB2312"/>
                <w:color w:val="auto"/>
                <w:kern w:val="0"/>
                <w:sz w:val="20"/>
                <w:szCs w:val="20"/>
                <w:lang w:bidi="ar"/>
              </w:rPr>
              <w:t>指</w:t>
            </w:r>
            <w:r>
              <w:rPr>
                <w:rFonts w:hint="eastAsia" w:ascii="仿宋_GB2312" w:hAnsi="宋体" w:eastAsia="仿宋_GB2312" w:cs="仿宋_GB2312"/>
                <w:color w:val="auto"/>
                <w:kern w:val="0"/>
                <w:sz w:val="20"/>
                <w:szCs w:val="20"/>
                <w:lang w:bidi="ar"/>
              </w:rPr>
              <w:br w:type="textWrapping"/>
            </w:r>
            <w:r>
              <w:rPr>
                <w:rFonts w:hint="eastAsia" w:ascii="仿宋_GB2312" w:hAnsi="宋体" w:eastAsia="仿宋_GB2312" w:cs="仿宋_GB2312"/>
                <w:color w:val="auto"/>
                <w:kern w:val="0"/>
                <w:sz w:val="20"/>
                <w:szCs w:val="20"/>
                <w:lang w:bidi="ar"/>
              </w:rPr>
              <w:t>标</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数量指标*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举办XX培训班</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3期</w:t>
            </w:r>
          </w:p>
        </w:tc>
        <w:tc>
          <w:tcPr>
            <w:tcW w:w="5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对目标任务用指标值进行量化描述，确实无法量化的指标值可采用定性表述。如：举办XX培训班，3期；培训人数，120人。</w:t>
            </w: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培训人数</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120人</w:t>
            </w: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left"/>
              <w:rPr>
                <w:rFonts w:ascii="仿宋_GB2312" w:hAnsi="宋体" w:eastAsia="仿宋_GB2312" w:cs="仿宋_GB2312"/>
                <w:color w:val="auto"/>
                <w:sz w:val="20"/>
                <w:szCs w:val="20"/>
              </w:rPr>
            </w:pP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left"/>
              <w:rPr>
                <w:rFonts w:ascii="仿宋_GB2312" w:hAnsi="宋体" w:eastAsia="仿宋_GB2312" w:cs="仿宋_GB2312"/>
                <w:color w:val="auto"/>
                <w:sz w:val="20"/>
                <w:szCs w:val="20"/>
              </w:rPr>
            </w:pP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left"/>
              <w:rPr>
                <w:rFonts w:ascii="仿宋_GB2312" w:hAnsi="宋体" w:eastAsia="仿宋_GB2312" w:cs="仿宋_GB2312"/>
                <w:color w:val="auto"/>
                <w:sz w:val="20"/>
                <w:szCs w:val="20"/>
              </w:rPr>
            </w:pP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质量指标*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培训学员合格率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≧98%</w:t>
            </w:r>
          </w:p>
        </w:tc>
        <w:tc>
          <w:tcPr>
            <w:tcW w:w="5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center"/>
              <w:rPr>
                <w:rFonts w:ascii="仿宋_GB2312" w:hAnsi="宋体" w:eastAsia="仿宋_GB2312" w:cs="仿宋_GB2312"/>
                <w:color w:val="auto"/>
                <w:sz w:val="20"/>
                <w:szCs w:val="20"/>
              </w:rPr>
            </w:pPr>
            <w:r>
              <w:rPr>
                <w:rStyle w:val="17"/>
                <w:rFonts w:hint="default" w:hAnsi="宋体"/>
                <w:color w:val="auto"/>
                <w:sz w:val="20"/>
                <w:szCs w:val="20"/>
                <w:lang w:bidi="ar"/>
              </w:rPr>
              <w:t>对目标任务的质量要求（标准）进行量化描述，确实无法量化的指标值可采用定性表述。如：培训学员合格率</w:t>
            </w:r>
            <w:r>
              <w:rPr>
                <w:rFonts w:ascii="宋体" w:hAnsi="宋体" w:cs="宋体"/>
                <w:color w:val="auto"/>
                <w:kern w:val="0"/>
                <w:sz w:val="20"/>
                <w:szCs w:val="20"/>
                <w:lang w:bidi="ar"/>
              </w:rPr>
              <w:t>≧</w:t>
            </w:r>
            <w:r>
              <w:rPr>
                <w:rStyle w:val="17"/>
                <w:rFonts w:hint="default" w:hAnsi="宋体"/>
                <w:color w:val="auto"/>
                <w:sz w:val="20"/>
                <w:szCs w:val="20"/>
                <w:lang w:bidi="ar"/>
              </w:rPr>
              <w:t>98%。</w:t>
            </w: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left"/>
              <w:rPr>
                <w:rFonts w:ascii="仿宋_GB2312" w:hAnsi="宋体" w:eastAsia="仿宋_GB2312" w:cs="仿宋_GB2312"/>
                <w:color w:val="auto"/>
                <w:sz w:val="20"/>
                <w:szCs w:val="20"/>
              </w:rPr>
            </w:pP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时效指标*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完成时限</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eastAsia="zh-CN" w:bidi="ar"/>
              </w:rPr>
              <w:t>2023</w:t>
            </w:r>
            <w:r>
              <w:rPr>
                <w:rFonts w:hint="eastAsia" w:ascii="仿宋_GB2312" w:hAnsi="宋体" w:eastAsia="仿宋_GB2312" w:cs="仿宋_GB2312"/>
                <w:color w:val="auto"/>
                <w:kern w:val="0"/>
                <w:sz w:val="20"/>
                <w:szCs w:val="20"/>
                <w:lang w:bidi="ar"/>
              </w:rPr>
              <w:t>年前</w:t>
            </w:r>
          </w:p>
        </w:tc>
        <w:tc>
          <w:tcPr>
            <w:tcW w:w="5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对目标任务的完成时间进行量化描述。如：完成时限，</w:t>
            </w:r>
            <w:r>
              <w:rPr>
                <w:rFonts w:hint="eastAsia" w:ascii="仿宋_GB2312" w:hAnsi="宋体" w:eastAsia="仿宋_GB2312" w:cs="仿宋_GB2312"/>
                <w:color w:val="auto"/>
                <w:kern w:val="0"/>
                <w:sz w:val="20"/>
                <w:szCs w:val="20"/>
                <w:lang w:eastAsia="zh-CN" w:bidi="ar"/>
              </w:rPr>
              <w:t>2022</w:t>
            </w:r>
            <w:r>
              <w:rPr>
                <w:rFonts w:hint="eastAsia" w:ascii="仿宋_GB2312" w:hAnsi="宋体" w:eastAsia="仿宋_GB2312" w:cs="仿宋_GB2312"/>
                <w:color w:val="auto"/>
                <w:kern w:val="0"/>
                <w:sz w:val="20"/>
                <w:szCs w:val="20"/>
                <w:lang w:bidi="ar"/>
              </w:rPr>
              <w:t>年12月31日前。</w:t>
            </w: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left"/>
              <w:rPr>
                <w:rFonts w:ascii="仿宋_GB2312" w:hAnsi="宋体" w:eastAsia="仿宋_GB2312" w:cs="仿宋_GB2312"/>
                <w:color w:val="auto"/>
                <w:sz w:val="20"/>
                <w:szCs w:val="20"/>
              </w:rPr>
            </w:pP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成本指标*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XX培训班培训费支出</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200" w:firstLineChars="100"/>
              <w:jc w:val="center"/>
              <w:textAlignment w:val="center"/>
              <w:rPr>
                <w:rFonts w:ascii="仿宋_GB2312" w:hAnsi="宋体" w:eastAsia="仿宋_GB2312" w:cs="仿宋_GB2312"/>
                <w:color w:val="auto"/>
                <w:kern w:val="0"/>
                <w:sz w:val="20"/>
                <w:szCs w:val="20"/>
                <w:lang w:bidi="ar"/>
              </w:rPr>
            </w:pPr>
            <w:r>
              <w:rPr>
                <w:rFonts w:hint="eastAsia" w:ascii="仿宋_GB2312" w:hAnsi="宋体" w:eastAsia="仿宋_GB2312" w:cs="仿宋_GB2312"/>
                <w:color w:val="auto"/>
                <w:kern w:val="0"/>
                <w:sz w:val="20"/>
                <w:szCs w:val="20"/>
                <w:lang w:bidi="ar"/>
              </w:rPr>
              <w:t>XX≦</w:t>
            </w:r>
          </w:p>
        </w:tc>
        <w:tc>
          <w:tcPr>
            <w:tcW w:w="5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center"/>
              <w:rPr>
                <w:rFonts w:ascii="仿宋_GB2312" w:hAnsi="宋体" w:eastAsia="仿宋_GB2312" w:cs="仿宋_GB2312"/>
                <w:color w:val="auto"/>
                <w:kern w:val="0"/>
                <w:sz w:val="20"/>
                <w:szCs w:val="20"/>
                <w:lang w:bidi="ar"/>
              </w:rPr>
            </w:pPr>
            <w:r>
              <w:rPr>
                <w:rFonts w:hint="eastAsia" w:ascii="仿宋_GB2312" w:hAnsi="宋体" w:eastAsia="仿宋_GB2312" w:cs="仿宋_GB2312"/>
                <w:color w:val="auto"/>
                <w:kern w:val="0"/>
                <w:sz w:val="20"/>
                <w:szCs w:val="20"/>
                <w:lang w:bidi="ar"/>
              </w:rPr>
              <w:t>对资金支出成本控制进行量化描述。确实无法量化的指标值可采用定性表述。如：XX≦</w:t>
            </w:r>
            <w:r>
              <w:rPr>
                <w:rFonts w:hint="eastAsia" w:ascii="宋体" w:hAnsi="宋体" w:eastAsia="仿宋_GB2312" w:cs="宋体"/>
                <w:color w:val="auto"/>
                <w:kern w:val="0"/>
                <w:sz w:val="20"/>
                <w:szCs w:val="20"/>
                <w:lang w:bidi="ar"/>
              </w:rPr>
              <w:t>项目</w:t>
            </w:r>
            <w:r>
              <w:rPr>
                <w:rFonts w:hint="eastAsia" w:ascii="宋体" w:hAnsi="宋体" w:cs="宋体"/>
                <w:color w:val="auto"/>
                <w:kern w:val="0"/>
                <w:sz w:val="20"/>
                <w:szCs w:val="20"/>
                <w:lang w:bidi="ar"/>
              </w:rPr>
              <w:t>（课题）</w:t>
            </w:r>
            <w:r>
              <w:rPr>
                <w:rFonts w:hint="eastAsia" w:ascii="仿宋_GB2312" w:hAnsi="宋体" w:eastAsia="仿宋_GB2312" w:cs="仿宋_GB2312"/>
                <w:color w:val="auto"/>
                <w:kern w:val="0"/>
                <w:sz w:val="20"/>
                <w:szCs w:val="20"/>
                <w:lang w:bidi="ar"/>
              </w:rPr>
              <w:t>成本支出</w:t>
            </w: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仿宋_GB2312" w:hAnsi="宋体" w:eastAsia="仿宋_GB2312" w:cs="仿宋_GB2312"/>
                <w:color w:val="auto"/>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left"/>
              <w:rPr>
                <w:rFonts w:ascii="仿宋_GB2312" w:hAnsi="宋体" w:eastAsia="仿宋_GB2312" w:cs="仿宋_GB2312"/>
                <w:color w:val="auto"/>
                <w:sz w:val="20"/>
                <w:szCs w:val="20"/>
              </w:rPr>
            </w:pPr>
          </w:p>
        </w:tc>
      </w:tr>
      <w:tr>
        <w:tblPrEx>
          <w:tblCellMar>
            <w:top w:w="15" w:type="dxa"/>
            <w:left w:w="15" w:type="dxa"/>
            <w:bottom w:w="15" w:type="dxa"/>
            <w:right w:w="15" w:type="dxa"/>
          </w:tblCellMar>
        </w:tblPrEx>
        <w:trPr>
          <w:trHeight w:val="306" w:hRule="atLeast"/>
          <w:jc w:val="center"/>
        </w:trPr>
        <w:tc>
          <w:tcPr>
            <w:tcW w:w="11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效</w:t>
            </w:r>
            <w:r>
              <w:rPr>
                <w:rFonts w:hint="eastAsia" w:ascii="仿宋_GB2312" w:hAnsi="宋体" w:eastAsia="仿宋_GB2312" w:cs="仿宋_GB2312"/>
                <w:color w:val="auto"/>
                <w:kern w:val="0"/>
                <w:sz w:val="20"/>
                <w:szCs w:val="20"/>
                <w:lang w:bidi="ar"/>
              </w:rPr>
              <w:br w:type="textWrapping"/>
            </w:r>
            <w:r>
              <w:rPr>
                <w:rFonts w:hint="eastAsia" w:ascii="仿宋_GB2312" w:hAnsi="宋体" w:eastAsia="仿宋_GB2312" w:cs="仿宋_GB2312"/>
                <w:color w:val="auto"/>
                <w:kern w:val="0"/>
                <w:sz w:val="20"/>
                <w:szCs w:val="20"/>
                <w:lang w:bidi="ar"/>
              </w:rPr>
              <w:t>益</w:t>
            </w:r>
            <w:r>
              <w:rPr>
                <w:rFonts w:hint="eastAsia" w:ascii="仿宋_GB2312" w:hAnsi="宋体" w:eastAsia="仿宋_GB2312" w:cs="仿宋_GB2312"/>
                <w:color w:val="auto"/>
                <w:kern w:val="0"/>
                <w:sz w:val="20"/>
                <w:szCs w:val="20"/>
                <w:lang w:bidi="ar"/>
              </w:rPr>
              <w:br w:type="textWrapping"/>
            </w:r>
            <w:r>
              <w:rPr>
                <w:rFonts w:hint="eastAsia" w:ascii="仿宋_GB2312" w:hAnsi="宋体" w:eastAsia="仿宋_GB2312" w:cs="仿宋_GB2312"/>
                <w:color w:val="auto"/>
                <w:kern w:val="0"/>
                <w:sz w:val="20"/>
                <w:szCs w:val="20"/>
                <w:lang w:bidi="ar"/>
              </w:rPr>
              <w:t>指</w:t>
            </w:r>
            <w:r>
              <w:rPr>
                <w:rFonts w:hint="eastAsia" w:ascii="仿宋_GB2312" w:hAnsi="宋体" w:eastAsia="仿宋_GB2312" w:cs="仿宋_GB2312"/>
                <w:color w:val="auto"/>
                <w:kern w:val="0"/>
                <w:sz w:val="20"/>
                <w:szCs w:val="20"/>
                <w:lang w:bidi="ar"/>
              </w:rPr>
              <w:br w:type="textWrapping"/>
            </w:r>
            <w:r>
              <w:rPr>
                <w:rFonts w:hint="eastAsia" w:ascii="仿宋_GB2312" w:hAnsi="宋体" w:eastAsia="仿宋_GB2312" w:cs="仿宋_GB2312"/>
                <w:color w:val="auto"/>
                <w:kern w:val="0"/>
                <w:sz w:val="20"/>
                <w:szCs w:val="20"/>
                <w:lang w:bidi="ar"/>
              </w:rPr>
              <w:t>标</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经济效益指标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5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center"/>
              <w:rPr>
                <w:rFonts w:ascii="仿宋_GB2312" w:hAnsi="宋体" w:eastAsia="仿宋_GB2312" w:cs="仿宋_GB2312"/>
                <w:color w:val="auto"/>
                <w:sz w:val="20"/>
                <w:szCs w:val="20"/>
              </w:rPr>
            </w:pP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left"/>
              <w:rPr>
                <w:rFonts w:ascii="仿宋_GB2312" w:hAnsi="宋体" w:eastAsia="仿宋_GB2312" w:cs="仿宋_GB2312"/>
                <w:color w:val="auto"/>
                <w:sz w:val="20"/>
                <w:szCs w:val="20"/>
              </w:rPr>
            </w:pP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社会效益指标*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农业科技进步贡献率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≧80%</w:t>
            </w:r>
          </w:p>
        </w:tc>
        <w:tc>
          <w:tcPr>
            <w:tcW w:w="5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反映</w:t>
            </w:r>
            <w:r>
              <w:rPr>
                <w:rFonts w:hint="eastAsia" w:ascii="宋体" w:hAnsi="宋体" w:eastAsia="仿宋_GB2312" w:cs="宋体"/>
                <w:color w:val="auto"/>
                <w:kern w:val="0"/>
                <w:sz w:val="20"/>
                <w:szCs w:val="20"/>
                <w:lang w:bidi="ar"/>
              </w:rPr>
              <w:t>项目</w:t>
            </w:r>
            <w:r>
              <w:rPr>
                <w:rFonts w:hint="eastAsia" w:ascii="宋体" w:hAnsi="宋体" w:cs="宋体"/>
                <w:color w:val="auto"/>
                <w:kern w:val="0"/>
                <w:sz w:val="20"/>
                <w:szCs w:val="20"/>
                <w:lang w:bidi="ar"/>
              </w:rPr>
              <w:t>（课题）</w:t>
            </w:r>
            <w:r>
              <w:rPr>
                <w:rFonts w:hint="eastAsia" w:ascii="仿宋_GB2312" w:hAnsi="宋体" w:eastAsia="仿宋_GB2312" w:cs="仿宋_GB2312"/>
                <w:color w:val="auto"/>
                <w:kern w:val="0"/>
                <w:sz w:val="20"/>
                <w:szCs w:val="20"/>
                <w:lang w:bidi="ar"/>
              </w:rPr>
              <w:t>实施后产生的社会效益，无法量化的指标值可采用定性表述。如提高管理能力</w:t>
            </w: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全省重大农产品质量事故</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0</w:t>
            </w: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left"/>
              <w:rPr>
                <w:rFonts w:ascii="仿宋_GB2312" w:hAnsi="宋体" w:eastAsia="仿宋_GB2312" w:cs="仿宋_GB2312"/>
                <w:color w:val="auto"/>
                <w:sz w:val="20"/>
                <w:szCs w:val="20"/>
              </w:rPr>
            </w:pP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生态效益指标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主要农作物化肥利用率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≧40%</w:t>
            </w:r>
          </w:p>
        </w:tc>
        <w:tc>
          <w:tcPr>
            <w:tcW w:w="5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涉及污染监控整治管理类的</w:t>
            </w:r>
            <w:r>
              <w:rPr>
                <w:rFonts w:hint="eastAsia" w:ascii="宋体" w:hAnsi="宋体" w:eastAsia="仿宋_GB2312" w:cs="宋体"/>
                <w:color w:val="auto"/>
                <w:kern w:val="0"/>
                <w:sz w:val="20"/>
                <w:szCs w:val="20"/>
                <w:lang w:bidi="ar"/>
              </w:rPr>
              <w:t>项目</w:t>
            </w:r>
            <w:r>
              <w:rPr>
                <w:rFonts w:hint="eastAsia" w:ascii="宋体" w:hAnsi="宋体" w:cs="宋体"/>
                <w:color w:val="auto"/>
                <w:kern w:val="0"/>
                <w:sz w:val="20"/>
                <w:szCs w:val="20"/>
                <w:lang w:bidi="ar"/>
              </w:rPr>
              <w:t>（课题）</w:t>
            </w:r>
            <w:r>
              <w:rPr>
                <w:rFonts w:hint="eastAsia" w:ascii="仿宋_GB2312" w:hAnsi="宋体" w:eastAsia="仿宋_GB2312" w:cs="仿宋_GB2312"/>
                <w:color w:val="auto"/>
                <w:kern w:val="0"/>
                <w:sz w:val="20"/>
                <w:szCs w:val="20"/>
                <w:lang w:bidi="ar"/>
              </w:rPr>
              <w:t>选填，不涉及的</w:t>
            </w:r>
            <w:r>
              <w:rPr>
                <w:rFonts w:hint="eastAsia" w:ascii="宋体" w:hAnsi="宋体" w:eastAsia="仿宋_GB2312" w:cs="宋体"/>
                <w:color w:val="auto"/>
                <w:kern w:val="0"/>
                <w:sz w:val="20"/>
                <w:szCs w:val="20"/>
                <w:lang w:bidi="ar"/>
              </w:rPr>
              <w:t>项目</w:t>
            </w:r>
            <w:r>
              <w:rPr>
                <w:rFonts w:hint="eastAsia" w:ascii="宋体" w:hAnsi="宋体" w:cs="宋体"/>
                <w:color w:val="auto"/>
                <w:kern w:val="0"/>
                <w:sz w:val="20"/>
                <w:szCs w:val="20"/>
                <w:lang w:bidi="ar"/>
              </w:rPr>
              <w:t>（课题）</w:t>
            </w:r>
            <w:r>
              <w:rPr>
                <w:rFonts w:hint="eastAsia" w:ascii="仿宋_GB2312" w:hAnsi="宋体" w:eastAsia="仿宋_GB2312" w:cs="仿宋_GB2312"/>
                <w:color w:val="auto"/>
                <w:kern w:val="0"/>
                <w:sz w:val="20"/>
                <w:szCs w:val="20"/>
                <w:lang w:bidi="ar"/>
              </w:rPr>
              <w:t>可不填写。如：主要农作物化肥利用率≧40%</w:t>
            </w: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宋体" w:hAnsi="宋体" w:cs="宋体"/>
                <w:color w:val="auto"/>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宋体" w:hAnsi="宋体" w:cs="宋体"/>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宋体" w:hAnsi="宋体" w:cs="宋体"/>
                <w:color w:val="auto"/>
                <w:sz w:val="20"/>
                <w:szCs w:val="20"/>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left"/>
              <w:rPr>
                <w:rFonts w:ascii="仿宋_GB2312" w:hAnsi="宋体" w:eastAsia="仿宋_GB2312" w:cs="仿宋_GB2312"/>
                <w:color w:val="auto"/>
                <w:sz w:val="20"/>
                <w:szCs w:val="20"/>
              </w:rPr>
            </w:pP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可持续影响指标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持续政策资金保障程度</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高</w:t>
            </w:r>
          </w:p>
        </w:tc>
        <w:tc>
          <w:tcPr>
            <w:tcW w:w="5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反映</w:t>
            </w:r>
            <w:r>
              <w:rPr>
                <w:rFonts w:hint="eastAsia" w:ascii="宋体" w:hAnsi="宋体" w:eastAsia="仿宋_GB2312" w:cs="宋体"/>
                <w:color w:val="auto"/>
                <w:kern w:val="0"/>
                <w:sz w:val="20"/>
                <w:szCs w:val="20"/>
                <w:lang w:bidi="ar"/>
              </w:rPr>
              <w:t>项目</w:t>
            </w:r>
            <w:r>
              <w:rPr>
                <w:rFonts w:hint="eastAsia" w:ascii="宋体" w:hAnsi="宋体" w:cs="宋体"/>
                <w:color w:val="auto"/>
                <w:kern w:val="0"/>
                <w:sz w:val="20"/>
                <w:szCs w:val="20"/>
                <w:lang w:bidi="ar"/>
              </w:rPr>
              <w:t>（课题）</w:t>
            </w:r>
            <w:r>
              <w:rPr>
                <w:rFonts w:hint="eastAsia" w:ascii="仿宋_GB2312" w:hAnsi="宋体" w:eastAsia="仿宋_GB2312" w:cs="仿宋_GB2312"/>
                <w:color w:val="auto"/>
                <w:kern w:val="0"/>
                <w:sz w:val="20"/>
                <w:szCs w:val="20"/>
                <w:lang w:bidi="ar"/>
              </w:rPr>
              <w:t>完成后，后续政策、资金保障程序，以及管理机制（人员机构）因素完善水平。</w:t>
            </w: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管理机制</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比较完善</w:t>
            </w:r>
          </w:p>
        </w:tc>
        <w:tc>
          <w:tcPr>
            <w:tcW w:w="5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left"/>
              <w:rPr>
                <w:rFonts w:ascii="仿宋_GB2312" w:hAnsi="宋体" w:eastAsia="仿宋_GB2312" w:cs="仿宋_GB2312"/>
                <w:color w:val="auto"/>
                <w:sz w:val="20"/>
                <w:szCs w:val="20"/>
              </w:rPr>
            </w:pP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服务对象满意度指标</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受训学员满意度</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≧98%</w:t>
            </w:r>
          </w:p>
        </w:tc>
        <w:tc>
          <w:tcPr>
            <w:tcW w:w="5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center"/>
              <w:rPr>
                <w:rFonts w:ascii="仿宋_GB2312" w:hAnsi="宋体" w:eastAsia="仿宋_GB2312" w:cs="仿宋_GB2312"/>
                <w:color w:val="auto"/>
                <w:sz w:val="20"/>
                <w:szCs w:val="20"/>
              </w:rPr>
            </w:pPr>
            <w:r>
              <w:rPr>
                <w:rFonts w:hint="eastAsia" w:ascii="仿宋_GB2312" w:hAnsi="宋体" w:eastAsia="仿宋_GB2312" w:cs="仿宋_GB2312"/>
                <w:color w:val="auto"/>
                <w:kern w:val="0"/>
                <w:sz w:val="20"/>
                <w:szCs w:val="20"/>
                <w:lang w:bidi="ar"/>
              </w:rPr>
              <w:t>对目标任务用指标值进行量化描述，确实无法量化的指标值可采用定性表述。</w:t>
            </w:r>
          </w:p>
        </w:tc>
      </w:tr>
      <w:tr>
        <w:tblPrEx>
          <w:tblCellMar>
            <w:top w:w="15" w:type="dxa"/>
            <w:left w:w="15" w:type="dxa"/>
            <w:bottom w:w="15" w:type="dxa"/>
            <w:right w:w="15" w:type="dxa"/>
          </w:tblCellMar>
        </w:tblPrEx>
        <w:trPr>
          <w:trHeight w:val="306" w:hRule="atLeast"/>
          <w:jc w:val="center"/>
        </w:trPr>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rPr>
                <w:rFonts w:ascii="仿宋_GB2312" w:hAnsi="宋体" w:eastAsia="仿宋_GB2312" w:cs="仿宋_GB2312"/>
                <w:color w:val="auto"/>
                <w:sz w:val="20"/>
                <w:szCs w:val="20"/>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仿宋_GB2312" w:hAnsi="宋体" w:eastAsia="仿宋_GB2312" w:cs="仿宋_GB2312"/>
                <w:color w:val="auto"/>
                <w:sz w:val="20"/>
                <w:szCs w:val="20"/>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jc w:val="left"/>
              <w:rPr>
                <w:rFonts w:ascii="仿宋_GB2312" w:hAnsi="宋体" w:eastAsia="仿宋_GB2312" w:cs="仿宋_GB2312"/>
                <w:color w:val="auto"/>
                <w:sz w:val="20"/>
                <w:szCs w:val="20"/>
              </w:rPr>
            </w:pPr>
          </w:p>
        </w:tc>
      </w:tr>
      <w:tr>
        <w:tblPrEx>
          <w:tblCellMar>
            <w:top w:w="15" w:type="dxa"/>
            <w:left w:w="15" w:type="dxa"/>
            <w:bottom w:w="15" w:type="dxa"/>
            <w:right w:w="15" w:type="dxa"/>
          </w:tblCellMar>
        </w:tblPrEx>
        <w:trPr>
          <w:trHeight w:val="1118" w:hRule="atLeast"/>
          <w:jc w:val="center"/>
        </w:trPr>
        <w:tc>
          <w:tcPr>
            <w:tcW w:w="13543" w:type="dxa"/>
            <w:gridSpan w:val="6"/>
            <w:vAlign w:val="center"/>
          </w:tcPr>
          <w:p>
            <w:pPr>
              <w:keepNext w:val="0"/>
              <w:keepLines w:val="0"/>
              <w:pageBreakBefore w:val="0"/>
              <w:kinsoku/>
              <w:wordWrap/>
              <w:overflowPunct/>
              <w:topLinePunct w:val="0"/>
              <w:autoSpaceDE/>
              <w:autoSpaceDN/>
              <w:bidi w:val="0"/>
              <w:adjustRightInd/>
              <w:snapToGrid w:val="0"/>
              <w:spacing w:line="240" w:lineRule="auto"/>
              <w:rPr>
                <w:rFonts w:hint="eastAsia" w:ascii="仿宋_GB2312" w:hAnsi="仿宋_GB2312" w:eastAsia="仿宋_GB2312" w:cs="仿宋_GB2312"/>
                <w:color w:val="auto"/>
                <w:kern w:val="0"/>
                <w:sz w:val="20"/>
                <w:szCs w:val="20"/>
                <w:lang w:bidi="ar"/>
              </w:rPr>
            </w:pPr>
          </w:p>
          <w:p>
            <w:pPr>
              <w:keepNext w:val="0"/>
              <w:keepLines w:val="0"/>
              <w:pageBreakBefore w:val="0"/>
              <w:kinsoku/>
              <w:wordWrap/>
              <w:overflowPunct/>
              <w:topLinePunct w:val="0"/>
              <w:autoSpaceDE/>
              <w:autoSpaceDN/>
              <w:bidi w:val="0"/>
              <w:adjustRightInd/>
              <w:snapToGrid w:val="0"/>
              <w:spacing w:line="240" w:lineRule="auto"/>
              <w:rPr>
                <w:rFonts w:ascii="仿宋_GB2312" w:hAnsi="仿宋_GB2312" w:eastAsia="仿宋_GB2312" w:cs="仿宋_GB2312"/>
                <w:color w:val="auto"/>
                <w:sz w:val="20"/>
                <w:szCs w:val="20"/>
              </w:rPr>
            </w:pPr>
            <w:r>
              <w:rPr>
                <w:rFonts w:hint="eastAsia" w:ascii="黑体" w:hAnsi="黑体" w:eastAsia="黑体" w:cs="黑体"/>
                <w:color w:val="auto"/>
                <w:kern w:val="0"/>
                <w:sz w:val="20"/>
                <w:szCs w:val="20"/>
                <w:lang w:bidi="ar"/>
              </w:rPr>
              <w:t>说明：</w:t>
            </w:r>
            <w:r>
              <w:rPr>
                <w:rFonts w:hint="eastAsia" w:ascii="仿宋_GB2312" w:hAnsi="仿宋_GB2312" w:eastAsia="仿宋_GB2312" w:cs="仿宋_GB2312"/>
                <w:color w:val="auto"/>
                <w:kern w:val="0"/>
                <w:sz w:val="20"/>
                <w:szCs w:val="20"/>
                <w:lang w:bidi="ar"/>
              </w:rPr>
              <w:t>1.*是必填项，产出指标4个二级指标必填写。效益指标可选填其中某几个指标。</w:t>
            </w:r>
            <w:r>
              <w:rPr>
                <w:rFonts w:hint="eastAsia" w:ascii="仿宋_GB2312" w:hAnsi="仿宋_GB2312" w:eastAsia="仿宋_GB2312" w:cs="仿宋_GB2312"/>
                <w:color w:val="auto"/>
                <w:kern w:val="0"/>
                <w:sz w:val="20"/>
                <w:szCs w:val="20"/>
                <w:lang w:bidi="ar"/>
              </w:rPr>
              <w:br w:type="textWrapping"/>
            </w:r>
            <w:r>
              <w:rPr>
                <w:rFonts w:hint="eastAsia" w:ascii="仿宋_GB2312" w:hAnsi="仿宋_GB2312" w:eastAsia="仿宋_GB2312" w:cs="仿宋_GB2312"/>
                <w:color w:val="auto"/>
                <w:kern w:val="0"/>
                <w:sz w:val="20"/>
                <w:szCs w:val="20"/>
                <w:lang w:bidi="ar"/>
              </w:rPr>
              <w:t xml:space="preserve">     </w:t>
            </w:r>
            <w:r>
              <w:rPr>
                <w:rFonts w:ascii="仿宋_GB2312" w:hAnsi="仿宋_GB2312" w:eastAsia="仿宋_GB2312" w:cs="仿宋_GB2312"/>
                <w:color w:val="auto"/>
                <w:kern w:val="0"/>
                <w:sz w:val="20"/>
                <w:szCs w:val="20"/>
                <w:lang w:bidi="ar"/>
              </w:rPr>
              <w:t xml:space="preserve"> </w:t>
            </w:r>
            <w:r>
              <w:rPr>
                <w:rFonts w:hint="eastAsia" w:ascii="仿宋_GB2312" w:hAnsi="仿宋_GB2312" w:eastAsia="仿宋_GB2312" w:cs="仿宋_GB2312"/>
                <w:color w:val="auto"/>
                <w:kern w:val="0"/>
                <w:sz w:val="20"/>
                <w:szCs w:val="20"/>
                <w:lang w:bidi="ar"/>
              </w:rPr>
              <w:t>2.红色字体的内容为举例，其中部分三级指标和指标值来源于不同一</w:t>
            </w:r>
            <w:r>
              <w:rPr>
                <w:rFonts w:hint="eastAsia" w:ascii="宋体" w:hAnsi="宋体" w:eastAsia="仿宋_GB2312" w:cs="宋体"/>
                <w:color w:val="auto"/>
                <w:kern w:val="0"/>
                <w:sz w:val="20"/>
                <w:szCs w:val="20"/>
                <w:lang w:bidi="ar"/>
              </w:rPr>
              <w:t>项目</w:t>
            </w:r>
            <w:r>
              <w:rPr>
                <w:rFonts w:hint="eastAsia" w:ascii="宋体" w:hAnsi="宋体" w:cs="宋体"/>
                <w:color w:val="auto"/>
                <w:kern w:val="0"/>
                <w:sz w:val="20"/>
                <w:szCs w:val="20"/>
                <w:lang w:bidi="ar"/>
              </w:rPr>
              <w:t>（课题）</w:t>
            </w:r>
          </w:p>
        </w:tc>
      </w:tr>
    </w:tbl>
    <w:p>
      <w:pPr>
        <w:rPr>
          <w:color w:val="auto"/>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黑体" w:hAnsi="黑体" w:eastAsia="黑体" w:cs="黑体"/>
          <w:bCs/>
          <w:color w:val="auto"/>
          <w:kern w:val="0"/>
          <w:sz w:val="32"/>
          <w:szCs w:val="32"/>
        </w:rPr>
      </w:pPr>
      <w:r>
        <w:rPr>
          <w:rFonts w:hint="eastAsia" w:ascii="黑体" w:hAnsi="黑体" w:eastAsia="黑体" w:cs="黑体"/>
          <w:bCs/>
          <w:color w:val="auto"/>
          <w:kern w:val="0"/>
          <w:sz w:val="32"/>
          <w:szCs w:val="32"/>
        </w:rPr>
        <w:t>十二、市场、技术、政策风险分析及对策</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黑体" w:hAnsi="黑体" w:eastAsia="黑体" w:cs="黑体"/>
          <w:bCs/>
          <w:color w:val="auto"/>
          <w:kern w:val="0"/>
          <w:sz w:val="32"/>
          <w:szCs w:val="32"/>
        </w:rPr>
      </w:pPr>
      <w:r>
        <w:rPr>
          <w:rFonts w:hint="eastAsia" w:ascii="黑体" w:hAnsi="黑体" w:eastAsia="黑体" w:cs="黑体"/>
          <w:bCs/>
          <w:color w:val="auto"/>
          <w:kern w:val="0"/>
          <w:sz w:val="32"/>
          <w:szCs w:val="32"/>
        </w:rPr>
        <w:t>十三、</w:t>
      </w:r>
      <w:r>
        <w:rPr>
          <w:rFonts w:hint="eastAsia" w:ascii="黑体" w:hAnsi="黑体" w:eastAsia="黑体" w:cs="黑体"/>
          <w:b w:val="0"/>
          <w:bCs/>
          <w:color w:val="auto"/>
          <w:kern w:val="0"/>
          <w:sz w:val="32"/>
          <w:szCs w:val="32"/>
        </w:rPr>
        <w:t>相关利益关</w:t>
      </w:r>
      <w:r>
        <w:rPr>
          <w:rFonts w:hint="eastAsia" w:ascii="黑体" w:hAnsi="黑体" w:eastAsia="黑体" w:cs="黑体"/>
          <w:bCs/>
          <w:color w:val="auto"/>
          <w:kern w:val="0"/>
          <w:sz w:val="32"/>
          <w:szCs w:val="32"/>
        </w:rPr>
        <w:t>联关系情况</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i w:val="0"/>
          <w:iCs w:val="0"/>
          <w:color w:val="auto"/>
          <w:sz w:val="32"/>
          <w:szCs w:val="32"/>
        </w:rPr>
      </w:pPr>
      <w:r>
        <w:rPr>
          <w:rFonts w:hint="eastAsia" w:ascii="仿宋_GB2312" w:hAnsi="仿宋_GB2312" w:eastAsia="仿宋_GB2312" w:cs="仿宋_GB2312"/>
          <w:i w:val="0"/>
          <w:iCs w:val="0"/>
          <w:color w:val="auto"/>
          <w:sz w:val="32"/>
          <w:szCs w:val="32"/>
        </w:rPr>
        <w:t>（相关利益关联关系是指导致单位利益转移的各种关系。如不存在，填写无。如存在，需对利益关联关系情况进行披露。如：承担单位之间为母公司与子公司，同一母公司下两个子公司关系，或存在行政隶属关系的单位；两家承担单位受同一自然人、法人控制的，或负责人或其直系亲属直接或间接持有承担单位股权等）</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黑体" w:hAnsi="黑体" w:eastAsia="黑体" w:cs="黑体"/>
          <w:bCs/>
          <w:color w:val="auto"/>
          <w:kern w:val="0"/>
          <w:sz w:val="32"/>
          <w:szCs w:val="32"/>
        </w:rPr>
      </w:pPr>
      <w:r>
        <w:rPr>
          <w:rFonts w:hint="eastAsia" w:ascii="黑体" w:hAnsi="黑体" w:eastAsia="黑体" w:cs="黑体"/>
          <w:bCs/>
          <w:color w:val="auto"/>
          <w:kern w:val="0"/>
          <w:sz w:val="32"/>
          <w:szCs w:val="32"/>
        </w:rPr>
        <w:t>十四、</w:t>
      </w:r>
      <w:r>
        <w:rPr>
          <w:rFonts w:hint="eastAsia" w:ascii="黑体" w:hAnsi="黑体" w:eastAsia="黑体" w:cs="黑体"/>
          <w:bCs/>
          <w:color w:val="auto"/>
          <w:kern w:val="0"/>
          <w:sz w:val="32"/>
          <w:szCs w:val="32"/>
          <w:lang w:eastAsia="zh-Hans"/>
        </w:rPr>
        <w:t>承担单位</w:t>
      </w:r>
      <w:r>
        <w:rPr>
          <w:rFonts w:hint="eastAsia" w:ascii="黑体" w:hAnsi="黑体" w:eastAsia="黑体" w:cs="黑体"/>
          <w:bCs/>
          <w:color w:val="auto"/>
          <w:kern w:val="0"/>
          <w:sz w:val="32"/>
          <w:szCs w:val="32"/>
        </w:rPr>
        <w:t>意见</w:t>
      </w:r>
    </w:p>
    <w:tbl>
      <w:tblPr>
        <w:tblStyle w:val="12"/>
        <w:tblW w:w="9060" w:type="dxa"/>
        <w:jc w:val="center"/>
        <w:tblBorders>
          <w:top w:val="single" w:color="auto" w:sz="4" w:space="0"/>
          <w:left w:val="single" w:color="auto" w:sz="4" w:space="0"/>
          <w:bottom w:val="single" w:color="00000A"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00000A"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9" w:hRule="atLeast"/>
          <w:jc w:val="center"/>
        </w:trPr>
        <w:tc>
          <w:tcPr>
            <w:tcW w:w="9060" w:type="dxa"/>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项目</w:t>
            </w:r>
            <w:r>
              <w:rPr>
                <w:rFonts w:hint="eastAsia" w:ascii="仿宋_GB2312" w:hAnsi="仿宋_GB2312" w:eastAsia="仿宋_GB2312" w:cs="仿宋_GB2312"/>
                <w:color w:val="auto"/>
                <w:sz w:val="24"/>
                <w:szCs w:val="24"/>
                <w:lang w:eastAsia="zh-Hans"/>
              </w:rPr>
              <w:t>（课题）</w:t>
            </w:r>
            <w:r>
              <w:rPr>
                <w:rFonts w:hint="eastAsia" w:ascii="仿宋_GB2312" w:hAnsi="仿宋_GB2312" w:eastAsia="仿宋_GB2312" w:cs="仿宋_GB2312"/>
                <w:color w:val="auto"/>
                <w:sz w:val="24"/>
                <w:szCs w:val="24"/>
              </w:rPr>
              <w:t>承担单位意见：</w:t>
            </w:r>
          </w:p>
          <w:p>
            <w:pPr>
              <w:keepNext w:val="0"/>
              <w:keepLines w:val="0"/>
              <w:pageBreakBefore w:val="0"/>
              <w:widowControl w:val="0"/>
              <w:kinsoku/>
              <w:wordWrap/>
              <w:overflowPunct/>
              <w:topLinePunct w:val="0"/>
              <w:autoSpaceDE/>
              <w:autoSpaceDN/>
              <w:bidi w:val="0"/>
              <w:adjustRightInd w:val="0"/>
              <w:snapToGrid w:val="0"/>
              <w:spacing w:line="360" w:lineRule="exact"/>
              <w:ind w:left="288"/>
              <w:textAlignment w:val="auto"/>
              <w:rPr>
                <w:rFonts w:hint="eastAsia" w:ascii="仿宋_GB2312" w:hAnsi="仿宋_GB2312" w:eastAsia="仿宋_GB2312" w:cs="仿宋_GB2312"/>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exact"/>
              <w:ind w:firstLine="3542" w:firstLineChars="1476"/>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牵头承担单位（公章）：</w:t>
            </w:r>
          </w:p>
          <w:p>
            <w:pPr>
              <w:keepNext w:val="0"/>
              <w:keepLines w:val="0"/>
              <w:pageBreakBefore w:val="0"/>
              <w:widowControl w:val="0"/>
              <w:kinsoku/>
              <w:wordWrap/>
              <w:overflowPunct/>
              <w:topLinePunct w:val="0"/>
              <w:autoSpaceDE/>
              <w:autoSpaceDN/>
              <w:bidi w:val="0"/>
              <w:adjustRightInd w:val="0"/>
              <w:snapToGrid w:val="0"/>
              <w:spacing w:line="360" w:lineRule="exact"/>
              <w:ind w:firstLine="3542" w:firstLineChars="1476"/>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法定代表人（签字）：</w:t>
            </w:r>
          </w:p>
          <w:p>
            <w:pPr>
              <w:keepNext w:val="0"/>
              <w:keepLines w:val="0"/>
              <w:pageBreakBefore w:val="0"/>
              <w:widowControl w:val="0"/>
              <w:kinsoku/>
              <w:wordWrap/>
              <w:overflowPunct/>
              <w:topLinePunct w:val="0"/>
              <w:autoSpaceDE/>
              <w:autoSpaceDN/>
              <w:bidi w:val="0"/>
              <w:adjustRightInd w:val="0"/>
              <w:snapToGrid w:val="0"/>
              <w:spacing w:line="360" w:lineRule="exact"/>
              <w:ind w:firstLine="3542" w:firstLineChars="1476"/>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参与单位（公章）：</w:t>
            </w:r>
          </w:p>
          <w:p>
            <w:pPr>
              <w:keepNext w:val="0"/>
              <w:keepLines w:val="0"/>
              <w:pageBreakBefore w:val="0"/>
              <w:widowControl w:val="0"/>
              <w:kinsoku/>
              <w:wordWrap/>
              <w:overflowPunct/>
              <w:topLinePunct w:val="0"/>
              <w:autoSpaceDE/>
              <w:autoSpaceDN/>
              <w:bidi w:val="0"/>
              <w:adjustRightInd w:val="0"/>
              <w:snapToGrid w:val="0"/>
              <w:spacing w:line="360" w:lineRule="exact"/>
              <w:ind w:firstLine="3542" w:firstLineChars="1476"/>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法定代表人（签字）：</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年    月    日</w:t>
            </w:r>
          </w:p>
        </w:tc>
      </w:tr>
      <w:tr>
        <w:tblPrEx>
          <w:tblBorders>
            <w:top w:val="single" w:color="auto" w:sz="4" w:space="0"/>
            <w:left w:val="single" w:color="auto" w:sz="4" w:space="0"/>
            <w:bottom w:val="single" w:color="00000A"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vAlign w:val="top"/>
          </w:tcPr>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自筹资金出资单位意见（承诺提供配套支持的情况下签署意见）</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本单位根据</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项目立项指南的要求，自愿提交项目（课题）申请书，在此郑重承诺：按照前述项目（课题）批复预算经费的</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%（人民币</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rPr>
              <w:t>万元）进行自筹配套。</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如有违反，本单位愿接受广东省农业农村厅做出的各项处理决定，包括但不限于停拨或核减资金，追回</w:t>
            </w:r>
            <w:r>
              <w:rPr>
                <w:rFonts w:hint="eastAsia" w:ascii="仿宋_GB2312" w:hAnsi="仿宋_GB2312" w:eastAsia="仿宋_GB2312" w:cs="仿宋_GB2312"/>
                <w:color w:val="auto"/>
                <w:sz w:val="24"/>
                <w:szCs w:val="24"/>
                <w:lang w:eastAsia="zh-Hans"/>
              </w:rPr>
              <w:t>项目（课题）</w:t>
            </w:r>
            <w:r>
              <w:rPr>
                <w:rFonts w:hint="eastAsia" w:ascii="仿宋_GB2312" w:hAnsi="仿宋_GB2312" w:eastAsia="仿宋_GB2312" w:cs="仿宋_GB2312"/>
                <w:color w:val="auto"/>
                <w:sz w:val="24"/>
                <w:szCs w:val="24"/>
              </w:rPr>
              <w:t>资金，取消一定期限</w:t>
            </w:r>
            <w:r>
              <w:rPr>
                <w:rFonts w:hint="eastAsia" w:ascii="仿宋_GB2312" w:hAnsi="仿宋_GB2312" w:eastAsia="仿宋_GB2312" w:cs="仿宋_GB2312"/>
                <w:color w:val="auto"/>
                <w:sz w:val="24"/>
                <w:szCs w:val="24"/>
                <w:lang w:eastAsia="zh-Hans"/>
              </w:rPr>
              <w:t>广东省农业农村厅</w:t>
            </w:r>
            <w:r>
              <w:rPr>
                <w:rFonts w:hint="eastAsia" w:ascii="仿宋_GB2312" w:hAnsi="仿宋_GB2312" w:eastAsia="仿宋_GB2312" w:cs="仿宋_GB2312"/>
                <w:color w:val="auto"/>
                <w:sz w:val="24"/>
                <w:szCs w:val="24"/>
              </w:rPr>
              <w:t>项目申报资格，记入</w:t>
            </w:r>
            <w:r>
              <w:rPr>
                <w:rFonts w:hint="eastAsia" w:ascii="仿宋_GB2312" w:hAnsi="仿宋_GB2312" w:eastAsia="仿宋_GB2312" w:cs="仿宋_GB2312"/>
                <w:color w:val="auto"/>
                <w:sz w:val="24"/>
                <w:szCs w:val="24"/>
                <w:lang w:eastAsia="zh-Hans"/>
              </w:rPr>
              <w:t>广东省农业农村厅</w:t>
            </w:r>
            <w:r>
              <w:rPr>
                <w:rFonts w:hint="eastAsia" w:ascii="仿宋_GB2312" w:hAnsi="仿宋_GB2312" w:eastAsia="仿宋_GB2312" w:cs="仿宋_GB2312"/>
                <w:color w:val="auto"/>
                <w:sz w:val="24"/>
                <w:szCs w:val="24"/>
              </w:rPr>
              <w:t>诚信异常名录等。</w:t>
            </w:r>
          </w:p>
          <w:p>
            <w:pPr>
              <w:keepNext w:val="0"/>
              <w:keepLines w:val="0"/>
              <w:pageBreakBefore w:val="0"/>
              <w:widowControl w:val="0"/>
              <w:kinsoku/>
              <w:wordWrap/>
              <w:overflowPunct/>
              <w:topLinePunct w:val="0"/>
              <w:autoSpaceDE/>
              <w:autoSpaceDN/>
              <w:bidi w:val="0"/>
              <w:adjustRightInd w:val="0"/>
              <w:snapToGrid w:val="0"/>
              <w:spacing w:line="360" w:lineRule="exact"/>
              <w:ind w:firstLine="4560" w:firstLineChars="19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出资单位（盖章）：</w:t>
            </w:r>
          </w:p>
          <w:p>
            <w:pPr>
              <w:keepNext w:val="0"/>
              <w:keepLines w:val="0"/>
              <w:pageBreakBefore w:val="0"/>
              <w:widowControl w:val="0"/>
              <w:kinsoku/>
              <w:wordWrap/>
              <w:overflowPunct/>
              <w:topLinePunct w:val="0"/>
              <w:autoSpaceDE/>
              <w:autoSpaceDN/>
              <w:bidi w:val="0"/>
              <w:adjustRightInd w:val="0"/>
              <w:snapToGrid w:val="0"/>
              <w:spacing w:line="360" w:lineRule="exact"/>
              <w:ind w:firstLine="4320" w:firstLineChars="18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法定代表人（签字）：</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年    月    日</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简体" w:hAnsi="方正小标宋简体" w:eastAsia="方正小标宋简体" w:cs="方正小标宋简体"/>
          <w:b w:val="0"/>
          <w:bCs w:val="0"/>
          <w:snapToGrid w:val="0"/>
          <w:color w:val="auto"/>
          <w:kern w:val="0"/>
          <w:sz w:val="44"/>
          <w:szCs w:val="44"/>
        </w:rPr>
      </w:pPr>
      <w:r>
        <w:rPr>
          <w:rFonts w:hint="eastAsia" w:ascii="方正小标宋简体" w:hAnsi="方正小标宋简体" w:eastAsia="方正小标宋简体" w:cs="方正小标宋简体"/>
          <w:b w:val="0"/>
          <w:bCs w:val="0"/>
          <w:snapToGrid w:val="0"/>
          <w:color w:val="auto"/>
          <w:kern w:val="0"/>
          <w:sz w:val="44"/>
          <w:szCs w:val="44"/>
        </w:rPr>
        <w:t>广东省农业农村厅种业振兴行动</w:t>
      </w: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简体" w:hAnsi="方正小标宋简体" w:eastAsia="方正小标宋简体" w:cs="方正小标宋简体"/>
          <w:b w:val="0"/>
          <w:bCs w:val="0"/>
          <w:i w:val="0"/>
          <w:iCs w:val="0"/>
          <w:snapToGrid w:val="0"/>
          <w:color w:val="auto"/>
          <w:kern w:val="0"/>
          <w:sz w:val="44"/>
          <w:szCs w:val="44"/>
        </w:rPr>
      </w:pPr>
      <w:r>
        <w:rPr>
          <w:rFonts w:hint="eastAsia" w:ascii="方正小标宋简体" w:hAnsi="方正小标宋简体" w:eastAsia="方正小标宋简体" w:cs="方正小标宋简体"/>
          <w:b w:val="0"/>
          <w:bCs w:val="0"/>
          <w:snapToGrid w:val="0"/>
          <w:color w:val="auto"/>
          <w:kern w:val="0"/>
          <w:sz w:val="44"/>
          <w:szCs w:val="44"/>
        </w:rPr>
        <w:t>（专项）申报书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i w:val="0"/>
          <w:iCs w:val="0"/>
          <w:snapToGrid w:val="0"/>
          <w:color w:val="auto"/>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i w:val="0"/>
          <w:iCs w:val="0"/>
          <w:snapToGrid w:val="0"/>
          <w:color w:val="auto"/>
          <w:kern w:val="0"/>
          <w:sz w:val="32"/>
          <w:szCs w:val="32"/>
        </w:rPr>
      </w:pPr>
      <w:r>
        <w:rPr>
          <w:rFonts w:hint="eastAsia" w:ascii="黑体" w:hAnsi="黑体" w:eastAsia="黑体" w:cs="黑体"/>
          <w:b w:val="0"/>
          <w:bCs w:val="0"/>
          <w:i w:val="0"/>
          <w:iCs w:val="0"/>
          <w:snapToGrid w:val="0"/>
          <w:color w:val="auto"/>
          <w:kern w:val="0"/>
          <w:sz w:val="32"/>
          <w:szCs w:val="32"/>
        </w:rPr>
        <w:t>一、编制规范性要求：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金额单位和数据精度：预算表中的数据以“万元”为单位，精确到小数点后两位。外币需按中国人民银行公布的即期汇率折合成人民币。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编码与数据平衡关系：预算申报书中有关编码应填写准确，数据之间满足有关的平衡关系，预算汇总表、预算明细表、预算说明中的数据应前后一致。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名称的规范性：承担单位的名称，应填写正式全称，承担单位名称、单位开户名称与单位公章必须一致。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如开户名称不一致，承担单位必须提供证明文件，证明开户单位与承担单位是同一家单位。设备、材料等实物信息应填写规范的名称，重复出现时应前后保持一致。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4</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签字盖章：项目（课题）支出预算申报书必须经牵头承担单位、负责人等签字或盖章。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i w:val="0"/>
          <w:iCs w:val="0"/>
          <w:snapToGrid w:val="0"/>
          <w:color w:val="auto"/>
          <w:kern w:val="0"/>
          <w:sz w:val="32"/>
          <w:szCs w:val="32"/>
        </w:rPr>
      </w:pPr>
      <w:r>
        <w:rPr>
          <w:rFonts w:hint="eastAsia" w:ascii="黑体" w:hAnsi="黑体" w:eastAsia="黑体" w:cs="黑体"/>
          <w:b w:val="0"/>
          <w:bCs w:val="0"/>
          <w:i w:val="0"/>
          <w:iCs w:val="0"/>
          <w:snapToGrid w:val="0"/>
          <w:color w:val="auto"/>
          <w:kern w:val="0"/>
          <w:sz w:val="32"/>
          <w:szCs w:val="32"/>
        </w:rPr>
        <w:t>二、具体申报书填写说明：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 w:val="0"/>
          <w:bCs w:val="0"/>
          <w:i w:val="0"/>
          <w:iCs w:val="0"/>
          <w:snapToGrid w:val="0"/>
          <w:color w:val="auto"/>
          <w:kern w:val="0"/>
          <w:sz w:val="32"/>
          <w:szCs w:val="32"/>
        </w:rPr>
      </w:pPr>
      <w:r>
        <w:rPr>
          <w:rFonts w:hint="eastAsia" w:ascii="楷体_GB2312" w:hAnsi="楷体_GB2312" w:eastAsia="楷体_GB2312" w:cs="楷体_GB2312"/>
          <w:b w:val="0"/>
          <w:bCs w:val="0"/>
          <w:i w:val="0"/>
          <w:iCs w:val="0"/>
          <w:snapToGrid w:val="0"/>
          <w:color w:val="auto"/>
          <w:kern w:val="0"/>
          <w:sz w:val="32"/>
          <w:szCs w:val="32"/>
        </w:rPr>
        <w:t>（</w:t>
      </w:r>
      <w:r>
        <w:rPr>
          <w:rFonts w:hint="eastAsia" w:ascii="楷体_GB2312" w:hAnsi="楷体_GB2312" w:eastAsia="楷体_GB2312" w:cs="楷体_GB2312"/>
          <w:b w:val="0"/>
          <w:bCs w:val="0"/>
          <w:i w:val="0"/>
          <w:iCs w:val="0"/>
          <w:snapToGrid w:val="0"/>
          <w:color w:val="auto"/>
          <w:kern w:val="0"/>
          <w:sz w:val="32"/>
          <w:szCs w:val="32"/>
          <w:lang w:eastAsia="zh-Hans"/>
        </w:rPr>
        <w:t>一</w:t>
      </w:r>
      <w:r>
        <w:rPr>
          <w:rFonts w:hint="eastAsia" w:ascii="楷体_GB2312" w:hAnsi="楷体_GB2312" w:eastAsia="楷体_GB2312" w:cs="楷体_GB2312"/>
          <w:b w:val="0"/>
          <w:bCs w:val="0"/>
          <w:i w:val="0"/>
          <w:iCs w:val="0"/>
          <w:snapToGrid w:val="0"/>
          <w:color w:val="auto"/>
          <w:kern w:val="0"/>
          <w:sz w:val="32"/>
          <w:szCs w:val="32"/>
        </w:rPr>
        <w:t>）封面</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项目（课题）名称”、“所属项目”应根据广东省相关申报指南程序确定的有关信息填报。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“申报单位”必须填写牵头承担单位全称，并与单位公章一致。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“项目（课题）负责人”应该按规定签字盖章。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4</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“申报日期”按规定填报。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 w:val="0"/>
          <w:bCs w:val="0"/>
          <w:i w:val="0"/>
          <w:iCs w:val="0"/>
          <w:snapToGrid w:val="0"/>
          <w:color w:val="auto"/>
          <w:kern w:val="0"/>
          <w:sz w:val="32"/>
          <w:szCs w:val="32"/>
        </w:rPr>
      </w:pPr>
      <w:r>
        <w:rPr>
          <w:rFonts w:hint="eastAsia" w:ascii="楷体_GB2312" w:hAnsi="楷体_GB2312" w:eastAsia="楷体_GB2312" w:cs="楷体_GB2312"/>
          <w:b w:val="0"/>
          <w:bCs w:val="0"/>
          <w:i w:val="0"/>
          <w:iCs w:val="0"/>
          <w:snapToGrid w:val="0"/>
          <w:color w:val="auto"/>
          <w:kern w:val="0"/>
          <w:sz w:val="32"/>
          <w:szCs w:val="32"/>
        </w:rPr>
        <w:t>（</w:t>
      </w:r>
      <w:r>
        <w:rPr>
          <w:rFonts w:hint="eastAsia" w:ascii="楷体_GB2312" w:hAnsi="楷体_GB2312" w:eastAsia="楷体_GB2312" w:cs="楷体_GB2312"/>
          <w:b w:val="0"/>
          <w:bCs w:val="0"/>
          <w:i w:val="0"/>
          <w:iCs w:val="0"/>
          <w:snapToGrid w:val="0"/>
          <w:color w:val="auto"/>
          <w:kern w:val="0"/>
          <w:sz w:val="32"/>
          <w:szCs w:val="32"/>
          <w:lang w:eastAsia="zh-Hans"/>
        </w:rPr>
        <w:t>二</w:t>
      </w:r>
      <w:r>
        <w:rPr>
          <w:rFonts w:hint="eastAsia" w:ascii="楷体_GB2312" w:hAnsi="楷体_GB2312" w:eastAsia="楷体_GB2312" w:cs="楷体_GB2312"/>
          <w:b w:val="0"/>
          <w:bCs w:val="0"/>
          <w:i w:val="0"/>
          <w:iCs w:val="0"/>
          <w:snapToGrid w:val="0"/>
          <w:color w:val="auto"/>
          <w:kern w:val="0"/>
          <w:sz w:val="32"/>
          <w:szCs w:val="32"/>
        </w:rPr>
        <w:t>）承诺书、知识产权合规性声明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项目（课题）牵头承担单位、负责人需对项目（课题）预</w:t>
      </w:r>
      <w:r>
        <w:rPr>
          <w:rFonts w:hint="eastAsia" w:ascii="仿宋_GB2312" w:hAnsi="仿宋_GB2312" w:eastAsia="仿宋_GB2312" w:cs="仿宋_GB2312"/>
          <w:i w:val="0"/>
          <w:iCs w:val="0"/>
          <w:snapToGrid w:val="0"/>
          <w:color w:val="auto"/>
          <w:spacing w:val="0"/>
          <w:kern w:val="0"/>
          <w:sz w:val="32"/>
          <w:szCs w:val="32"/>
        </w:rPr>
        <w:t>算申报书各项内容的真实、客观负责，并在承诺书上签字或盖章</w:t>
      </w:r>
      <w:r>
        <w:rPr>
          <w:rFonts w:hint="eastAsia" w:ascii="仿宋_GB2312" w:hAnsi="仿宋_GB2312" w:eastAsia="仿宋_GB2312" w:cs="仿宋_GB2312"/>
          <w:i w:val="0"/>
          <w:iCs w:val="0"/>
          <w:snapToGrid w:val="0"/>
          <w:color w:val="auto"/>
          <w:kern w:val="0"/>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 w:val="0"/>
          <w:bCs w:val="0"/>
          <w:i w:val="0"/>
          <w:iCs w:val="0"/>
          <w:snapToGrid w:val="0"/>
          <w:color w:val="auto"/>
          <w:kern w:val="0"/>
          <w:sz w:val="32"/>
          <w:szCs w:val="32"/>
        </w:rPr>
      </w:pPr>
      <w:r>
        <w:rPr>
          <w:rFonts w:hint="eastAsia" w:ascii="楷体_GB2312" w:hAnsi="楷体_GB2312" w:eastAsia="楷体_GB2312" w:cs="楷体_GB2312"/>
          <w:b w:val="0"/>
          <w:bCs w:val="0"/>
          <w:i w:val="0"/>
          <w:iCs w:val="0"/>
          <w:snapToGrid w:val="0"/>
          <w:color w:val="auto"/>
          <w:kern w:val="0"/>
          <w:sz w:val="32"/>
          <w:szCs w:val="32"/>
        </w:rPr>
        <w:t>（</w:t>
      </w:r>
      <w:r>
        <w:rPr>
          <w:rFonts w:hint="eastAsia" w:ascii="楷体_GB2312" w:hAnsi="楷体_GB2312" w:eastAsia="楷体_GB2312" w:cs="楷体_GB2312"/>
          <w:b w:val="0"/>
          <w:bCs w:val="0"/>
          <w:i w:val="0"/>
          <w:iCs w:val="0"/>
          <w:snapToGrid w:val="0"/>
          <w:color w:val="auto"/>
          <w:kern w:val="0"/>
          <w:sz w:val="32"/>
          <w:szCs w:val="32"/>
          <w:lang w:eastAsia="zh-Hans"/>
        </w:rPr>
        <w:t>三</w:t>
      </w:r>
      <w:r>
        <w:rPr>
          <w:rFonts w:hint="eastAsia" w:ascii="楷体_GB2312" w:hAnsi="楷体_GB2312" w:eastAsia="楷体_GB2312" w:cs="楷体_GB2312"/>
          <w:b w:val="0"/>
          <w:bCs w:val="0"/>
          <w:i w:val="0"/>
          <w:iCs w:val="0"/>
          <w:snapToGrid w:val="0"/>
          <w:color w:val="auto"/>
          <w:kern w:val="0"/>
          <w:sz w:val="32"/>
          <w:szCs w:val="32"/>
        </w:rPr>
        <w:t>）表A1：项目（课题）牵头承担单位基本情况表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“项目（课题）牵头承担单位”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应填写牵头承担单位全称，必须与单位公章一致。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“单位开户名称”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单位开户名称应与单位名称一致，如有开户名称不一致等特殊情况，必须提供证明文件。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“单位主管部门”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单位主管部门填写上级行政主管机关，如无主管部门的，则不需填写。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4</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“开户银行”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开户银行的信息必须填写全面，必须写明银行所在省、市等信息。填写顺序为：××银行××省（直辖市、自治区）××市（县）××支行（分行）××分理处（营业部等）。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5</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“银行账号”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银行账号必须经牵头承担单位财务部门确认，应填列单位基本账户，不能填报零余额账户。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6</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“银行机构代码”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7</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项目（课题）负责人、项目（课题）联系人和财务负责人的电话号码和手机号码、电子邮箱、微信号必须真实、准确。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 w:val="0"/>
          <w:bCs w:val="0"/>
          <w:i w:val="0"/>
          <w:iCs w:val="0"/>
          <w:snapToGrid w:val="0"/>
          <w:color w:val="auto"/>
          <w:kern w:val="0"/>
          <w:sz w:val="32"/>
          <w:szCs w:val="32"/>
        </w:rPr>
      </w:pPr>
      <w:r>
        <w:rPr>
          <w:rFonts w:hint="eastAsia" w:ascii="楷体_GB2312" w:hAnsi="楷体_GB2312" w:eastAsia="楷体_GB2312" w:cs="楷体_GB2312"/>
          <w:b w:val="0"/>
          <w:bCs w:val="0"/>
          <w:i w:val="0"/>
          <w:iCs w:val="0"/>
          <w:snapToGrid w:val="0"/>
          <w:color w:val="auto"/>
          <w:kern w:val="0"/>
          <w:sz w:val="32"/>
          <w:szCs w:val="32"/>
        </w:rPr>
        <w:t>（</w:t>
      </w:r>
      <w:r>
        <w:rPr>
          <w:rFonts w:hint="eastAsia" w:ascii="楷体_GB2312" w:hAnsi="楷体_GB2312" w:eastAsia="楷体_GB2312" w:cs="楷体_GB2312"/>
          <w:b w:val="0"/>
          <w:bCs w:val="0"/>
          <w:i w:val="0"/>
          <w:iCs w:val="0"/>
          <w:snapToGrid w:val="0"/>
          <w:color w:val="auto"/>
          <w:kern w:val="0"/>
          <w:sz w:val="32"/>
          <w:szCs w:val="32"/>
          <w:lang w:eastAsia="zh-Hans"/>
        </w:rPr>
        <w:t>四</w:t>
      </w:r>
      <w:r>
        <w:rPr>
          <w:rFonts w:hint="eastAsia" w:ascii="楷体_GB2312" w:hAnsi="楷体_GB2312" w:eastAsia="楷体_GB2312" w:cs="楷体_GB2312"/>
          <w:b w:val="0"/>
          <w:bCs w:val="0"/>
          <w:i w:val="0"/>
          <w:iCs w:val="0"/>
          <w:snapToGrid w:val="0"/>
          <w:color w:val="auto"/>
          <w:kern w:val="0"/>
          <w:sz w:val="32"/>
          <w:szCs w:val="32"/>
        </w:rPr>
        <w:t>）表B1：项目（课题）参与单位基本情况表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“项目（课题）名称”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项目（课题）名称应根据申报指南有关信息填报，项目（课题）名称应为全称。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“项目（课题）参与单位”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参与单位应填写全称，必须与单位公章一致。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3</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“单位主管部门”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单位主管部门填写上级行政主管机关，如无主管部门的，则不需填写。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4</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参与单位负责人、参与单位联系人和财务负责人的电话号码和手机号码、电子邮箱、微信号必须真实、准确，预算管理过程中将以电话、电子邮件、短信、微信等方式与相关人员进行联络。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 w:val="0"/>
          <w:bCs w:val="0"/>
          <w:i w:val="0"/>
          <w:iCs w:val="0"/>
          <w:snapToGrid w:val="0"/>
          <w:color w:val="auto"/>
          <w:kern w:val="0"/>
          <w:sz w:val="32"/>
          <w:szCs w:val="32"/>
        </w:rPr>
      </w:pPr>
      <w:r>
        <w:rPr>
          <w:rFonts w:hint="eastAsia" w:ascii="楷体_GB2312" w:hAnsi="楷体_GB2312" w:eastAsia="楷体_GB2312" w:cs="楷体_GB2312"/>
          <w:b w:val="0"/>
          <w:bCs w:val="0"/>
          <w:i w:val="0"/>
          <w:iCs w:val="0"/>
          <w:snapToGrid w:val="0"/>
          <w:color w:val="auto"/>
          <w:kern w:val="0"/>
          <w:sz w:val="32"/>
          <w:szCs w:val="32"/>
        </w:rPr>
        <w:t>（</w:t>
      </w:r>
      <w:r>
        <w:rPr>
          <w:rFonts w:hint="eastAsia" w:ascii="楷体_GB2312" w:hAnsi="楷体_GB2312" w:eastAsia="楷体_GB2312" w:cs="楷体_GB2312"/>
          <w:b w:val="0"/>
          <w:bCs w:val="0"/>
          <w:i w:val="0"/>
          <w:iCs w:val="0"/>
          <w:snapToGrid w:val="0"/>
          <w:color w:val="auto"/>
          <w:kern w:val="0"/>
          <w:sz w:val="32"/>
          <w:szCs w:val="32"/>
          <w:lang w:eastAsia="zh-Hans"/>
        </w:rPr>
        <w:t>五</w:t>
      </w:r>
      <w:r>
        <w:rPr>
          <w:rFonts w:hint="eastAsia" w:ascii="楷体_GB2312" w:hAnsi="楷体_GB2312" w:eastAsia="楷体_GB2312" w:cs="楷体_GB2312"/>
          <w:b w:val="0"/>
          <w:bCs w:val="0"/>
          <w:i w:val="0"/>
          <w:iCs w:val="0"/>
          <w:snapToGrid w:val="0"/>
          <w:color w:val="auto"/>
          <w:kern w:val="0"/>
          <w:sz w:val="32"/>
          <w:szCs w:val="32"/>
        </w:rPr>
        <w:t>）表B2：项目（课题）成员基本情况表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本表按参加项目（课题）的各类人员分别填列，一名人员投入本项目（课题）的累计全时工作时间不得超过本项目（课题）的预算期。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1</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“固定人员”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固定人员指全程参与项目（课题）的人员，按技术职称分为：A、正高级；B、副高级；C、中级；D、初级；E、其他。按所承担的任务分为：A、负责人；B、骨干；C、其他人员。固定人员需按本表所列要求填写明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2</w:t>
      </w:r>
      <w:r>
        <w:rPr>
          <w:rFonts w:hint="eastAsia" w:ascii="仿宋_GB2312" w:hAnsi="仿宋_GB2312" w:eastAsia="仿宋_GB2312" w:cs="仿宋_GB2312"/>
          <w:i w:val="0"/>
          <w:iCs w:val="0"/>
          <w:snapToGrid w:val="0"/>
          <w:color w:val="auto"/>
          <w:kern w:val="0"/>
          <w:sz w:val="32"/>
          <w:szCs w:val="32"/>
          <w:lang w:eastAsia="zh-Hans"/>
        </w:rPr>
        <w:t>.</w:t>
      </w:r>
      <w:r>
        <w:rPr>
          <w:rFonts w:hint="eastAsia" w:ascii="仿宋_GB2312" w:hAnsi="仿宋_GB2312" w:eastAsia="仿宋_GB2312" w:cs="仿宋_GB2312"/>
          <w:i w:val="0"/>
          <w:iCs w:val="0"/>
          <w:snapToGrid w:val="0"/>
          <w:color w:val="auto"/>
          <w:kern w:val="0"/>
          <w:sz w:val="32"/>
          <w:szCs w:val="32"/>
        </w:rPr>
        <w:t>“流动人员或临时聘用人员”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流动人员或临时聘用人员不需要填写明细，只需填写该类人员投入本项目（课题）的总人月数。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 w:val="0"/>
          <w:bCs w:val="0"/>
          <w:i w:val="0"/>
          <w:iCs w:val="0"/>
          <w:snapToGrid w:val="0"/>
          <w:color w:val="auto"/>
          <w:kern w:val="0"/>
          <w:sz w:val="32"/>
          <w:szCs w:val="32"/>
        </w:rPr>
      </w:pPr>
      <w:r>
        <w:rPr>
          <w:rFonts w:hint="eastAsia" w:ascii="楷体_GB2312" w:hAnsi="楷体_GB2312" w:eastAsia="楷体_GB2312" w:cs="楷体_GB2312"/>
          <w:b w:val="0"/>
          <w:bCs w:val="0"/>
          <w:i w:val="0"/>
          <w:iCs w:val="0"/>
          <w:snapToGrid w:val="0"/>
          <w:color w:val="auto"/>
          <w:kern w:val="0"/>
          <w:sz w:val="32"/>
          <w:szCs w:val="32"/>
        </w:rPr>
        <w:t>（</w:t>
      </w:r>
      <w:r>
        <w:rPr>
          <w:rFonts w:hint="eastAsia" w:ascii="楷体_GB2312" w:hAnsi="楷体_GB2312" w:eastAsia="楷体_GB2312" w:cs="楷体_GB2312"/>
          <w:b w:val="0"/>
          <w:bCs w:val="0"/>
          <w:i w:val="0"/>
          <w:iCs w:val="0"/>
          <w:snapToGrid w:val="0"/>
          <w:color w:val="auto"/>
          <w:kern w:val="0"/>
          <w:sz w:val="32"/>
          <w:szCs w:val="32"/>
          <w:lang w:eastAsia="zh-Hans"/>
        </w:rPr>
        <w:t>六</w:t>
      </w:r>
      <w:r>
        <w:rPr>
          <w:rFonts w:hint="eastAsia" w:ascii="楷体_GB2312" w:hAnsi="楷体_GB2312" w:eastAsia="楷体_GB2312" w:cs="楷体_GB2312"/>
          <w:b w:val="0"/>
          <w:bCs w:val="0"/>
          <w:i w:val="0"/>
          <w:iCs w:val="0"/>
          <w:snapToGrid w:val="0"/>
          <w:color w:val="auto"/>
          <w:kern w:val="0"/>
          <w:sz w:val="32"/>
          <w:szCs w:val="32"/>
        </w:rPr>
        <w:t>）表B3：项目（课题）预算表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本表反映了广东省农业科研类及技术推广示范类项目（专项）资金预算的整体情况。资金支出和资金来源应同时编制。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 w:val="0"/>
          <w:bCs w:val="0"/>
          <w:i w:val="0"/>
          <w:iCs w:val="0"/>
          <w:snapToGrid w:val="0"/>
          <w:color w:val="auto"/>
          <w:kern w:val="0"/>
          <w:sz w:val="32"/>
          <w:szCs w:val="32"/>
        </w:rPr>
      </w:pPr>
      <w:r>
        <w:rPr>
          <w:rFonts w:hint="eastAsia" w:ascii="楷体_GB2312" w:hAnsi="楷体_GB2312" w:eastAsia="楷体_GB2312" w:cs="楷体_GB2312"/>
          <w:b w:val="0"/>
          <w:bCs w:val="0"/>
          <w:i w:val="0"/>
          <w:iCs w:val="0"/>
          <w:snapToGrid w:val="0"/>
          <w:color w:val="auto"/>
          <w:kern w:val="0"/>
          <w:sz w:val="32"/>
          <w:szCs w:val="32"/>
        </w:rPr>
        <w:t>（</w:t>
      </w:r>
      <w:r>
        <w:rPr>
          <w:rFonts w:hint="eastAsia" w:ascii="楷体_GB2312" w:hAnsi="楷体_GB2312" w:eastAsia="楷体_GB2312" w:cs="楷体_GB2312"/>
          <w:b w:val="0"/>
          <w:bCs w:val="0"/>
          <w:i w:val="0"/>
          <w:iCs w:val="0"/>
          <w:snapToGrid w:val="0"/>
          <w:color w:val="auto"/>
          <w:kern w:val="0"/>
          <w:sz w:val="32"/>
          <w:szCs w:val="32"/>
          <w:lang w:eastAsia="zh-Hans"/>
        </w:rPr>
        <w:t>七</w:t>
      </w:r>
      <w:r>
        <w:rPr>
          <w:rFonts w:hint="eastAsia" w:ascii="楷体_GB2312" w:hAnsi="楷体_GB2312" w:eastAsia="楷体_GB2312" w:cs="楷体_GB2312"/>
          <w:b w:val="0"/>
          <w:bCs w:val="0"/>
          <w:i w:val="0"/>
          <w:iCs w:val="0"/>
          <w:snapToGrid w:val="0"/>
          <w:color w:val="auto"/>
          <w:kern w:val="0"/>
          <w:sz w:val="32"/>
          <w:szCs w:val="32"/>
        </w:rPr>
        <w:t>）表B4至表B19：支出科目预算明细表</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b/>
          <w:bCs/>
          <w:i w:val="0"/>
          <w:iCs w:val="0"/>
          <w:snapToGrid w:val="0"/>
          <w:color w:val="auto"/>
          <w:kern w:val="0"/>
          <w:sz w:val="32"/>
          <w:szCs w:val="32"/>
        </w:rPr>
        <w:t>表B4至表B19预算科目支出填写说明：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本部分是预算说明的重点，若在同一科目既有省级财政专项资金预算又有其他渠道资金预算，应对省级财政专项资金和其他渠道资金分别说明。项目（课题）资金由直接费用和间接费用组成。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 w:val="0"/>
          <w:bCs w:val="0"/>
          <w:i w:val="0"/>
          <w:iCs w:val="0"/>
          <w:snapToGrid w:val="0"/>
          <w:color w:val="auto"/>
          <w:kern w:val="0"/>
          <w:sz w:val="32"/>
          <w:szCs w:val="32"/>
        </w:rPr>
      </w:pPr>
      <w:r>
        <w:rPr>
          <w:rFonts w:hint="eastAsia" w:ascii="楷体_GB2312" w:hAnsi="楷体_GB2312" w:eastAsia="楷体_GB2312" w:cs="楷体_GB2312"/>
          <w:b w:val="0"/>
          <w:bCs w:val="0"/>
          <w:i w:val="0"/>
          <w:iCs w:val="0"/>
          <w:snapToGrid w:val="0"/>
          <w:color w:val="auto"/>
          <w:kern w:val="0"/>
          <w:sz w:val="32"/>
          <w:szCs w:val="32"/>
        </w:rPr>
        <w:t>（</w:t>
      </w:r>
      <w:r>
        <w:rPr>
          <w:rFonts w:hint="eastAsia" w:ascii="楷体_GB2312" w:hAnsi="楷体_GB2312" w:eastAsia="楷体_GB2312" w:cs="楷体_GB2312"/>
          <w:b w:val="0"/>
          <w:bCs w:val="0"/>
          <w:i w:val="0"/>
          <w:iCs w:val="0"/>
          <w:snapToGrid w:val="0"/>
          <w:color w:val="auto"/>
          <w:kern w:val="0"/>
          <w:sz w:val="32"/>
          <w:szCs w:val="32"/>
          <w:lang w:eastAsia="zh-Hans"/>
        </w:rPr>
        <w:t>八</w:t>
      </w:r>
      <w:r>
        <w:rPr>
          <w:rFonts w:hint="eastAsia" w:ascii="楷体_GB2312" w:hAnsi="楷体_GB2312" w:eastAsia="楷体_GB2312" w:cs="楷体_GB2312"/>
          <w:b w:val="0"/>
          <w:bCs w:val="0"/>
          <w:i w:val="0"/>
          <w:iCs w:val="0"/>
          <w:snapToGrid w:val="0"/>
          <w:color w:val="auto"/>
          <w:kern w:val="0"/>
          <w:sz w:val="32"/>
          <w:szCs w:val="32"/>
        </w:rPr>
        <w:t>）表B20：承担单位资金支出预算明细表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snapToGrid w:val="0"/>
          <w:color w:val="auto"/>
          <w:kern w:val="0"/>
          <w:sz w:val="32"/>
          <w:szCs w:val="32"/>
        </w:rPr>
      </w:pPr>
      <w:r>
        <w:rPr>
          <w:rFonts w:hint="eastAsia" w:ascii="仿宋_GB2312" w:hAnsi="仿宋_GB2312" w:eastAsia="仿宋_GB2312" w:cs="仿宋_GB2312"/>
          <w:i w:val="0"/>
          <w:iCs w:val="0"/>
          <w:snapToGrid w:val="0"/>
          <w:color w:val="auto"/>
          <w:kern w:val="0"/>
          <w:sz w:val="32"/>
          <w:szCs w:val="32"/>
        </w:rPr>
        <w:t>本表反映共同参与任务实施的各单位预算情况，需简要说明所有单位分别承担的任务和资金安排。各单位名称、承担任务及任务负责人等信息应与项目立项申报材料一致。</w:t>
      </w:r>
    </w:p>
    <w:p>
      <w:r>
        <w:rPr>
          <w:rFonts w:hint="eastAsia" w:ascii="仿宋_GB2312" w:hAnsi="仿宋_GB2312" w:eastAsia="仿宋_GB2312" w:cs="仿宋_GB2312"/>
          <w:i w:val="0"/>
          <w:iCs w:val="0"/>
          <w:snapToGrid w:val="0"/>
          <w:color w:val="auto"/>
          <w:kern w:val="0"/>
          <w:sz w:val="32"/>
          <w:szCs w:val="32"/>
        </w:rPr>
        <w:t>所有承担单位均需填入表B20中。执行过程中，牵头承担单位、参与单位不得随意增加或减少参与单位，不得向表中未填列的单位转拨省级财政专项资金</w:t>
      </w:r>
      <w:r>
        <w:rPr>
          <w:rFonts w:hint="eastAsia" w:ascii="仿宋_GB2312" w:hAnsi="仿宋_GB2312" w:eastAsia="仿宋_GB2312" w:cs="仿宋_GB2312"/>
          <w:i w:val="0"/>
          <w:iCs w:val="0"/>
          <w:snapToGrid w:val="0"/>
          <w:color w:val="auto"/>
          <w:kern w:val="0"/>
          <w:sz w:val="32"/>
          <w:szCs w:val="32"/>
          <w:lang w:eastAsia="zh-CN"/>
        </w:rPr>
        <w:t>。</w:t>
      </w:r>
      <w:bookmarkStart w:id="0" w:name="_GoBack"/>
      <w:bookmarkEnd w:id="0"/>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7AFC890-AB29-4026-ADB2-5CF6BE4614A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A5E0337-1D2A-4394-B646-C6858341A55F}"/>
  </w:font>
  <w:font w:name="仿宋_GB2312">
    <w:panose1 w:val="02010609030101010101"/>
    <w:charset w:val="86"/>
    <w:family w:val="auto"/>
    <w:pitch w:val="default"/>
    <w:sig w:usb0="00000001" w:usb1="080E0000" w:usb2="00000000" w:usb3="00000000" w:csb0="00040000" w:csb1="00000000"/>
    <w:embedRegular r:id="rId3" w:fontKey="{EDC1A033-126C-435B-B67A-388666606E95}"/>
  </w:font>
  <w:font w:name="方正小标宋简体">
    <w:panose1 w:val="02000000000000000000"/>
    <w:charset w:val="86"/>
    <w:family w:val="auto"/>
    <w:pitch w:val="default"/>
    <w:sig w:usb0="00000001" w:usb1="080E0000" w:usb2="00000000" w:usb3="00000000" w:csb0="00040000" w:csb1="00000000"/>
    <w:embedRegular r:id="rId4" w:fontKey="{675B1939-B18A-43FD-B849-0DCA40DAEC9A}"/>
  </w:font>
  <w:font w:name="楷体_GB2312">
    <w:panose1 w:val="02010609030101010101"/>
    <w:charset w:val="86"/>
    <w:family w:val="modern"/>
    <w:pitch w:val="default"/>
    <w:sig w:usb0="00000001" w:usb1="080E0000" w:usb2="00000000" w:usb3="00000000" w:csb0="00040000" w:csb1="00000000"/>
    <w:embedRegular r:id="rId5" w:fontKey="{C5ABBDDC-9B5E-4AC0-B8DC-488EF221F74C}"/>
  </w:font>
  <w:font w:name="仿宋">
    <w:panose1 w:val="02010609060101010101"/>
    <w:charset w:val="86"/>
    <w:family w:val="modern"/>
    <w:pitch w:val="default"/>
    <w:sig w:usb0="800002BF" w:usb1="38CF7CFA" w:usb2="00000016" w:usb3="00000000" w:csb0="00040001" w:csb1="00000000"/>
    <w:embedRegular r:id="rId6" w:fontKey="{467229AA-7007-40FF-9F61-20DBD324DA5C}"/>
  </w:font>
  <w:font w:name="方正小标宋_GBK">
    <w:altName w:val="微软雅黑"/>
    <w:panose1 w:val="02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黑体_GBK">
    <w:altName w:val="微软雅黑"/>
    <w:panose1 w:val="02000000000000000000"/>
    <w:charset w:val="86"/>
    <w:family w:val="auto"/>
    <w:pitch w:val="default"/>
    <w:sig w:usb0="00000000" w:usb1="00000000" w:usb2="00000000" w:usb3="00000000" w:csb0="00040000" w:csb1="00000000"/>
    <w:embedRegular r:id="rId7" w:fontKey="{8977BF7D-650C-40A3-B6EB-EE1E6D1ACA1D}"/>
  </w:font>
  <w:font w:name="华文中宋">
    <w:panose1 w:val="02010600040101010101"/>
    <w:charset w:val="86"/>
    <w:family w:val="auto"/>
    <w:pitch w:val="default"/>
    <w:sig w:usb0="00000287" w:usb1="080F0000" w:usb2="00000000" w:usb3="00000000" w:csb0="0004009F" w:csb1="DFD70000"/>
    <w:embedRegular r:id="rId8" w:fontKey="{72D8A323-C96B-4475-A2B4-DC8FB5D5A2AD}"/>
  </w:font>
  <w:font w:name="长城小标宋体">
    <w:altName w:val="宋体"/>
    <w:panose1 w:val="00000000000000000000"/>
    <w:charset w:val="00"/>
    <w:family w:val="modern"/>
    <w:pitch w:val="default"/>
    <w:sig w:usb0="00000000" w:usb1="00000000" w:usb2="00000000" w:usb3="00000000" w:csb0="00040001" w:csb1="00000000"/>
    <w:embedRegular r:id="rId9" w:fontKey="{7BD9D9CD-C0F7-4FAC-ACD6-E8A0BAF9D80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eastAsia="宋体"/>
        <w:lang w:val="en-US" w:eastAsia="zh-CN"/>
      </w:rPr>
    </w:pPr>
  </w:p>
  <w:p>
    <w:pPr>
      <w:pStyle w:val="9"/>
      <w:rPr>
        <w:rFonts w:hint="eastAsia"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eastAsia="宋体"/>
        <w:lang w:val="en-US" w:eastAsia="zh-CN"/>
      </w:rPr>
    </w:pPr>
  </w:p>
  <w:p>
    <w:pPr>
      <w:pStyle w:val="9"/>
      <w:rPr>
        <w:rFonts w:hint="eastAsia" w:eastAsia="宋体"/>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07E351"/>
    <w:multiLevelType w:val="singleLevel"/>
    <w:tmpl w:val="6007E351"/>
    <w:lvl w:ilvl="0" w:tentative="0">
      <w:start w:val="1"/>
      <w:numFmt w:val="decimal"/>
      <w:suff w:val="nothing"/>
      <w:lvlText w:val="%1."/>
      <w:lvlJc w:val="left"/>
    </w:lvl>
  </w:abstractNum>
  <w:abstractNum w:abstractNumId="1">
    <w:nsid w:val="62D973EC"/>
    <w:multiLevelType w:val="singleLevel"/>
    <w:tmpl w:val="62D973EC"/>
    <w:lvl w:ilvl="0" w:tentative="0">
      <w:start w:val="5"/>
      <w:numFmt w:val="decimal"/>
      <w:suff w:val="nothing"/>
      <w:lvlText w:val="（%1）"/>
      <w:lvlJc w:val="left"/>
    </w:lvl>
  </w:abstractNum>
  <w:abstractNum w:abstractNumId="2">
    <w:nsid w:val="62D9836A"/>
    <w:multiLevelType w:val="singleLevel"/>
    <w:tmpl w:val="62D9836A"/>
    <w:lvl w:ilvl="0" w:tentative="0">
      <w:start w:val="3"/>
      <w:numFmt w:val="decimal"/>
      <w:suff w:val="nothing"/>
      <w:lvlText w:val="（%1）"/>
      <w:lvlJc w:val="left"/>
    </w:lvl>
  </w:abstractNum>
  <w:abstractNum w:abstractNumId="3">
    <w:nsid w:val="62D983C4"/>
    <w:multiLevelType w:val="singleLevel"/>
    <w:tmpl w:val="62D983C4"/>
    <w:lvl w:ilvl="0" w:tentative="0">
      <w:start w:val="2"/>
      <w:numFmt w:val="decimal"/>
      <w:suff w:val="nothing"/>
      <w:lvlText w:val="%1."/>
      <w:lvlJc w:val="left"/>
    </w:lvl>
  </w:abstractNum>
  <w:abstractNum w:abstractNumId="4">
    <w:nsid w:val="62D983D4"/>
    <w:multiLevelType w:val="singleLevel"/>
    <w:tmpl w:val="62D983D4"/>
    <w:lvl w:ilvl="0" w:tentative="0">
      <w:start w:val="1"/>
      <w:numFmt w:val="decimal"/>
      <w:suff w:val="nothing"/>
      <w:lvlText w:val="（%1）"/>
      <w:lvlJc w:val="left"/>
    </w:lvl>
  </w:abstractNum>
  <w:abstractNum w:abstractNumId="5">
    <w:nsid w:val="62D9843E"/>
    <w:multiLevelType w:val="singleLevel"/>
    <w:tmpl w:val="62D9843E"/>
    <w:lvl w:ilvl="0" w:tentative="0">
      <w:start w:val="2"/>
      <w:numFmt w:val="decimal"/>
      <w:suff w:val="nothing"/>
      <w:lvlText w:val="（%1）"/>
      <w:lvlJc w:val="left"/>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1EF30D6B"/>
    <w:rsid w:val="1EF30D6B"/>
    <w:rsid w:val="43DD4BED"/>
    <w:rsid w:val="58C30B59"/>
    <w:rsid w:val="5B9D5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仿宋_GB2312"/>
      <w:snapToGrid w:val="0"/>
      <w:kern w:val="0"/>
      <w:sz w:val="32"/>
      <w:szCs w:val="32"/>
      <w:lang w:val="en-US" w:eastAsia="zh-CN" w:bidi="ar-SA"/>
    </w:rPr>
  </w:style>
  <w:style w:type="paragraph" w:styleId="4">
    <w:name w:val="heading 1"/>
    <w:basedOn w:val="1"/>
    <w:next w:val="1"/>
    <w:qFormat/>
    <w:uiPriority w:val="0"/>
    <w:pPr>
      <w:keepNext/>
      <w:keepLines/>
      <w:spacing w:before="340" w:after="330" w:line="578" w:lineRule="auto"/>
      <w:jc w:val="center"/>
      <w:outlineLvl w:val="0"/>
    </w:pPr>
    <w:rPr>
      <w:rFonts w:ascii="Times New Roman" w:hAnsi="Times New Roman" w:eastAsia="黑体" w:cs="Times New Roman"/>
      <w:b/>
      <w:bCs/>
      <w:kern w:val="44"/>
      <w:sz w:val="32"/>
      <w:szCs w:val="44"/>
    </w:rPr>
  </w:style>
  <w:style w:type="paragraph" w:styleId="5">
    <w:name w:val="heading 2"/>
    <w:basedOn w:val="1"/>
    <w:next w:val="1"/>
    <w:unhideWhenUsed/>
    <w:qFormat/>
    <w:uiPriority w:val="0"/>
    <w:pPr>
      <w:ind w:firstLine="0" w:firstLineChars="0"/>
      <w:outlineLvl w:val="1"/>
    </w:pPr>
    <w:rPr>
      <w:rFonts w:ascii="楷体" w:hAnsi="楷体" w:cs="楷体"/>
      <w:b/>
      <w:bCs/>
      <w:sz w:val="30"/>
      <w:szCs w:val="30"/>
    </w:rPr>
  </w:style>
  <w:style w:type="paragraph" w:styleId="6">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snapToGrid/>
      <w:kern w:val="0"/>
      <w:sz w:val="27"/>
      <w:szCs w:val="27"/>
      <w:lang w:val="en-US" w:eastAsia="zh-CN" w:bidi="ar"/>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ind w:left="420" w:leftChars="200"/>
    </w:pPr>
  </w:style>
  <w:style w:type="paragraph" w:styleId="7">
    <w:name w:val="Body Text"/>
    <w:basedOn w:val="1"/>
    <w:next w:val="1"/>
    <w:qFormat/>
    <w:uiPriority w:val="0"/>
    <w:pPr>
      <w:spacing w:after="120"/>
    </w:pPr>
  </w:style>
  <w:style w:type="paragraph" w:styleId="8">
    <w:name w:val="Plain Text"/>
    <w:basedOn w:val="1"/>
    <w:qFormat/>
    <w:uiPriority w:val="0"/>
    <w:pPr>
      <w:adjustRightInd w:val="0"/>
      <w:snapToGrid w:val="0"/>
      <w:spacing w:line="360" w:lineRule="auto"/>
      <w:ind w:firstLine="640" w:firstLineChars="200"/>
    </w:pPr>
    <w:rPr>
      <w:rFonts w:ascii="宋体" w:hAnsi="Courier New" w:eastAsia="仿宋_GB2312" w:cs="Courier New"/>
      <w:sz w:val="32"/>
      <w:szCs w:val="21"/>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paragraph" w:customStyle="1" w:styleId="16">
    <w:name w:val="List Paragraph_ca0c1825-58e4-42eb-a142-2e05e1915348"/>
    <w:basedOn w:val="1"/>
    <w:qFormat/>
    <w:uiPriority w:val="34"/>
    <w:pPr>
      <w:ind w:firstLine="420" w:firstLineChars="200"/>
    </w:pPr>
  </w:style>
  <w:style w:type="character" w:customStyle="1" w:styleId="17">
    <w:name w:val="font41"/>
    <w:qFormat/>
    <w:uiPriority w:val="0"/>
    <w:rPr>
      <w:rFonts w:hint="eastAsia" w:ascii="仿宋_GB2312" w:eastAsia="仿宋_GB2312" w:cs="仿宋_GB2312"/>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省农业厅</Company>
  <Pages>1</Pages>
  <Words>0</Words>
  <Characters>0</Characters>
  <Lines>0</Lines>
  <Paragraphs>0</Paragraphs>
  <TotalTime>0</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2022-03-29T06:21:00Z</dcterms:created>
  <dc:creator>李怡欢</dc:creator>
  <cp:lastModifiedBy>Eliauk</cp:lastModifiedBy>
  <dcterms:modified xsi:type="dcterms:W3CDTF">2022-08-11T10:14:40Z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8B71284973134AE994543CDEB0EFF30B</vt:lpwstr>
  </property>
</Properties>
</file>