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right="0" w:firstLine="0" w:firstLineChars="0"/>
        <w:rPr>
          <w:rFonts w:hint="eastAsia" w:ascii="黑体" w:hAnsi="黑体" w:eastAsia="黑体" w:cs="黑体"/>
          <w:snapToGrid w:val="0"/>
          <w:color w:val="auto"/>
          <w:spacing w:val="0"/>
          <w:kern w:val="0"/>
          <w:szCs w:val="32"/>
          <w:lang w:val="en-US" w:eastAsia="zh-CN"/>
        </w:rPr>
      </w:pPr>
      <w:bookmarkStart w:id="1" w:name="_GoBack"/>
      <w:bookmarkEnd w:id="1"/>
      <w:r>
        <w:rPr>
          <w:rFonts w:hint="eastAsia" w:ascii="黑体" w:hAnsi="黑体" w:eastAsia="黑体" w:cs="黑体"/>
          <w:snapToGrid w:val="0"/>
          <w:color w:val="auto"/>
          <w:spacing w:val="0"/>
          <w:kern w:val="0"/>
          <w:szCs w:val="32"/>
          <w:lang w:eastAsia="zh-CN"/>
        </w:rPr>
        <w:t>附件</w:t>
      </w:r>
      <w:r>
        <w:rPr>
          <w:rFonts w:hint="eastAsia" w:ascii="黑体" w:hAnsi="黑体" w:eastAsia="黑体" w:cs="黑体"/>
          <w:snapToGrid w:val="0"/>
          <w:color w:val="auto"/>
          <w:spacing w:val="0"/>
          <w:kern w:val="0"/>
          <w:szCs w:val="32"/>
          <w:lang w:val="en-US" w:eastAsia="zh-CN"/>
        </w:rPr>
        <w:t>1</w:t>
      </w:r>
    </w:p>
    <w:p>
      <w:pPr>
        <w:adjustRightInd w:val="0"/>
        <w:snapToGrid w:val="0"/>
        <w:spacing w:beforeLines="0" w:afterLines="0" w:line="590" w:lineRule="exact"/>
        <w:ind w:right="0" w:firstLine="640" w:firstLineChars="200"/>
        <w:rPr>
          <w:rFonts w:hint="eastAsia" w:ascii="仿宋_GB2312" w:hAnsi="仿宋_GB2312" w:eastAsia="仿宋_GB2312" w:cs="仿宋_GB2312"/>
          <w:snapToGrid w:val="0"/>
          <w:color w:val="auto"/>
          <w:spacing w:val="0"/>
          <w:kern w:val="0"/>
          <w:szCs w:val="32"/>
          <w:lang w:val="en-US" w:eastAsia="zh-CN"/>
        </w:rPr>
      </w:pP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pP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t>2021-2023年中央财政农机购置补贴机具补贴额一览表</w:t>
      </w: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lang w:eastAsia="zh-CN"/>
        </w:rPr>
      </w:pP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t>（第一批）</w:t>
      </w: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lang w:eastAsia="zh-CN"/>
        </w:rPr>
        <w:t>（通用类）</w:t>
      </w:r>
    </w:p>
    <w:p>
      <w:pPr>
        <w:adjustRightInd w:val="0"/>
        <w:snapToGrid w:val="0"/>
        <w:spacing w:beforeLines="0" w:afterLines="0" w:line="590" w:lineRule="exact"/>
        <w:ind w:right="0" w:firstLine="0" w:firstLineChars="0"/>
        <w:jc w:val="both"/>
        <w:rPr>
          <w:rFonts w:hint="eastAsia" w:ascii="仿宋_GB2312" w:hAnsi="仿宋_GB2312" w:eastAsia="仿宋_GB2312" w:cs="仿宋_GB2312"/>
          <w:i w:val="0"/>
          <w:caps w:val="0"/>
          <w:snapToGrid w:val="0"/>
          <w:color w:val="auto"/>
          <w:spacing w:val="0"/>
          <w:kern w:val="0"/>
          <w:sz w:val="44"/>
          <w:szCs w:val="44"/>
          <w:shd w:val="clear" w:color="auto" w:fill="FFFFFF"/>
          <w:lang w:eastAsia="zh-CN"/>
        </w:rPr>
      </w:pPr>
    </w:p>
    <w:tbl>
      <w:tblPr>
        <w:tblStyle w:val="5"/>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1380"/>
        <w:gridCol w:w="1611"/>
        <w:gridCol w:w="1485"/>
        <w:gridCol w:w="3174"/>
        <w:gridCol w:w="2630"/>
        <w:gridCol w:w="1093"/>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blHeader/>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机具大类</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机具小类</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补贴额（元）</w:t>
            </w:r>
          </w:p>
        </w:tc>
        <w:tc>
          <w:tcPr>
            <w:tcW w:w="1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1-1.5m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单轴；1m≤耕幅＜1.5m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1.5-2m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单轴；1.5m≤耕幅＜2m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2-2.5m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单轴；2m≤耕幅＜2.5m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2.5m 及以上旋耕机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单轴；耕幅≥2.5m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1.2-2m 履带自走式旋耕机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型式：履带自走式；1.2m≤耕幅＜2m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2m及以上履带自走式旋耕机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型式：履带自走式；耕幅≥2m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19100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行手扶步进式水稻插秧机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手扶步进式；</w:t>
            </w: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w:t>
            </w:r>
            <w:r>
              <w:rPr>
                <w:rStyle w:val="7"/>
                <w:rFonts w:ascii="仿宋_GB2312" w:hAnsi="仿宋_GB2312" w:eastAsia="仿宋_GB2312" w:cs="仿宋_GB2312"/>
                <w:sz w:val="18"/>
                <w:szCs w:val="18"/>
                <w:lang w:val="en-US" w:eastAsia="zh-CN" w:bidi="ar"/>
              </w:rPr>
              <w:t>行及以上手扶步进式水稻插秧机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手扶步进式；</w:t>
            </w:r>
            <w:r>
              <w:rPr>
                <w:rStyle w:val="6"/>
                <w:rFonts w:hint="eastAsia" w:ascii="仿宋_GB2312" w:hAnsi="仿宋_GB2312" w:eastAsia="仿宋_GB2312" w:cs="仿宋_GB2312"/>
                <w:sz w:val="18"/>
                <w:szCs w:val="18"/>
                <w:lang w:val="en-US" w:eastAsia="zh-CN" w:bidi="ar"/>
              </w:rPr>
              <w:t>6</w:t>
            </w:r>
            <w:r>
              <w:rPr>
                <w:rStyle w:val="7"/>
                <w:rFonts w:ascii="仿宋_GB2312" w:hAnsi="仿宋_GB2312" w:eastAsia="仿宋_GB2312" w:cs="仿宋_GB2312"/>
                <w:sz w:val="18"/>
                <w:szCs w:val="18"/>
                <w:lang w:val="en-US" w:eastAsia="zh-CN" w:bidi="ar"/>
              </w:rPr>
              <w:t>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6行及以上独轮乘坐式水稻插秧机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独轮乘坐式；6行及以上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4—5行四轮乘坐式水稻插秧机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四轮乘坐式；4、5行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6—7</w:t>
            </w:r>
            <w:r>
              <w:rPr>
                <w:rStyle w:val="7"/>
                <w:rFonts w:ascii="仿宋_GB2312" w:hAnsi="仿宋_GB2312" w:eastAsia="仿宋_GB2312" w:cs="仿宋_GB2312"/>
                <w:sz w:val="18"/>
                <w:szCs w:val="18"/>
                <w:lang w:val="en-US" w:eastAsia="zh-CN" w:bidi="ar"/>
              </w:rPr>
              <w:t>行四轮乘坐式水稻插秧机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四轮乘坐式；</w:t>
            </w:r>
            <w:r>
              <w:rPr>
                <w:rStyle w:val="6"/>
                <w:rFonts w:hint="eastAsia" w:ascii="仿宋_GB2312" w:hAnsi="仿宋_GB2312" w:eastAsia="仿宋_GB2312" w:cs="仿宋_GB2312"/>
                <w:sz w:val="18"/>
                <w:szCs w:val="18"/>
                <w:lang w:val="en-US" w:eastAsia="zh-CN" w:bidi="ar"/>
              </w:rPr>
              <w:t>6-7</w:t>
            </w:r>
            <w:r>
              <w:rPr>
                <w:rStyle w:val="7"/>
                <w:rFonts w:ascii="仿宋_GB2312" w:hAnsi="仿宋_GB2312" w:eastAsia="仿宋_GB2312" w:cs="仿宋_GB2312"/>
                <w:sz w:val="18"/>
                <w:szCs w:val="18"/>
                <w:lang w:val="en-US" w:eastAsia="zh-CN" w:bidi="ar"/>
              </w:rPr>
              <w:t>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8</w:t>
            </w:r>
            <w:r>
              <w:rPr>
                <w:rStyle w:val="7"/>
                <w:rFonts w:ascii="仿宋_GB2312" w:hAnsi="仿宋_GB2312" w:eastAsia="仿宋_GB2312" w:cs="仿宋_GB2312"/>
                <w:sz w:val="18"/>
                <w:szCs w:val="18"/>
                <w:lang w:val="en-US" w:eastAsia="zh-CN" w:bidi="ar"/>
              </w:rPr>
              <w:t>行及以上四轮乘坐式水稻插秧机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四轮乘坐式；</w:t>
            </w:r>
            <w:r>
              <w:rPr>
                <w:rStyle w:val="6"/>
                <w:rFonts w:hint="eastAsia" w:ascii="仿宋_GB2312" w:hAnsi="仿宋_GB2312" w:eastAsia="仿宋_GB2312" w:cs="仿宋_GB2312"/>
                <w:sz w:val="18"/>
                <w:szCs w:val="18"/>
                <w:lang w:val="en-US" w:eastAsia="zh-CN" w:bidi="ar"/>
              </w:rPr>
              <w:t>8</w:t>
            </w:r>
            <w:r>
              <w:rPr>
                <w:rStyle w:val="7"/>
                <w:rFonts w:ascii="仿宋_GB2312" w:hAnsi="仿宋_GB2312" w:eastAsia="仿宋_GB2312" w:cs="仿宋_GB2312"/>
                <w:sz w:val="18"/>
                <w:szCs w:val="18"/>
                <w:lang w:val="en-US" w:eastAsia="zh-CN" w:bidi="ar"/>
              </w:rPr>
              <w:t>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10-20L多旋翼植保无人驾驶航空器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10L</w:t>
            </w:r>
            <w:r>
              <w:rPr>
                <w:rStyle w:val="7"/>
                <w:rFonts w:ascii="仿宋_GB2312" w:hAnsi="仿宋_GB2312" w:eastAsia="仿宋_GB2312" w:cs="仿宋_GB2312"/>
                <w:sz w:val="18"/>
                <w:szCs w:val="18"/>
                <w:lang w:val="en-US" w:eastAsia="zh-CN" w:bidi="ar"/>
              </w:rPr>
              <w:t>≤药液箱额定容量＜</w:t>
            </w:r>
            <w:r>
              <w:rPr>
                <w:rStyle w:val="6"/>
                <w:rFonts w:hint="eastAsia" w:ascii="仿宋_GB2312" w:hAnsi="仿宋_GB2312" w:eastAsia="仿宋_GB2312" w:cs="仿宋_GB2312"/>
                <w:sz w:val="18"/>
                <w:szCs w:val="18"/>
                <w:lang w:val="en-US" w:eastAsia="zh-CN" w:bidi="ar"/>
              </w:rPr>
              <w:t>20L</w:t>
            </w:r>
            <w:r>
              <w:rPr>
                <w:rStyle w:val="7"/>
                <w:rFonts w:ascii="仿宋_GB2312" w:hAnsi="仿宋_GB2312" w:eastAsia="仿宋_GB2312" w:cs="仿宋_GB2312"/>
                <w:sz w:val="18"/>
                <w:szCs w:val="18"/>
                <w:lang w:val="en-US" w:eastAsia="zh-CN" w:bidi="ar"/>
              </w:rPr>
              <w:t>；多旋翼；电动、油动、油电混动；电动须配置智能电池系统，含智能电池</w:t>
            </w:r>
            <w:r>
              <w:rPr>
                <w:rStyle w:val="6"/>
                <w:rFonts w:hint="eastAsia" w:ascii="仿宋_GB2312" w:hAnsi="仿宋_GB2312" w:eastAsia="仿宋_GB2312" w:cs="仿宋_GB2312"/>
                <w:sz w:val="18"/>
                <w:szCs w:val="18"/>
                <w:lang w:val="en-US" w:eastAsia="zh-CN" w:bidi="ar"/>
              </w:rPr>
              <w:t>2</w:t>
            </w:r>
            <w:r>
              <w:rPr>
                <w:rStyle w:val="7"/>
                <w:rFonts w:ascii="仿宋_GB2312" w:hAnsi="仿宋_GB2312" w:eastAsia="仿宋_GB2312" w:cs="仿宋_GB2312"/>
                <w:sz w:val="18"/>
                <w:szCs w:val="18"/>
                <w:lang w:val="en-US" w:eastAsia="zh-CN" w:bidi="ar"/>
              </w:rPr>
              <w:t>组及以上；具有避障系统；具有</w:t>
            </w:r>
            <w:r>
              <w:rPr>
                <w:rStyle w:val="6"/>
                <w:rFonts w:hint="eastAsia" w:ascii="仿宋_GB2312" w:hAnsi="仿宋_GB2312" w:eastAsia="仿宋_GB2312" w:cs="仿宋_GB2312"/>
                <w:sz w:val="18"/>
                <w:szCs w:val="18"/>
                <w:lang w:val="en-US" w:eastAsia="zh-CN" w:bidi="ar"/>
              </w:rPr>
              <w:t>RTK</w:t>
            </w:r>
            <w:r>
              <w:rPr>
                <w:rStyle w:val="7"/>
                <w:rFonts w:ascii="仿宋_GB2312" w:hAnsi="仿宋_GB2312" w:eastAsia="仿宋_GB2312" w:cs="仿宋_GB2312"/>
                <w:sz w:val="18"/>
                <w:szCs w:val="18"/>
                <w:lang w:val="en-US" w:eastAsia="zh-CN" w:bidi="ar"/>
              </w:rPr>
              <w:t>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6000</w:t>
            </w:r>
          </w:p>
        </w:tc>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1.多旋翼植保无人驾驶航空器是由两个以上旋翼（含两个）组成，并通过多个旋翼在空气中旋转产生升力和拉力实现飞行并进行施药作业的无人飞机。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2.智能电池系统由智能电池和智能电池充电器组成，具备过充保护、过放保护、短路保护和充放电使用次数显示等功能。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3.避障系统是指通过雷达或多目视觉等传感器主动检测障碍物并能实时归避的系统，通常有前避障、前后避障或绕障，不含使用航线规划绕障。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4"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20-30L</w:t>
            </w:r>
            <w:r>
              <w:rPr>
                <w:rStyle w:val="7"/>
                <w:rFonts w:ascii="仿宋_GB2312" w:hAnsi="仿宋_GB2312" w:eastAsia="仿宋_GB2312" w:cs="仿宋_GB2312"/>
                <w:sz w:val="18"/>
                <w:szCs w:val="18"/>
                <w:lang w:val="en-US" w:eastAsia="zh-CN" w:bidi="ar"/>
              </w:rPr>
              <w:t>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20L</w:t>
            </w:r>
            <w:r>
              <w:rPr>
                <w:rStyle w:val="7"/>
                <w:rFonts w:ascii="仿宋_GB2312" w:hAnsi="仿宋_GB2312" w:eastAsia="仿宋_GB2312" w:cs="仿宋_GB2312"/>
                <w:sz w:val="18"/>
                <w:szCs w:val="18"/>
                <w:lang w:val="en-US" w:eastAsia="zh-CN" w:bidi="ar"/>
              </w:rPr>
              <w:t>≤药液箱额定容量＜</w:t>
            </w:r>
            <w:r>
              <w:rPr>
                <w:rStyle w:val="6"/>
                <w:rFonts w:hint="eastAsia" w:ascii="仿宋_GB2312" w:hAnsi="仿宋_GB2312" w:eastAsia="仿宋_GB2312" w:cs="仿宋_GB2312"/>
                <w:sz w:val="18"/>
                <w:szCs w:val="18"/>
                <w:lang w:val="en-US" w:eastAsia="zh-CN" w:bidi="ar"/>
              </w:rPr>
              <w:t>30L</w:t>
            </w:r>
            <w:r>
              <w:rPr>
                <w:rStyle w:val="7"/>
                <w:rFonts w:ascii="仿宋_GB2312" w:hAnsi="仿宋_GB2312" w:eastAsia="仿宋_GB2312" w:cs="仿宋_GB2312"/>
                <w:sz w:val="18"/>
                <w:szCs w:val="18"/>
                <w:lang w:val="en-US" w:eastAsia="zh-CN" w:bidi="ar"/>
              </w:rPr>
              <w:t>；多旋翼；电动、油动、油电混动；电动须配置智能电池系统，含智能电池</w:t>
            </w:r>
            <w:r>
              <w:rPr>
                <w:rStyle w:val="6"/>
                <w:rFonts w:hint="eastAsia" w:ascii="仿宋_GB2312" w:hAnsi="仿宋_GB2312" w:eastAsia="仿宋_GB2312" w:cs="仿宋_GB2312"/>
                <w:sz w:val="18"/>
                <w:szCs w:val="18"/>
                <w:lang w:val="en-US" w:eastAsia="zh-CN" w:bidi="ar"/>
              </w:rPr>
              <w:t>2</w:t>
            </w:r>
            <w:r>
              <w:rPr>
                <w:rStyle w:val="7"/>
                <w:rFonts w:ascii="仿宋_GB2312" w:hAnsi="仿宋_GB2312" w:eastAsia="仿宋_GB2312" w:cs="仿宋_GB2312"/>
                <w:sz w:val="18"/>
                <w:szCs w:val="18"/>
                <w:lang w:val="en-US" w:eastAsia="zh-CN" w:bidi="ar"/>
              </w:rPr>
              <w:t>组及以上；具有避障系统；具有</w:t>
            </w:r>
            <w:r>
              <w:rPr>
                <w:rStyle w:val="6"/>
                <w:rFonts w:hint="eastAsia" w:ascii="仿宋_GB2312" w:hAnsi="仿宋_GB2312" w:eastAsia="仿宋_GB2312" w:cs="仿宋_GB2312"/>
                <w:sz w:val="18"/>
                <w:szCs w:val="18"/>
                <w:lang w:val="en-US" w:eastAsia="zh-CN" w:bidi="ar"/>
              </w:rPr>
              <w:t>RTK</w:t>
            </w:r>
            <w:r>
              <w:rPr>
                <w:rStyle w:val="7"/>
                <w:rFonts w:ascii="仿宋_GB2312" w:hAnsi="仿宋_GB2312" w:eastAsia="仿宋_GB2312" w:cs="仿宋_GB2312"/>
                <w:sz w:val="18"/>
                <w:szCs w:val="18"/>
                <w:lang w:val="en-US" w:eastAsia="zh-CN" w:bidi="ar"/>
              </w:rPr>
              <w:t>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30L及以上多旋翼植保无人驾驶航空器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药液箱额定容量≥30L；多旋翼；电动、油动、油电混动；电动须配置智能电池系统，含智能电池2组及以上；具有避障系统；具有RTK的高精度卫星导航定位系统；具有电子围栏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15L-25L单旋翼植保无人驾驶航空器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15L≤药液箱额定容量＜25L；单旋翼；电动、油动、油电混动；电动须配置智能电池系统，含智能电池2组及以上；具有避障系统；具有RTK的高精度卫星导航定位系统；具有电子围栏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25L及以上单旋翼植保无人驾驶航空器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药液箱额定容量≥25L；单旋翼；电动、油动、油电混动；电动须配置智能电池系统，含智能电池2组及以上；具有避障系统；具有RTK的高精度卫星导航定位系统；具有电子围栏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0.6—1kg/s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1—1.5kg/s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0.6kg/s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1—1.5kg/s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1.5—2.1kg/s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1.5—2.1kg/s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2.1—3kg/s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2.1—3kg/s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3—4kg/s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3—4kg/s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及以上自走履带式水稻联合收割机（全喂入）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及以上自走履带式谷物联合收割机（全喂入）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半喂入联合收割机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3行35马力及以上半喂入联合收割机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收获行数：3行；喂入方式：半喂入；功率≥35马力</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半喂入联合收割机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行及以上</w:t>
            </w:r>
            <w:r>
              <w:rPr>
                <w:rStyle w:val="6"/>
                <w:rFonts w:hint="eastAsia" w:ascii="仿宋_GB2312" w:hAnsi="仿宋_GB2312" w:eastAsia="仿宋_GB2312" w:cs="仿宋_GB2312"/>
                <w:sz w:val="18"/>
                <w:szCs w:val="18"/>
                <w:lang w:val="en-US" w:eastAsia="zh-CN" w:bidi="ar"/>
              </w:rPr>
              <w:t>35</w:t>
            </w:r>
            <w:r>
              <w:rPr>
                <w:rStyle w:val="7"/>
                <w:rFonts w:ascii="仿宋_GB2312" w:hAnsi="仿宋_GB2312" w:eastAsia="仿宋_GB2312" w:cs="仿宋_GB2312"/>
                <w:sz w:val="18"/>
                <w:szCs w:val="18"/>
                <w:lang w:val="en-US" w:eastAsia="zh-CN" w:bidi="ar"/>
              </w:rPr>
              <w:t>马力及以上半喂入联合收割机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收获行数≥</w:t>
            </w: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行；喂入方式：半喂入；功率≥</w:t>
            </w:r>
            <w:r>
              <w:rPr>
                <w:rStyle w:val="6"/>
                <w:rFonts w:hint="eastAsia" w:ascii="仿宋_GB2312" w:hAnsi="仿宋_GB2312" w:eastAsia="仿宋_GB2312" w:cs="仿宋_GB2312"/>
                <w:sz w:val="18"/>
                <w:szCs w:val="18"/>
                <w:lang w:val="en-US" w:eastAsia="zh-CN" w:bidi="ar"/>
              </w:rPr>
              <w:t>35</w:t>
            </w:r>
            <w:r>
              <w:rPr>
                <w:rStyle w:val="7"/>
                <w:rFonts w:ascii="仿宋_GB2312" w:hAnsi="仿宋_GB2312" w:eastAsia="仿宋_GB2312" w:cs="仿宋_GB2312"/>
                <w:sz w:val="18"/>
                <w:szCs w:val="18"/>
                <w:lang w:val="en-US" w:eastAsia="zh-CN" w:bidi="ar"/>
              </w:rPr>
              <w:t>马力</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1—1.5m秸秆粉碎还田机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1m≤作业幅宽＜1.5m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1.5—2m</w:t>
            </w:r>
            <w:r>
              <w:rPr>
                <w:rStyle w:val="7"/>
                <w:rFonts w:ascii="仿宋_GB2312" w:hAnsi="仿宋_GB2312" w:eastAsia="仿宋_GB2312" w:cs="仿宋_GB2312"/>
                <w:sz w:val="18"/>
                <w:szCs w:val="18"/>
                <w:lang w:val="en-US" w:eastAsia="zh-CN" w:bidi="ar"/>
              </w:rPr>
              <w:t>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1.5m</w:t>
            </w:r>
            <w:r>
              <w:rPr>
                <w:rStyle w:val="7"/>
                <w:rFonts w:ascii="仿宋_GB2312" w:hAnsi="仿宋_GB2312" w:eastAsia="仿宋_GB2312" w:cs="仿宋_GB2312"/>
                <w:sz w:val="18"/>
                <w:szCs w:val="18"/>
                <w:lang w:val="en-US" w:eastAsia="zh-CN" w:bidi="ar"/>
              </w:rPr>
              <w:t>≤作业幅宽＜</w:t>
            </w:r>
            <w:r>
              <w:rPr>
                <w:rStyle w:val="6"/>
                <w:rFonts w:hint="eastAsia" w:ascii="仿宋_GB2312" w:hAnsi="仿宋_GB2312" w:eastAsia="仿宋_GB2312" w:cs="仿宋_GB2312"/>
                <w:sz w:val="18"/>
                <w:szCs w:val="18"/>
                <w:lang w:val="en-US" w:eastAsia="zh-CN" w:bidi="ar"/>
              </w:rPr>
              <w:t>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2—2.5m</w:t>
            </w:r>
            <w:r>
              <w:rPr>
                <w:rStyle w:val="7"/>
                <w:rFonts w:ascii="仿宋_GB2312" w:hAnsi="仿宋_GB2312" w:eastAsia="仿宋_GB2312" w:cs="仿宋_GB2312"/>
                <w:sz w:val="18"/>
                <w:szCs w:val="18"/>
                <w:lang w:val="en-US" w:eastAsia="zh-CN" w:bidi="ar"/>
              </w:rPr>
              <w:t>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2m</w:t>
            </w:r>
            <w:r>
              <w:rPr>
                <w:rStyle w:val="7"/>
                <w:rFonts w:ascii="仿宋_GB2312" w:hAnsi="仿宋_GB2312" w:eastAsia="仿宋_GB2312" w:cs="仿宋_GB2312"/>
                <w:sz w:val="18"/>
                <w:szCs w:val="18"/>
                <w:lang w:val="en-US" w:eastAsia="zh-CN" w:bidi="ar"/>
              </w:rPr>
              <w:t>≤作业幅宽＜2.5m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2.5m</w:t>
            </w:r>
            <w:r>
              <w:rPr>
                <w:rStyle w:val="7"/>
                <w:rFonts w:ascii="仿宋_GB2312" w:hAnsi="仿宋_GB2312" w:eastAsia="仿宋_GB2312" w:cs="仿宋_GB2312"/>
                <w:sz w:val="18"/>
                <w:szCs w:val="18"/>
                <w:lang w:val="en-US" w:eastAsia="zh-CN" w:bidi="ar"/>
              </w:rPr>
              <w:t>及以上秸秆粉碎还田机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作业幅宽≥</w:t>
            </w:r>
            <w:r>
              <w:rPr>
                <w:rStyle w:val="6"/>
                <w:rFonts w:hint="eastAsia" w:ascii="仿宋_GB2312" w:hAnsi="仿宋_GB2312" w:eastAsia="仿宋_GB2312" w:cs="仿宋_GB2312"/>
                <w:sz w:val="18"/>
                <w:szCs w:val="18"/>
                <w:lang w:val="en-US" w:eastAsia="zh-CN" w:bidi="ar"/>
              </w:rPr>
              <w:t>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9"/>
                <w:rFonts w:ascii="仿宋_GB2312" w:hAnsi="仿宋_GB2312" w:eastAsia="仿宋_GB2312" w:cs="仿宋_GB2312"/>
                <w:sz w:val="18"/>
                <w:szCs w:val="18"/>
                <w:lang w:val="en-US" w:eastAsia="zh-CN" w:bidi="ar"/>
              </w:rPr>
              <w:t>2</w:t>
            </w:r>
            <w:r>
              <w:rPr>
                <w:rStyle w:val="6"/>
                <w:rFonts w:hint="eastAsia" w:ascii="仿宋_GB2312" w:hAnsi="仿宋_GB2312" w:eastAsia="仿宋_GB2312" w:cs="仿宋_GB2312"/>
                <w:sz w:val="18"/>
                <w:szCs w:val="18"/>
                <w:lang w:val="en-US" w:eastAsia="zh-CN" w:bidi="ar"/>
              </w:rPr>
              <w:t>—</w:t>
            </w:r>
            <w:r>
              <w:rPr>
                <w:rStyle w:val="9"/>
                <w:rFonts w:ascii="仿宋_GB2312" w:hAnsi="仿宋_GB2312" w:eastAsia="仿宋_GB2312" w:cs="仿宋_GB2312"/>
                <w:sz w:val="18"/>
                <w:szCs w:val="18"/>
                <w:lang w:val="en-US" w:eastAsia="zh-CN" w:bidi="ar"/>
              </w:rPr>
              <w:t>4</w:t>
            </w:r>
            <w:r>
              <w:rPr>
                <w:rStyle w:val="6"/>
                <w:rFonts w:hint="eastAsia" w:ascii="仿宋_GB2312" w:hAnsi="仿宋_GB2312" w:eastAsia="仿宋_GB2312" w:cs="仿宋_GB2312"/>
                <w:sz w:val="18"/>
                <w:szCs w:val="18"/>
                <w:lang w:val="en-US" w:eastAsia="zh-CN" w:bidi="ar"/>
              </w:rPr>
              <w:t>t</w:t>
            </w:r>
            <w:r>
              <w:rPr>
                <w:rStyle w:val="8"/>
                <w:rFonts w:ascii="仿宋_GB2312" w:hAnsi="仿宋_GB2312" w:eastAsia="仿宋_GB2312" w:cs="仿宋_GB2312"/>
                <w:sz w:val="18"/>
                <w:szCs w:val="18"/>
                <w:lang w:val="en-US" w:eastAsia="zh-CN" w:bidi="ar"/>
              </w:rPr>
              <w:t>循环式谷物烘干机</w:t>
            </w:r>
          </w:p>
        </w:tc>
        <w:tc>
          <w:tcPr>
            <w:tcW w:w="2630" w:type="dxa"/>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2t≤批处理量＜4t；循环式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4—10t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10t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10—20t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20t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20—30t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及以上循环式谷物烘干机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20马力以下四轮驱动拖拉机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功率＜20马力；驱动方式：四轮驱动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1750</w:t>
            </w:r>
          </w:p>
        </w:tc>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不含皮带传动轮式拖拉机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20-30马力四轮驱动拖拉机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20马力≤功率＜30马力；驱动方式：四轮驱动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5160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30-40马力四轮驱动拖拉机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30马力≤功率＜40马力；驱动方式：四轮驱动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40—50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50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50—60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50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60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60—70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70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70—80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default" w:ascii="仿宋_GB2312" w:hAnsi="仿宋_GB2312" w:eastAsia="仿宋_GB2312" w:cs="仿宋_GB2312"/>
                <w:i w:val="0"/>
                <w:color w:val="000000"/>
                <w:sz w:val="18"/>
                <w:szCs w:val="18"/>
                <w:u w:val="none"/>
                <w:lang w:val="en-US"/>
              </w:rPr>
            </w:pPr>
            <w:r>
              <w:rPr>
                <w:rStyle w:val="7"/>
                <w:rFonts w:ascii="仿宋_GB2312" w:hAnsi="仿宋_GB2312" w:eastAsia="仿宋_GB2312" w:cs="仿宋_GB2312"/>
                <w:sz w:val="18"/>
                <w:szCs w:val="18"/>
                <w:lang w:val="en-US" w:eastAsia="zh-CN" w:bidi="ar"/>
              </w:rPr>
              <w:t>70马力≤功率＜</w:t>
            </w:r>
            <w:r>
              <w:rPr>
                <w:rStyle w:val="8"/>
                <w:rFonts w:ascii="仿宋_GB2312" w:hAnsi="仿宋_GB2312" w:eastAsia="仿宋_GB2312" w:cs="仿宋_GB2312"/>
                <w:sz w:val="18"/>
                <w:szCs w:val="18"/>
                <w:lang w:val="en-US" w:eastAsia="zh-CN" w:bidi="ar"/>
              </w:rPr>
              <w:t>80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80—90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80马力≤功率＜</w:t>
            </w:r>
            <w:r>
              <w:rPr>
                <w:rStyle w:val="8"/>
                <w:rFonts w:ascii="仿宋_GB2312" w:hAnsi="仿宋_GB2312" w:eastAsia="仿宋_GB2312" w:cs="仿宋_GB2312"/>
                <w:sz w:val="18"/>
                <w:szCs w:val="18"/>
                <w:lang w:val="en-US" w:eastAsia="zh-CN" w:bidi="ar"/>
              </w:rPr>
              <w:t>90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80—90 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80 马力≤功率＜</w:t>
            </w:r>
            <w:r>
              <w:rPr>
                <w:rStyle w:val="8"/>
                <w:rFonts w:ascii="仿宋_GB2312" w:hAnsi="仿宋_GB2312" w:eastAsia="仿宋_GB2312" w:cs="仿宋_GB2312"/>
                <w:sz w:val="18"/>
                <w:szCs w:val="18"/>
                <w:lang w:val="en-US" w:eastAsia="zh-CN" w:bidi="ar"/>
              </w:rPr>
              <w:t xml:space="preserve">90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90—100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90马力≤功率＜</w:t>
            </w:r>
            <w:r>
              <w:rPr>
                <w:rStyle w:val="8"/>
                <w:rFonts w:ascii="仿宋_GB2312" w:hAnsi="仿宋_GB2312" w:eastAsia="仿宋_GB2312" w:cs="仿宋_GB2312"/>
                <w:sz w:val="18"/>
                <w:szCs w:val="18"/>
                <w:lang w:val="en-US" w:eastAsia="zh-CN" w:bidi="ar"/>
              </w:rPr>
              <w:t>100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90—100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90 马力≤功率＜</w:t>
            </w:r>
            <w:r>
              <w:rPr>
                <w:rStyle w:val="8"/>
                <w:rFonts w:ascii="仿宋_GB2312" w:hAnsi="仿宋_GB2312" w:eastAsia="仿宋_GB2312" w:cs="仿宋_GB2312"/>
                <w:sz w:val="18"/>
                <w:szCs w:val="18"/>
                <w:lang w:val="en-US" w:eastAsia="zh-CN" w:bidi="ar"/>
              </w:rPr>
              <w:t xml:space="preserve">100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100—120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100马力≤功率＜</w:t>
            </w:r>
            <w:r>
              <w:rPr>
                <w:rStyle w:val="8"/>
                <w:rFonts w:ascii="仿宋_GB2312" w:hAnsi="仿宋_GB2312" w:eastAsia="仿宋_GB2312" w:cs="仿宋_GB2312"/>
                <w:sz w:val="18"/>
                <w:szCs w:val="18"/>
                <w:lang w:val="en-US" w:eastAsia="zh-CN" w:bidi="ar"/>
              </w:rPr>
              <w:t>120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100—120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100 马力≤功率＜</w:t>
            </w:r>
            <w:r>
              <w:rPr>
                <w:rStyle w:val="8"/>
                <w:rFonts w:ascii="仿宋_GB2312" w:hAnsi="仿宋_GB2312" w:eastAsia="仿宋_GB2312" w:cs="仿宋_GB2312"/>
                <w:sz w:val="18"/>
                <w:szCs w:val="18"/>
                <w:lang w:val="en-US" w:eastAsia="zh-CN" w:bidi="ar"/>
              </w:rPr>
              <w:t xml:space="preserve">120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120—140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120马力≤功率＜</w:t>
            </w:r>
            <w:r>
              <w:rPr>
                <w:rStyle w:val="8"/>
                <w:rFonts w:ascii="仿宋_GB2312" w:hAnsi="仿宋_GB2312" w:eastAsia="仿宋_GB2312" w:cs="仿宋_GB2312"/>
                <w:sz w:val="18"/>
                <w:szCs w:val="18"/>
                <w:lang w:val="en-US" w:eastAsia="zh-CN" w:bidi="ar"/>
              </w:rPr>
              <w:t>140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120—140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120 马力≤功率＜</w:t>
            </w:r>
            <w:r>
              <w:rPr>
                <w:rStyle w:val="8"/>
                <w:rFonts w:ascii="仿宋_GB2312" w:hAnsi="仿宋_GB2312" w:eastAsia="仿宋_GB2312" w:cs="仿宋_GB2312"/>
                <w:sz w:val="18"/>
                <w:szCs w:val="18"/>
                <w:lang w:val="en-US" w:eastAsia="zh-CN" w:bidi="ar"/>
              </w:rPr>
              <w:t xml:space="preserve">140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140—160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140马力≤功率＜</w:t>
            </w:r>
            <w:r>
              <w:rPr>
                <w:rStyle w:val="8"/>
                <w:rFonts w:ascii="仿宋_GB2312" w:hAnsi="仿宋_GB2312" w:eastAsia="仿宋_GB2312" w:cs="仿宋_GB2312"/>
                <w:sz w:val="18"/>
                <w:szCs w:val="18"/>
                <w:lang w:val="en-US" w:eastAsia="zh-CN" w:bidi="ar"/>
              </w:rPr>
              <w:t>160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140—160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140 马力≤功率＜</w:t>
            </w:r>
            <w:r>
              <w:rPr>
                <w:rStyle w:val="8"/>
                <w:rFonts w:ascii="仿宋_GB2312" w:hAnsi="仿宋_GB2312" w:eastAsia="仿宋_GB2312" w:cs="仿宋_GB2312"/>
                <w:sz w:val="18"/>
                <w:szCs w:val="18"/>
                <w:lang w:val="en-US" w:eastAsia="zh-CN" w:bidi="ar"/>
              </w:rPr>
              <w:t xml:space="preserve">160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160—180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160马力≤功率＜</w:t>
            </w:r>
            <w:r>
              <w:rPr>
                <w:rStyle w:val="8"/>
                <w:rFonts w:ascii="仿宋_GB2312" w:hAnsi="仿宋_GB2312" w:eastAsia="仿宋_GB2312" w:cs="仿宋_GB2312"/>
                <w:sz w:val="18"/>
                <w:szCs w:val="18"/>
                <w:lang w:val="en-US" w:eastAsia="zh-CN" w:bidi="ar"/>
              </w:rPr>
              <w:t>180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160—180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160 马力≤功率＜</w:t>
            </w:r>
            <w:r>
              <w:rPr>
                <w:rStyle w:val="8"/>
                <w:rFonts w:ascii="仿宋_GB2312" w:hAnsi="仿宋_GB2312" w:eastAsia="仿宋_GB2312" w:cs="仿宋_GB2312"/>
                <w:sz w:val="18"/>
                <w:szCs w:val="18"/>
                <w:lang w:val="en-US" w:eastAsia="zh-CN" w:bidi="ar"/>
              </w:rPr>
              <w:t xml:space="preserve">180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180—200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180马力≤功率＜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180—200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180 马力≤功率＜</w:t>
            </w:r>
            <w:r>
              <w:rPr>
                <w:rStyle w:val="8"/>
                <w:rFonts w:ascii="仿宋_GB2312" w:hAnsi="仿宋_GB2312" w:eastAsia="仿宋_GB2312" w:cs="仿宋_GB2312"/>
                <w:sz w:val="18"/>
                <w:szCs w:val="18"/>
                <w:lang w:val="en-US" w:eastAsia="zh-CN" w:bidi="ar"/>
              </w:rPr>
              <w:t xml:space="preserve">200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马力及以上四轮驱动拖拉机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马力及以上四轮驱动动力换挡拖拉机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80-100马力重型履带式拖拉机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80马力≤功率＜100马力；驱动方式：履带式；最小使用质量≥6000kg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100-130马力重型履带式拖拉机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100马力≤功率＜130马力；驱动方式：履带式；最小使用质量≥6500kg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130-160马力重型履带式拖拉机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130马力≤功率＜160马力；驱动方式：履带式；最小使用质量≥7000kg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82200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160马力及以上重型履带式拖拉机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160马力≤功率；驱动方式：履带式；最小使用质量≥8000kg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50-70马力差速转向履带式拖拉机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 马力≤功率＜70 马力；驱动方式： 履带式；转向型式：差速式转向；最大 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21200</w:t>
            </w:r>
          </w:p>
        </w:tc>
        <w:tc>
          <w:tcPr>
            <w:tcW w:w="119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差速式转向是指用于液压机械双功率流驱动差速转向机构，实现履带车辆转向的差速式转向系统。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 马力≤功率＜90 马力；驱动方式：履带式；转向型式：差速式转向；最大牵引功率≥70%发动力标定功率；最小使用比质量≥35kg/kW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26100</w:t>
            </w:r>
          </w:p>
        </w:tc>
        <w:tc>
          <w:tcPr>
            <w:tcW w:w="1196" w:type="dxa"/>
            <w:vMerge w:val="continue"/>
            <w:tcBorders>
              <w:left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3"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90-110马力差速转向履带式拖拉机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 马力≤功率＜110 马力；驱动方式：履带式；转向型式：差速式转向；最大牵引功率≥70%发动力标定功率；最小使用比质量≥35kg/kW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34600</w:t>
            </w:r>
          </w:p>
        </w:tc>
        <w:tc>
          <w:tcPr>
            <w:tcW w:w="1196" w:type="dxa"/>
            <w:vMerge w:val="continue"/>
            <w:tcBorders>
              <w:left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110马力及以上差速转向履带式拖拉机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 马力≤功率；驱动方式：履带式；转向型式：差速式转向；最大牵引功率≥70%发动力标定功率；最小使用比质量≥45kg/kW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34600</w:t>
            </w:r>
          </w:p>
        </w:tc>
        <w:tc>
          <w:tcPr>
            <w:tcW w:w="1196" w:type="dxa"/>
            <w:vMerge w:val="continue"/>
            <w:tcBorders>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50-70马力轻型履带式拖拉机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 马力≤功率＜70 马力；驱动方式：履带式，橡胶履带</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70-100马力轻型履带式拖拉机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 马力≤功率≤100 马力；驱动方式：履带式，橡胶履带</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bl>
    <w:p>
      <w:pPr>
        <w:adjustRightInd w:val="0"/>
        <w:snapToGrid w:val="0"/>
        <w:spacing w:beforeLines="0" w:afterLines="0" w:line="590" w:lineRule="exact"/>
        <w:ind w:right="0" w:firstLine="0" w:firstLineChars="0"/>
        <w:jc w:val="both"/>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sectPr>
          <w:pgSz w:w="16838" w:h="11906" w:orient="landscape"/>
          <w:pgMar w:top="1531" w:right="1871" w:bottom="1531" w:left="1871" w:header="851" w:footer="1417" w:gutter="0"/>
          <w:cols w:space="720" w:num="1"/>
          <w:rtlGutter w:val="0"/>
          <w:docGrid w:type="lines" w:linePitch="4422" w:charSpace="0"/>
        </w:sectPr>
      </w:pPr>
    </w:p>
    <w:p>
      <w:pPr>
        <w:adjustRightInd w:val="0"/>
        <w:snapToGrid w:val="0"/>
        <w:spacing w:beforeLines="0" w:afterLines="0" w:line="590" w:lineRule="exact"/>
        <w:ind w:right="0" w:firstLine="0" w:firstLineChars="0"/>
        <w:rPr>
          <w:rFonts w:hint="eastAsia" w:ascii="黑体" w:hAnsi="黑体" w:eastAsia="黑体" w:cs="黑体"/>
          <w:snapToGrid w:val="0"/>
          <w:kern w:val="0"/>
          <w:lang w:val="en-US" w:eastAsia="zh-CN"/>
        </w:rPr>
      </w:pPr>
      <w:r>
        <w:rPr>
          <w:rFonts w:hint="eastAsia" w:ascii="黑体" w:hAnsi="黑体" w:eastAsia="黑体" w:cs="黑体"/>
          <w:snapToGrid w:val="0"/>
          <w:kern w:val="0"/>
          <w:lang w:val="en-US" w:eastAsia="zh-CN"/>
        </w:rPr>
        <w:t>附件2</w:t>
      </w:r>
    </w:p>
    <w:p>
      <w:pPr>
        <w:adjustRightInd w:val="0"/>
        <w:snapToGrid w:val="0"/>
        <w:spacing w:beforeLines="0" w:afterLines="0" w:line="590" w:lineRule="exact"/>
        <w:ind w:right="0" w:firstLine="0" w:firstLineChars="0"/>
        <w:rPr>
          <w:rFonts w:hint="eastAsia"/>
          <w:snapToGrid w:val="0"/>
          <w:kern w:val="0"/>
          <w:lang w:val="en-US" w:eastAsia="zh-CN"/>
        </w:rPr>
      </w:pPr>
    </w:p>
    <w:p>
      <w:pPr>
        <w:pStyle w:val="3"/>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0" w:firstLineChars="0"/>
        <w:jc w:val="center"/>
        <w:textAlignment w:val="auto"/>
        <w:rPr>
          <w:rFonts w:hint="eastAsia" w:ascii="方正小标宋简体" w:hAnsi="方正小标宋简体" w:eastAsia="方正小标宋简体" w:cs="方正小标宋简体"/>
          <w:i w:val="0"/>
          <w:caps w:val="0"/>
          <w:snapToGrid w:val="0"/>
          <w:color w:val="auto"/>
          <w:spacing w:val="0"/>
          <w:sz w:val="44"/>
          <w:szCs w:val="44"/>
          <w:shd w:val="clear" w:color="auto" w:fill="FFFFFF"/>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2021-2023年中央财政农机购置补贴机具补贴额一览表</w:t>
      </w: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（第一批）</w:t>
      </w:r>
      <w:r>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t>（非通用类）</w:t>
      </w:r>
    </w:p>
    <w:p>
      <w:pPr>
        <w:adjustRightInd w:val="0"/>
        <w:snapToGrid w:val="0"/>
        <w:spacing w:beforeLines="0" w:afterLines="0" w:line="590" w:lineRule="exact"/>
        <w:ind w:right="0" w:firstLine="0" w:firstLineChars="0"/>
        <w:jc w:val="both"/>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pPr>
    </w:p>
    <w:tbl>
      <w:tblPr>
        <w:tblStyle w:val="5"/>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7"/>
        <w:gridCol w:w="1557"/>
        <w:gridCol w:w="1168"/>
        <w:gridCol w:w="1209"/>
        <w:gridCol w:w="2291"/>
        <w:gridCol w:w="3458"/>
        <w:gridCol w:w="134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blHeader/>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机具大类</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机具小类</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补贴额（元）</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铧式犁</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翻转犁,单体幅宽35cm及以上,3-4铧</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单体幅宽≥35cm；铧体个数3-4铧；具有翻转机构</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微耕机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功率4kW以下微耕机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微耕机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功率4kW及以上微耕机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整地机械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起垄机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1-2m起垄机(含手扶拖拉机配套起垄机)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1m≤作业幅宽＜2m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整地机械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起垄机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2-4m起垄机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2m≤作业幅宽＜4m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播种机械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水稻直播机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8行及以上水稻（水旱）直播机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8行及以上；不带动力</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播种机械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水稻直播机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8行及以上，自走四轮乘坐式水稻（水旱）直播机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8行及以上；自走四轮乘坐式（专用底盘）</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育苗机械设备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秧盘播种成套设备（含床土处理）</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生产率500(盘/小时)及以上秧盘播种成套设备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生产率≥500(盘/小时)；含铺底土、播种、洒水、覆土功能</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秧苗移栽机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13行及以上四轮乘坐式水稻有序抛秧机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四轮乘坐式；13行及以上</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施肥机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6行及以上水稻侧深施肥装备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行数≥6行，定位、定量深施</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中耕机械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田园管理机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功率4kW及以上田园管理机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单人手提式茶树修剪机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自带动力；单人操作；作业幅宽＜1m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双人平行式茶树修剪机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自带动力；双人操作；作业幅宽≥1m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电动果树修剪机（电池额定容量≥2Ah，额定电压≥16.8V，最大剪切直径≥25mm）</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锂电池2组，每组电池额定容量≥2Ah，额定电压≥16.8V，最大剪切直径≥25mm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电动果树修剪机(电池容量≥4AH；额定电压≥24V；最大剪切直径≥40mm)</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锂电池2组，每组电池额定容量≥4AH；额定电压≥24V；最大剪切直径≥40mm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花卉（茶叶）采收机械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采茶机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单人采茶机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单人操作</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花卉（茶叶）采收机械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采茶机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双人采茶机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双人操作</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根茎作物收获机械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薯类收获机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0.7-1m分段式薯类收获机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分段收获；0.7m≤作业幅宽＜1m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根茎作物收获机械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薯类收获机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1-1.5m分段式薯类收获机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分段收获；1m≤作业幅宽＜1.5m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脱粒机械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稻麦脱粒机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生产率300kg/h及以上稻麦脱粒机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生产率≥300kg/h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2.2kW及以上碾米机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配套功率≥2.2kW；含电机、碾米装置</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组合米机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7.5kW及以上碾米加工成套设备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配套总功率≥7.5kW；含砻谷机、清理设备、碾米机、谷糙分离机、抛光机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果蔬加工机械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水果分级机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机械鲜果分选,生产率3t/h及以上水果分级机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机械鲜果分选；生产率≥3t/h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果蔬加工机械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水果打蜡机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生产率≥3t/h的打蜡机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生产率≥3t/h；提升机构、清洗烘干机、打蜡机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燃气式杀青机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杀青方式：燃气式</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滚筒直径40-60cm杀青机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40cm≤滚筒直径＜60cm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滚筒直径60cm及以上杀青机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揉筒直径35-50cm揉捻机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35cm≤揉筒直径＜50cm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揉筒直径50-60cm揉捻机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50cm≤揉筒直径＜60cm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揉筒直径60cm及以上揉捻机(含揉捻机组)</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非全自动茶叶炒干机(含扁形茶炒制机)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非全自动茶叶炒干机、扁形茶炒制机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烘干面积10㎡以下百叶式茶叶烘干机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百叶式茶叶烘干机；烘干面积＜10㎡</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6"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烘干面积10㎡及以上连续自动式茶叶烘干机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连续自动式茶叶烘干机；烘干面积≥10㎡</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茶叶筛选机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其他茶叶筛选机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其他茶叶筛选机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茶叶理条机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锅槽面积0.5-1㎡理条烘干机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理条烘干机；0.5㎡≤锅槽面积＜1㎡</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水泵</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潜水电泵</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2.2-7.5kW潜水泵</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2.2kW≤电机功率＜7.5kW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水泵</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潜水电泵</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7.5-9.2kW潜水泵</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7.5kW≤电机功率＜9.2kW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喷灌机械设备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喷灌机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汽油机轻小型机组式喷灌机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汽油机；轻小型机组式喷灌机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揉丝机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2-4t/h揉丝机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2t/h≤干草（含水率≤17%）生产率＜4t/h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揉丝机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4-6t/h揉丝机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4t/h≤干草（含水率≤17%）生产率＜6t/h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饲料（草）粉碎机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400-550mm饲料粉碎机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400mm≤转子直径＜550mm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饲料（草）粉碎机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400mm以下饲料粉碎机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转子直径＜400mm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饲料混合机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2m³以下混合机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混合室容积＜2m³；卧式；单轴</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饲料混合机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立式混合机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立式混合机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粪污固液分离机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电机总功率5-10kW固液分离机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5kW≤电机总功率＜10kW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10000-20000枚孵化机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10000枚≤蛋容量＜20000枚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20000-50000枚孵化机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20000枚≤蛋容量＜50000枚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50000枚及以上孵化机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蛋容量≥50000枚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普通型增氧机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普通型增氧机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微孔曝气式增氧机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曝气式增氧机；功率≥1kW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9"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网箱养殖设备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集装箱养殖设备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20呎集装箱规格要求（尺寸规格：长6.1m,宽2.4m，高2.8m）；主要受力构件采用集装箱专用角件，主体结构采用高强度、耐候耐腐蚀的集装箱专用钢材SPA-H，或等同质量及以上的钢材。（含安装、调试等）(集装箱数量≥5组.需配备水泵、干湿分离器、臭氧机及箱体里进出水、气循环套体等，符合养殖鱼类环境要求。)</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手扶拖拉机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11马力及以上直联传动手扶拖拉机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传动方式：直联传动；功率≥11马力</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库容50-100m³简易保鲜储藏设备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50m³≤库容＜100m³，机组总功率≥2kW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库容100-300m³简易保鲜储藏设备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100m³≤库容＜300m³，机组总功率≥3.5kW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库容300-500m³简易保鲜储藏设备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300m³≤库容＜500m³，机组总功率≥8kW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库容500-1000m³简易保鲜储藏设备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500m³≤库容＜1000m³，机组总功率≥13kW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农业用北斗终端及辅助驾驶系统（含渔船用）</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电动方向盘,直线精度±10cm的北斗导航辅助驾驶系统</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电动方向盘，北斗导航辅助驾驶系统，直线精度±10cm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驱动耙</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2m以下驱动耙</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作业幅宽＜2m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驱动耙</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2-3m驱动耙</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2m≤作业幅宽＜3m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执行单元数60-128个的茶叶色选机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60个应用CCD图像传感器技术＜执行单元数＜128个应用CCD图像传感器技术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执行单元数128-256个的茶叶色选机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128个应用CCD图像传感器技术≤执行单元数＜256个应用CCD图像传感器技术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执行单元数256个及以上的茶叶色选机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执行单元数≥256个应用CCD图像传感器技术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bl>
    <w:p>
      <w:pPr>
        <w:adjustRightInd w:val="0"/>
        <w:snapToGrid w:val="0"/>
        <w:spacing w:beforeLines="0" w:afterLines="0" w:line="590" w:lineRule="exact"/>
        <w:ind w:right="0" w:firstLine="0" w:firstLineChars="0"/>
        <w:jc w:val="both"/>
        <w:rPr>
          <w:rFonts w:hint="eastAsia" w:ascii="方正小标宋简体" w:hAnsi="方正小标宋简体" w:eastAsia="方正小标宋简体" w:cs="方正小标宋简体"/>
          <w:i w:val="0"/>
          <w:caps w:val="0"/>
          <w:snapToGrid w:val="0"/>
          <w:color w:val="auto"/>
          <w:spacing w:val="0"/>
          <w:sz w:val="44"/>
          <w:szCs w:val="44"/>
          <w:shd w:val="clear" w:color="auto" w:fill="FFFFFF"/>
          <w:lang w:val="en-US" w:eastAsia="zh-CN"/>
        </w:rPr>
      </w:pPr>
    </w:p>
    <w:p>
      <w:pPr>
        <w:pStyle w:val="10"/>
        <w:ind w:left="1264" w:leftChars="100" w:right="316" w:rightChars="100" w:hanging="948" w:hangingChars="300"/>
        <w:rPr>
          <w:rFonts w:hint="eastAsia"/>
          <w:snapToGrid w:val="0"/>
          <w:kern w:val="0"/>
        </w:rPr>
      </w:pPr>
      <w:bookmarkStart w:id="0" w:name="抄送"/>
      <w:bookmarkEnd w:id="0"/>
    </w:p>
    <w:p/>
    <w:sectPr>
      <w:footerReference r:id="rId3" w:type="default"/>
      <w:pgSz w:w="16838" w:h="11906" w:orient="landscape"/>
      <w:pgMar w:top="1531" w:right="1871" w:bottom="1531" w:left="1871" w:header="851" w:footer="1417" w:gutter="0"/>
      <w:cols w:space="720" w:num="1"/>
      <w:titlePg/>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A4A2D"/>
    <w:rsid w:val="0EF27073"/>
    <w:rsid w:val="16BA4A2D"/>
    <w:rsid w:val="2A52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customStyle="1" w:styleId="6">
    <w:name w:val="font71"/>
    <w:basedOn w:val="4"/>
    <w:qFormat/>
    <w:uiPriority w:val="0"/>
    <w:rPr>
      <w:rFonts w:ascii="font-weight : 400" w:hAnsi="font-weight : 400" w:eastAsia="font-weight : 400" w:cs="font-weight : 400"/>
      <w:color w:val="000000"/>
      <w:sz w:val="22"/>
      <w:szCs w:val="22"/>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 w:type="character" w:customStyle="1" w:styleId="8">
    <w:name w:val="font61"/>
    <w:basedOn w:val="4"/>
    <w:uiPriority w:val="0"/>
    <w:rPr>
      <w:rFonts w:hint="eastAsia" w:ascii="宋体" w:hAnsi="宋体" w:eastAsia="宋体" w:cs="宋体"/>
      <w:color w:val="000000"/>
      <w:sz w:val="20"/>
      <w:szCs w:val="20"/>
      <w:u w:val="none"/>
    </w:rPr>
  </w:style>
  <w:style w:type="character" w:customStyle="1" w:styleId="9">
    <w:name w:val="font11"/>
    <w:basedOn w:val="4"/>
    <w:uiPriority w:val="0"/>
    <w:rPr>
      <w:rFonts w:hint="eastAsia" w:ascii="宋体" w:hAnsi="宋体" w:eastAsia="宋体" w:cs="宋体"/>
      <w:color w:val="000000"/>
      <w:sz w:val="22"/>
      <w:szCs w:val="22"/>
      <w:u w:val="none"/>
    </w:rPr>
  </w:style>
  <w:style w:type="paragraph" w:customStyle="1" w:styleId="10">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2021-07-26T07:19:00Z</dcterms:created>
  <dc:creator>胡</dc:creator>
  <cp:lastModifiedBy>84965</cp:lastModifiedBy>
  <dcterms:modified xsi:type="dcterms:W3CDTF">2021-07-26T08:21:22Z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53B4981B92444773A35550A17B0AD0CC</vt:lpwstr>
  </property>
</Properties>
</file>