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7"/>
        <w:pageBreakBefore w:val="0"/>
        <w:kinsoku/>
        <w:wordWrap/>
        <w:overflowPunct/>
        <w:topLinePunct w:val="0"/>
        <w:bidi w:val="0"/>
        <w:spacing w:line="360" w:lineRule="auto"/>
        <w:jc w:val="center"/>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项目绩效自评报告</w:t>
      </w:r>
    </w:p>
    <w:p>
      <w:pPr>
        <w:pageBreakBefore w:val="0"/>
        <w:kinsoku/>
        <w:wordWrap/>
        <w:overflowPunct/>
        <w:topLinePunct w:val="0"/>
        <w:bidi w:val="0"/>
        <w:spacing w:line="360" w:lineRule="auto"/>
        <w:ind w:firstLine="450" w:firstLineChars="150"/>
        <w:rPr>
          <w:rFonts w:hint="eastAsia" w:ascii="仿宋_GB2312" w:eastAsia="仿宋_GB2312"/>
          <w:color w:val="auto"/>
          <w:sz w:val="30"/>
          <w:szCs w:val="30"/>
        </w:rPr>
      </w:pPr>
    </w:p>
    <w:p>
      <w:pPr>
        <w:pStyle w:val="13"/>
        <w:rPr>
          <w:rFonts w:hint="eastAsia"/>
          <w:color w:val="auto"/>
        </w:rPr>
      </w:pPr>
    </w:p>
    <w:p>
      <w:pPr>
        <w:pageBreakBefore w:val="0"/>
        <w:kinsoku/>
        <w:wordWrap/>
        <w:overflowPunct/>
        <w:topLinePunct w:val="0"/>
        <w:bidi w:val="0"/>
        <w:spacing w:line="360" w:lineRule="auto"/>
        <w:ind w:firstLine="450" w:firstLineChars="150"/>
        <w:rPr>
          <w:rFonts w:hint="eastAsia" w:ascii="仿宋_GB2312" w:eastAsia="仿宋_GB2312"/>
          <w:color w:val="auto"/>
          <w:sz w:val="30"/>
          <w:szCs w:val="30"/>
        </w:rPr>
      </w:pPr>
    </w:p>
    <w:p>
      <w:pPr>
        <w:pStyle w:val="13"/>
        <w:rPr>
          <w:rFonts w:hint="eastAsia" w:ascii="仿宋_GB2312" w:eastAsia="仿宋_GB2312"/>
          <w:color w:val="auto"/>
          <w:sz w:val="30"/>
          <w:szCs w:val="30"/>
        </w:rPr>
      </w:pPr>
    </w:p>
    <w:p>
      <w:pPr>
        <w:rPr>
          <w:rFonts w:hint="eastAsia"/>
          <w:color w:val="auto"/>
        </w:rPr>
      </w:pPr>
    </w:p>
    <w:p>
      <w:pPr>
        <w:pageBreakBefore w:val="0"/>
        <w:kinsoku/>
        <w:wordWrap/>
        <w:overflowPunct/>
        <w:topLinePunct w:val="0"/>
        <w:bidi w:val="0"/>
        <w:spacing w:line="360" w:lineRule="auto"/>
        <w:ind w:firstLine="450" w:firstLineChars="150"/>
        <w:rPr>
          <w:rFonts w:hint="eastAsia" w:ascii="仿宋_GB2312" w:eastAsia="仿宋_GB2312"/>
          <w:color w:val="auto"/>
          <w:sz w:val="30"/>
          <w:szCs w:val="30"/>
        </w:rPr>
      </w:pPr>
    </w:p>
    <w:p>
      <w:pPr>
        <w:pageBreakBefore w:val="0"/>
        <w:kinsoku/>
        <w:wordWrap/>
        <w:overflowPunct/>
        <w:topLinePunct w:val="0"/>
        <w:bidi w:val="0"/>
        <w:spacing w:line="360" w:lineRule="auto"/>
        <w:ind w:firstLine="450" w:firstLineChars="150"/>
        <w:rPr>
          <w:rFonts w:hint="eastAsia" w:ascii="仿宋_GB2312" w:eastAsia="仿宋_GB2312"/>
          <w:color w:val="auto"/>
          <w:sz w:val="30"/>
          <w:szCs w:val="30"/>
        </w:rPr>
      </w:pPr>
    </w:p>
    <w:p>
      <w:pPr>
        <w:pageBreakBefore w:val="0"/>
        <w:kinsoku/>
        <w:wordWrap/>
        <w:overflowPunct/>
        <w:topLinePunct w:val="0"/>
        <w:bidi w:val="0"/>
        <w:spacing w:line="360" w:lineRule="auto"/>
        <w:ind w:firstLine="450" w:firstLineChars="150"/>
        <w:rPr>
          <w:rFonts w:hint="eastAsia" w:ascii="仿宋_GB2312" w:eastAsia="仿宋_GB2312"/>
          <w:color w:val="auto"/>
          <w:sz w:val="30"/>
          <w:szCs w:val="30"/>
        </w:rPr>
      </w:pPr>
    </w:p>
    <w:p>
      <w:pPr>
        <w:keepNext w:val="0"/>
        <w:keepLines w:val="0"/>
        <w:pageBreakBefore w:val="0"/>
        <w:widowControl w:val="0"/>
        <w:kinsoku/>
        <w:wordWrap/>
        <w:overflowPunct/>
        <w:topLinePunct w:val="0"/>
        <w:autoSpaceDE/>
        <w:autoSpaceDN/>
        <w:bidi w:val="0"/>
        <w:adjustRightInd/>
        <w:snapToGrid w:val="0"/>
        <w:spacing w:beforeLines="0" w:afterLines="0" w:line="360" w:lineRule="auto"/>
        <w:ind w:left="4798" w:leftChars="304" w:hanging="4160" w:hangingChars="1300"/>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rPr>
        <w:t>专项资金</w:t>
      </w:r>
      <w:r>
        <w:rPr>
          <w:rFonts w:hint="eastAsia" w:ascii="仿宋_GB2312" w:eastAsia="仿宋_GB2312"/>
          <w:color w:val="auto"/>
          <w:sz w:val="32"/>
          <w:szCs w:val="32"/>
          <w:lang w:eastAsia="zh-CN"/>
        </w:rPr>
        <w:t>“财政事权”</w:t>
      </w:r>
      <w:r>
        <w:rPr>
          <w:rFonts w:hint="eastAsia" w:ascii="仿宋_GB2312" w:eastAsia="仿宋_GB2312"/>
          <w:color w:val="auto"/>
          <w:sz w:val="32"/>
          <w:szCs w:val="32"/>
        </w:rPr>
        <w:t>名称：其他事业发展支出</w:t>
      </w:r>
    </w:p>
    <w:p>
      <w:pPr>
        <w:keepNext w:val="0"/>
        <w:keepLines w:val="0"/>
        <w:pageBreakBefore w:val="0"/>
        <w:widowControl w:val="0"/>
        <w:kinsoku/>
        <w:wordWrap/>
        <w:overflowPunct/>
        <w:topLinePunct w:val="0"/>
        <w:autoSpaceDE/>
        <w:autoSpaceDN/>
        <w:bidi w:val="0"/>
        <w:adjustRightInd/>
        <w:snapToGrid w:val="0"/>
        <w:spacing w:beforeLines="0" w:afterLines="0" w:line="360" w:lineRule="auto"/>
        <w:ind w:left="4158" w:leftChars="304" w:hanging="3520" w:hangingChars="1100"/>
        <w:jc w:val="both"/>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对应“政策任务”数量:1项（2019年</w:t>
      </w:r>
      <w:r>
        <w:rPr>
          <w:rFonts w:hint="eastAsia" w:ascii="仿宋_GB2312" w:eastAsia="仿宋_GB2312"/>
          <w:color w:val="auto"/>
          <w:sz w:val="32"/>
          <w:szCs w:val="32"/>
          <w:highlight w:val="none"/>
          <w:lang w:val="en-US" w:eastAsia="zh-CN"/>
        </w:rPr>
        <w:t>休（禁）渔渔民生产生活补助资金</w:t>
      </w:r>
      <w:r>
        <w:rPr>
          <w:rFonts w:hint="eastAsia" w:ascii="仿宋_GB2312" w:eastAsia="仿宋_GB2312"/>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beforeLines="0" w:afterLines="0" w:line="360" w:lineRule="auto"/>
        <w:ind w:firstLine="640" w:firstLineChars="200"/>
        <w:textAlignment w:val="auto"/>
        <w:rPr>
          <w:rFonts w:hint="eastAsia" w:ascii="仿宋_GB2312" w:eastAsia="仿宋_GB2312"/>
          <w:color w:val="auto"/>
          <w:sz w:val="32"/>
          <w:szCs w:val="32"/>
          <w:lang w:eastAsia="zh-CN"/>
        </w:rPr>
      </w:pPr>
      <w:r>
        <w:rPr>
          <w:rFonts w:hint="eastAsia" w:ascii="仿宋_GB2312" w:eastAsia="仿宋_GB2312"/>
          <w:color w:val="auto"/>
          <w:sz w:val="32"/>
          <w:szCs w:val="32"/>
        </w:rPr>
        <w:t>省级预算部门：</w:t>
      </w:r>
      <w:r>
        <w:rPr>
          <w:rFonts w:hint="eastAsia" w:ascii="仿宋_GB2312" w:eastAsia="仿宋_GB2312"/>
          <w:color w:val="auto"/>
          <w:sz w:val="32"/>
          <w:szCs w:val="32"/>
          <w:lang w:eastAsia="zh-CN"/>
        </w:rPr>
        <w:t>广东省农业农村厅</w:t>
      </w:r>
    </w:p>
    <w:p>
      <w:pPr>
        <w:keepNext w:val="0"/>
        <w:keepLines w:val="0"/>
        <w:pageBreakBefore w:val="0"/>
        <w:widowControl w:val="0"/>
        <w:kinsoku/>
        <w:wordWrap/>
        <w:overflowPunct/>
        <w:topLinePunct w:val="0"/>
        <w:autoSpaceDE/>
        <w:autoSpaceDN/>
        <w:bidi w:val="0"/>
        <w:adjustRightInd/>
        <w:snapToGrid w:val="0"/>
        <w:spacing w:beforeLines="0" w:afterLines="0" w:line="360" w:lineRule="auto"/>
        <w:ind w:firstLine="640" w:firstLineChars="200"/>
        <w:textAlignment w:val="auto"/>
        <w:rPr>
          <w:rFonts w:hint="eastAsia" w:ascii="仿宋" w:hAnsi="仿宋" w:eastAsia="仿宋" w:cs="仿宋"/>
          <w:color w:val="auto"/>
          <w:sz w:val="32"/>
          <w:szCs w:val="32"/>
          <w:highlight w:val="none"/>
          <w:lang w:val="en-US" w:eastAsia="zh-CN"/>
        </w:rPr>
      </w:pPr>
    </w:p>
    <w:p>
      <w:pPr>
        <w:pStyle w:val="2"/>
        <w:rPr>
          <w:rFonts w:hint="eastAsia" w:ascii="仿宋" w:hAnsi="仿宋" w:eastAsia="仿宋" w:cs="仿宋"/>
          <w:color w:val="auto"/>
          <w:sz w:val="32"/>
          <w:szCs w:val="32"/>
          <w:highlight w:val="none"/>
          <w:lang w:val="en-US" w:eastAsia="zh-CN"/>
        </w:rPr>
      </w:pPr>
    </w:p>
    <w:p>
      <w:pPr>
        <w:pStyle w:val="2"/>
        <w:rPr>
          <w:rFonts w:hint="eastAsia" w:ascii="仿宋" w:hAnsi="仿宋" w:eastAsia="仿宋" w:cs="仿宋"/>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val="0"/>
        <w:spacing w:beforeLines="0" w:afterLines="0" w:line="360" w:lineRule="auto"/>
        <w:ind w:firstLine="640" w:firstLineChars="200"/>
        <w:jc w:val="center"/>
        <w:textAlignment w:val="auto"/>
        <w:rPr>
          <w:rFonts w:hint="eastAsia" w:ascii="黑体" w:hAnsi="黑体"/>
          <w:bCs/>
          <w:color w:val="auto"/>
        </w:rPr>
      </w:pPr>
      <w:bookmarkStart w:id="74" w:name="_GoBack"/>
      <w:bookmarkEnd w:id="74"/>
      <w:r>
        <w:rPr>
          <w:rFonts w:hint="eastAsia" w:ascii="仿宋_GB2312" w:eastAsia="仿宋_GB2312"/>
          <w:color w:val="auto"/>
          <w:sz w:val="32"/>
          <w:szCs w:val="32"/>
        </w:rPr>
        <w:t>填报日期：</w:t>
      </w:r>
      <w:r>
        <w:rPr>
          <w:rFonts w:hint="eastAsia" w:ascii="仿宋_GB2312" w:eastAsia="仿宋_GB2312"/>
          <w:color w:val="auto"/>
          <w:sz w:val="32"/>
          <w:szCs w:val="32"/>
          <w:lang w:val="en-US" w:eastAsia="zh-CN"/>
        </w:rPr>
        <w:t>2021年9月28日</w:t>
      </w:r>
    </w:p>
    <w:p>
      <w:pPr>
        <w:rPr>
          <w:rFonts w:hint="eastAsia" w:ascii="黑体" w:hAnsi="黑体"/>
          <w:bCs/>
          <w:color w:val="auto"/>
        </w:rPr>
      </w:pPr>
    </w:p>
    <w:p>
      <w:pPr>
        <w:pStyle w:val="13"/>
        <w:rPr>
          <w:rFonts w:hint="eastAsia" w:ascii="黑体" w:hAnsi="黑体"/>
          <w:bCs/>
          <w:color w:val="auto"/>
        </w:rPr>
      </w:pPr>
    </w:p>
    <w:p>
      <w:pPr>
        <w:pStyle w:val="13"/>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_GB2312" w:hAnsi="Times New Roman" w:eastAsia="仿宋_GB2312" w:cs="Times New Roman"/>
          <w:b w:val="0"/>
          <w:bCs w:val="0"/>
          <w:color w:val="auto"/>
          <w:kern w:val="2"/>
          <w:sz w:val="32"/>
          <w:szCs w:val="32"/>
          <w:lang w:val="en-US" w:eastAsia="zh-CN" w:bidi="ar-SA"/>
        </w:rPr>
      </w:pPr>
    </w:p>
    <w:p>
      <w:pPr>
        <w:pStyle w:val="13"/>
        <w:rPr>
          <w:rFonts w:hint="eastAsia"/>
          <w:lang w:val="en-US" w:eastAsia="zh-CN"/>
        </w:rPr>
      </w:pPr>
    </w:p>
    <w:p>
      <w:pPr>
        <w:pStyle w:val="13"/>
        <w:rPr>
          <w:rFonts w:hint="eastAsia"/>
          <w:color w:val="auto"/>
          <w:lang w:val="en-US" w:eastAsia="zh-CN"/>
        </w:rPr>
      </w:pPr>
    </w:p>
    <w:p>
      <w:pPr>
        <w:spacing w:before="0" w:beforeLines="0" w:after="0" w:afterLines="0" w:line="240" w:lineRule="auto"/>
        <w:ind w:left="0" w:leftChars="0" w:right="0" w:rightChars="0" w:firstLine="0" w:firstLineChars="0"/>
        <w:jc w:val="center"/>
        <w:rPr>
          <w:rFonts w:ascii="宋体" w:hAnsi="宋体" w:eastAsia="宋体" w:cs="Times New Roman"/>
          <w:kern w:val="2"/>
          <w:sz w:val="21"/>
          <w:szCs w:val="24"/>
          <w:lang w:val="en-US" w:eastAsia="zh-CN" w:bidi="ar-SA"/>
        </w:rPr>
        <w:sectPr>
          <w:pgSz w:w="11906" w:h="16838"/>
          <w:pgMar w:top="2041" w:right="1417" w:bottom="1417" w:left="1531" w:header="851" w:footer="992" w:gutter="0"/>
          <w:pgNumType w:fmt="numberInDash" w:start="1"/>
          <w:cols w:space="720" w:num="1"/>
          <w:docGrid w:type="lines" w:linePitch="312" w:charSpace="0"/>
        </w:sectPr>
      </w:pPr>
    </w:p>
    <w:sdt>
      <w:sdtPr>
        <w:rPr>
          <w:rFonts w:ascii="宋体" w:hAnsi="宋体" w:eastAsia="宋体" w:cs="Times New Roman"/>
          <w:kern w:val="2"/>
          <w:sz w:val="21"/>
          <w:szCs w:val="24"/>
          <w:lang w:val="en-US" w:eastAsia="zh-CN" w:bidi="ar-SA"/>
        </w:rPr>
        <w:id w:val="147456223"/>
        <w15:color w:val="DBDBDB"/>
        <w:docPartObj>
          <w:docPartGallery w:val="Table of Contents"/>
          <w:docPartUnique/>
        </w:docPartObj>
      </w:sdtPr>
      <w:sdtEndPr>
        <w:rPr>
          <w:rFonts w:ascii="宋体" w:hAnsi="宋体" w:eastAsia="宋体" w:cs="Times New Roman"/>
          <w:b/>
          <w:kern w:val="2"/>
          <w:sz w:val="21"/>
          <w:szCs w:val="24"/>
          <w:lang w:val="en-US" w:eastAsia="zh-CN" w:bidi="ar-SA"/>
        </w:rPr>
      </w:sdtEndPr>
      <w:sdtContent>
        <w:p>
          <w:pPr>
            <w:spacing w:before="0" w:beforeLines="0" w:after="0" w:afterLines="0" w:line="240" w:lineRule="auto"/>
            <w:ind w:left="0" w:leftChars="0" w:right="0" w:rightChars="0" w:firstLine="0" w:firstLineChars="0"/>
            <w:jc w:val="center"/>
            <w:rPr>
              <w:rFonts w:hint="eastAsia" w:ascii="方正小标宋简体" w:hAnsi="方正小标宋简体" w:eastAsia="方正小标宋简体" w:cs="方正小标宋简体"/>
              <w:b w:val="0"/>
              <w:bCs w:val="0"/>
              <w:color w:val="auto"/>
              <w:kern w:val="2"/>
              <w:sz w:val="44"/>
              <w:szCs w:val="44"/>
              <w:highlight w:val="none"/>
              <w:lang w:val="en-US" w:eastAsia="zh-CN" w:bidi="ar-SA"/>
            </w:rPr>
          </w:pPr>
          <w:r>
            <w:rPr>
              <w:rFonts w:hint="eastAsia" w:ascii="方正小标宋简体" w:hAnsi="方正小标宋简体" w:eastAsia="方正小标宋简体" w:cs="方正小标宋简体"/>
              <w:b w:val="0"/>
              <w:bCs w:val="0"/>
              <w:color w:val="auto"/>
              <w:kern w:val="2"/>
              <w:sz w:val="44"/>
              <w:szCs w:val="44"/>
              <w:highlight w:val="none"/>
              <w:lang w:val="en-US" w:eastAsia="zh-CN" w:bidi="ar-SA"/>
            </w:rPr>
            <w:t>目 录</w:t>
          </w:r>
        </w:p>
        <w:p>
          <w:pPr>
            <w:pStyle w:val="13"/>
            <w:rPr>
              <w:rFonts w:hint="eastAsia" w:ascii="宋体" w:hAnsi="宋体" w:eastAsia="宋体" w:cs="宋体"/>
              <w:lang w:val="en-US" w:eastAsia="zh-CN"/>
            </w:rPr>
          </w:pPr>
        </w:p>
        <w:p>
          <w:pPr>
            <w:pStyle w:val="11"/>
            <w:pageBreakBefore w:val="0"/>
            <w:tabs>
              <w:tab w:val="right" w:leader="dot" w:pos="8296"/>
            </w:tabs>
            <w:kinsoku/>
            <w:wordWrap/>
            <w:overflowPunct/>
            <w:topLinePunct w:val="0"/>
            <w:bidi w:val="0"/>
            <w:spacing w:line="360" w:lineRule="auto"/>
            <w:rPr>
              <w:rStyle w:val="17"/>
              <w:rFonts w:hint="eastAsia" w:ascii="仿宋_GB2312" w:hAnsi="黑体" w:eastAsia="仿宋_GB2312"/>
              <w:bCs/>
              <w:color w:val="auto"/>
              <w:sz w:val="32"/>
              <w:szCs w:val="32"/>
              <w:highlight w:val="none"/>
            </w:rPr>
          </w:pPr>
          <w:r>
            <w:fldChar w:fldCharType="begin"/>
          </w:r>
          <w:r>
            <w:instrText xml:space="preserve">TOC \o "1-2" \h \u </w:instrText>
          </w:r>
          <w:r>
            <w:fldChar w:fldCharType="separate"/>
          </w: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HYPERLINK \l _Toc31395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rPr>
            <w:t>一、基本情况</w:t>
          </w:r>
          <w:r>
            <w:rPr>
              <w:rStyle w:val="17"/>
              <w:rFonts w:hint="eastAsia" w:ascii="仿宋_GB2312" w:hAnsi="黑体" w:eastAsia="仿宋_GB2312"/>
              <w:bCs/>
              <w:color w:val="auto"/>
              <w:sz w:val="32"/>
              <w:szCs w:val="32"/>
              <w:highlight w:val="none"/>
            </w:rPr>
            <w:tab/>
          </w: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PAGEREF _Toc31395 \h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rPr>
            <w:t>- 1 -</w:t>
          </w:r>
          <w:r>
            <w:rPr>
              <w:rStyle w:val="17"/>
              <w:rFonts w:hint="eastAsia" w:ascii="仿宋_GB2312" w:hAnsi="黑体" w:eastAsia="仿宋_GB2312"/>
              <w:bCs/>
              <w:color w:val="auto"/>
              <w:sz w:val="32"/>
              <w:szCs w:val="32"/>
              <w:highlight w:val="none"/>
            </w:rPr>
            <w:fldChar w:fldCharType="end"/>
          </w:r>
          <w:r>
            <w:rPr>
              <w:rStyle w:val="17"/>
              <w:rFonts w:hint="eastAsia" w:ascii="仿宋_GB2312" w:hAnsi="黑体" w:eastAsia="仿宋_GB2312"/>
              <w:bCs/>
              <w:color w:val="auto"/>
              <w:sz w:val="32"/>
              <w:szCs w:val="32"/>
              <w:highlight w:val="none"/>
            </w:rPr>
            <w:fldChar w:fldCharType="end"/>
          </w:r>
        </w:p>
        <w:p>
          <w:pPr>
            <w:pStyle w:val="11"/>
            <w:pageBreakBefore w:val="0"/>
            <w:tabs>
              <w:tab w:val="right" w:leader="dot" w:pos="8296"/>
            </w:tabs>
            <w:kinsoku/>
            <w:wordWrap/>
            <w:overflowPunct/>
            <w:topLinePunct w:val="0"/>
            <w:bidi w:val="0"/>
            <w:spacing w:line="360" w:lineRule="auto"/>
            <w:rPr>
              <w:rStyle w:val="17"/>
              <w:rFonts w:hint="eastAsia" w:ascii="仿宋_GB2312" w:hAnsi="黑体" w:eastAsia="仿宋_GB2312"/>
              <w:bCs/>
              <w:color w:val="auto"/>
              <w:sz w:val="32"/>
              <w:szCs w:val="32"/>
              <w:highlight w:val="none"/>
            </w:rPr>
          </w:pP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HYPERLINK \l _Toc4322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lang w:val="en-US" w:eastAsia="zh-CN"/>
            </w:rPr>
            <w:t>（一）资金安排情况</w:t>
          </w:r>
          <w:r>
            <w:rPr>
              <w:rStyle w:val="17"/>
              <w:rFonts w:hint="eastAsia" w:ascii="仿宋_GB2312" w:hAnsi="黑体" w:eastAsia="仿宋_GB2312"/>
              <w:bCs/>
              <w:color w:val="auto"/>
              <w:sz w:val="32"/>
              <w:szCs w:val="32"/>
              <w:highlight w:val="none"/>
            </w:rPr>
            <w:tab/>
          </w: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PAGEREF _Toc4322 \h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rPr>
            <w:t>- 1 -</w:t>
          </w:r>
          <w:r>
            <w:rPr>
              <w:rStyle w:val="17"/>
              <w:rFonts w:hint="eastAsia" w:ascii="仿宋_GB2312" w:hAnsi="黑体" w:eastAsia="仿宋_GB2312"/>
              <w:bCs/>
              <w:color w:val="auto"/>
              <w:sz w:val="32"/>
              <w:szCs w:val="32"/>
              <w:highlight w:val="none"/>
            </w:rPr>
            <w:fldChar w:fldCharType="end"/>
          </w:r>
          <w:r>
            <w:rPr>
              <w:rStyle w:val="17"/>
              <w:rFonts w:hint="eastAsia" w:ascii="仿宋_GB2312" w:hAnsi="黑体" w:eastAsia="仿宋_GB2312"/>
              <w:bCs/>
              <w:color w:val="auto"/>
              <w:sz w:val="32"/>
              <w:szCs w:val="32"/>
              <w:highlight w:val="none"/>
            </w:rPr>
            <w:fldChar w:fldCharType="end"/>
          </w:r>
        </w:p>
        <w:p>
          <w:pPr>
            <w:pStyle w:val="11"/>
            <w:pageBreakBefore w:val="0"/>
            <w:tabs>
              <w:tab w:val="right" w:leader="dot" w:pos="8296"/>
            </w:tabs>
            <w:kinsoku/>
            <w:wordWrap/>
            <w:overflowPunct/>
            <w:topLinePunct w:val="0"/>
            <w:bidi w:val="0"/>
            <w:spacing w:line="360" w:lineRule="auto"/>
            <w:rPr>
              <w:rStyle w:val="17"/>
              <w:rFonts w:hint="eastAsia" w:ascii="仿宋_GB2312" w:hAnsi="黑体" w:eastAsia="仿宋_GB2312"/>
              <w:bCs/>
              <w:color w:val="auto"/>
              <w:sz w:val="32"/>
              <w:szCs w:val="32"/>
              <w:highlight w:val="none"/>
            </w:rPr>
          </w:pP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HYPERLINK \l _Toc16590 </w:instrText>
          </w:r>
          <w:r>
            <w:rPr>
              <w:rStyle w:val="17"/>
              <w:rFonts w:hint="eastAsia" w:ascii="仿宋_GB2312" w:hAnsi="黑体" w:eastAsia="仿宋_GB2312"/>
              <w:bCs/>
              <w:color w:val="auto"/>
              <w:sz w:val="32"/>
              <w:szCs w:val="32"/>
              <w:highlight w:val="none"/>
            </w:rPr>
            <w:fldChar w:fldCharType="separate"/>
          </w:r>
          <w:r>
            <w:rPr>
              <w:rStyle w:val="17"/>
              <w:rFonts w:hint="default" w:ascii="仿宋_GB2312" w:hAnsi="黑体" w:eastAsia="仿宋_GB2312"/>
              <w:bCs/>
              <w:color w:val="auto"/>
              <w:sz w:val="32"/>
              <w:szCs w:val="32"/>
              <w:highlight w:val="none"/>
              <w:lang w:val="en-US" w:eastAsia="zh-CN"/>
            </w:rPr>
            <w:t>（二）资金分配方式和实施程序</w:t>
          </w:r>
          <w:r>
            <w:rPr>
              <w:rStyle w:val="17"/>
              <w:rFonts w:hint="eastAsia" w:ascii="仿宋_GB2312" w:hAnsi="黑体" w:eastAsia="仿宋_GB2312"/>
              <w:bCs/>
              <w:color w:val="auto"/>
              <w:sz w:val="32"/>
              <w:szCs w:val="32"/>
              <w:highlight w:val="none"/>
            </w:rPr>
            <w:tab/>
          </w: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PAGEREF _Toc16590 \h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rPr>
            <w:t>- 2 -</w:t>
          </w:r>
          <w:r>
            <w:rPr>
              <w:rStyle w:val="17"/>
              <w:rFonts w:hint="eastAsia" w:ascii="仿宋_GB2312" w:hAnsi="黑体" w:eastAsia="仿宋_GB2312"/>
              <w:bCs/>
              <w:color w:val="auto"/>
              <w:sz w:val="32"/>
              <w:szCs w:val="32"/>
              <w:highlight w:val="none"/>
            </w:rPr>
            <w:fldChar w:fldCharType="end"/>
          </w:r>
          <w:r>
            <w:rPr>
              <w:rStyle w:val="17"/>
              <w:rFonts w:hint="eastAsia" w:ascii="仿宋_GB2312" w:hAnsi="黑体" w:eastAsia="仿宋_GB2312"/>
              <w:bCs/>
              <w:color w:val="auto"/>
              <w:sz w:val="32"/>
              <w:szCs w:val="32"/>
              <w:highlight w:val="none"/>
            </w:rPr>
            <w:fldChar w:fldCharType="end"/>
          </w:r>
        </w:p>
        <w:p>
          <w:pPr>
            <w:pStyle w:val="11"/>
            <w:pageBreakBefore w:val="0"/>
            <w:tabs>
              <w:tab w:val="right" w:leader="dot" w:pos="8296"/>
            </w:tabs>
            <w:kinsoku/>
            <w:wordWrap/>
            <w:overflowPunct/>
            <w:topLinePunct w:val="0"/>
            <w:bidi w:val="0"/>
            <w:spacing w:line="360" w:lineRule="auto"/>
            <w:rPr>
              <w:rStyle w:val="17"/>
              <w:rFonts w:hint="eastAsia" w:ascii="仿宋_GB2312" w:hAnsi="黑体" w:eastAsia="仿宋_GB2312"/>
              <w:bCs/>
              <w:color w:val="auto"/>
              <w:sz w:val="32"/>
              <w:szCs w:val="32"/>
              <w:highlight w:val="none"/>
            </w:rPr>
          </w:pP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HYPERLINK \l _Toc10244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lang w:val="en-US" w:eastAsia="zh-CN"/>
            </w:rPr>
            <w:t>（三）主要用途</w:t>
          </w:r>
          <w:r>
            <w:rPr>
              <w:rStyle w:val="17"/>
              <w:rFonts w:hint="eastAsia" w:ascii="仿宋_GB2312" w:hAnsi="黑体" w:eastAsia="仿宋_GB2312"/>
              <w:bCs/>
              <w:color w:val="auto"/>
              <w:sz w:val="32"/>
              <w:szCs w:val="32"/>
              <w:highlight w:val="none"/>
            </w:rPr>
            <w:tab/>
          </w: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PAGEREF _Toc10244 \h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rPr>
            <w:t>- 3 -</w:t>
          </w:r>
          <w:r>
            <w:rPr>
              <w:rStyle w:val="17"/>
              <w:rFonts w:hint="eastAsia" w:ascii="仿宋_GB2312" w:hAnsi="黑体" w:eastAsia="仿宋_GB2312"/>
              <w:bCs/>
              <w:color w:val="auto"/>
              <w:sz w:val="32"/>
              <w:szCs w:val="32"/>
              <w:highlight w:val="none"/>
            </w:rPr>
            <w:fldChar w:fldCharType="end"/>
          </w:r>
          <w:r>
            <w:rPr>
              <w:rStyle w:val="17"/>
              <w:rFonts w:hint="eastAsia" w:ascii="仿宋_GB2312" w:hAnsi="黑体" w:eastAsia="仿宋_GB2312"/>
              <w:bCs/>
              <w:color w:val="auto"/>
              <w:sz w:val="32"/>
              <w:szCs w:val="32"/>
              <w:highlight w:val="none"/>
            </w:rPr>
            <w:fldChar w:fldCharType="end"/>
          </w:r>
        </w:p>
        <w:p>
          <w:pPr>
            <w:pStyle w:val="11"/>
            <w:pageBreakBefore w:val="0"/>
            <w:tabs>
              <w:tab w:val="right" w:leader="dot" w:pos="8296"/>
            </w:tabs>
            <w:kinsoku/>
            <w:wordWrap/>
            <w:overflowPunct/>
            <w:topLinePunct w:val="0"/>
            <w:bidi w:val="0"/>
            <w:spacing w:line="360" w:lineRule="auto"/>
            <w:rPr>
              <w:rStyle w:val="17"/>
              <w:rFonts w:hint="eastAsia" w:ascii="仿宋_GB2312" w:hAnsi="黑体" w:eastAsia="仿宋_GB2312"/>
              <w:bCs/>
              <w:color w:val="auto"/>
              <w:sz w:val="32"/>
              <w:szCs w:val="32"/>
              <w:highlight w:val="none"/>
            </w:rPr>
          </w:pP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HYPERLINK \l _Toc24738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lang w:val="en-US" w:eastAsia="zh-CN"/>
            </w:rPr>
            <w:t>（四）绩效目标</w:t>
          </w:r>
          <w:r>
            <w:rPr>
              <w:rStyle w:val="17"/>
              <w:rFonts w:hint="eastAsia" w:ascii="仿宋_GB2312" w:hAnsi="黑体" w:eastAsia="仿宋_GB2312"/>
              <w:bCs/>
              <w:color w:val="auto"/>
              <w:sz w:val="32"/>
              <w:szCs w:val="32"/>
              <w:highlight w:val="none"/>
            </w:rPr>
            <w:tab/>
          </w: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PAGEREF _Toc24738 \h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rPr>
            <w:t>- 4 -</w:t>
          </w:r>
          <w:r>
            <w:rPr>
              <w:rStyle w:val="17"/>
              <w:rFonts w:hint="eastAsia" w:ascii="仿宋_GB2312" w:hAnsi="黑体" w:eastAsia="仿宋_GB2312"/>
              <w:bCs/>
              <w:color w:val="auto"/>
              <w:sz w:val="32"/>
              <w:szCs w:val="32"/>
              <w:highlight w:val="none"/>
            </w:rPr>
            <w:fldChar w:fldCharType="end"/>
          </w:r>
          <w:r>
            <w:rPr>
              <w:rStyle w:val="17"/>
              <w:rFonts w:hint="eastAsia" w:ascii="仿宋_GB2312" w:hAnsi="黑体" w:eastAsia="仿宋_GB2312"/>
              <w:bCs/>
              <w:color w:val="auto"/>
              <w:sz w:val="32"/>
              <w:szCs w:val="32"/>
              <w:highlight w:val="none"/>
            </w:rPr>
            <w:fldChar w:fldCharType="end"/>
          </w:r>
        </w:p>
        <w:p>
          <w:pPr>
            <w:pStyle w:val="11"/>
            <w:pageBreakBefore w:val="0"/>
            <w:tabs>
              <w:tab w:val="right" w:leader="dot" w:pos="8296"/>
            </w:tabs>
            <w:kinsoku/>
            <w:wordWrap/>
            <w:overflowPunct/>
            <w:topLinePunct w:val="0"/>
            <w:bidi w:val="0"/>
            <w:spacing w:line="360" w:lineRule="auto"/>
            <w:rPr>
              <w:rStyle w:val="17"/>
              <w:rFonts w:hint="eastAsia" w:ascii="仿宋_GB2312" w:hAnsi="黑体" w:eastAsia="仿宋_GB2312"/>
              <w:bCs/>
              <w:color w:val="auto"/>
              <w:sz w:val="32"/>
              <w:szCs w:val="32"/>
              <w:highlight w:val="none"/>
            </w:rPr>
          </w:pP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HYPERLINK \l _Toc12922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lang w:val="en-US" w:eastAsia="zh-CN"/>
            </w:rPr>
            <w:t>二、自评情况</w:t>
          </w:r>
          <w:r>
            <w:rPr>
              <w:rStyle w:val="17"/>
              <w:rFonts w:hint="eastAsia" w:ascii="仿宋_GB2312" w:hAnsi="黑体" w:eastAsia="仿宋_GB2312"/>
              <w:bCs/>
              <w:color w:val="auto"/>
              <w:sz w:val="32"/>
              <w:szCs w:val="32"/>
              <w:highlight w:val="none"/>
            </w:rPr>
            <w:tab/>
          </w: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PAGEREF _Toc12922 \h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rPr>
            <w:t>- 4 -</w:t>
          </w:r>
          <w:r>
            <w:rPr>
              <w:rStyle w:val="17"/>
              <w:rFonts w:hint="eastAsia" w:ascii="仿宋_GB2312" w:hAnsi="黑体" w:eastAsia="仿宋_GB2312"/>
              <w:bCs/>
              <w:color w:val="auto"/>
              <w:sz w:val="32"/>
              <w:szCs w:val="32"/>
              <w:highlight w:val="none"/>
            </w:rPr>
            <w:fldChar w:fldCharType="end"/>
          </w:r>
          <w:r>
            <w:rPr>
              <w:rStyle w:val="17"/>
              <w:rFonts w:hint="eastAsia" w:ascii="仿宋_GB2312" w:hAnsi="黑体" w:eastAsia="仿宋_GB2312"/>
              <w:bCs/>
              <w:color w:val="auto"/>
              <w:sz w:val="32"/>
              <w:szCs w:val="32"/>
              <w:highlight w:val="none"/>
            </w:rPr>
            <w:fldChar w:fldCharType="end"/>
          </w:r>
        </w:p>
        <w:p>
          <w:pPr>
            <w:pStyle w:val="11"/>
            <w:pageBreakBefore w:val="0"/>
            <w:tabs>
              <w:tab w:val="right" w:leader="dot" w:pos="8296"/>
            </w:tabs>
            <w:kinsoku/>
            <w:wordWrap/>
            <w:overflowPunct/>
            <w:topLinePunct w:val="0"/>
            <w:bidi w:val="0"/>
            <w:spacing w:line="360" w:lineRule="auto"/>
            <w:rPr>
              <w:rStyle w:val="17"/>
              <w:rFonts w:hint="eastAsia" w:ascii="仿宋_GB2312" w:hAnsi="黑体" w:eastAsia="仿宋_GB2312"/>
              <w:bCs/>
              <w:color w:val="auto"/>
              <w:sz w:val="32"/>
              <w:szCs w:val="32"/>
              <w:highlight w:val="none"/>
            </w:rPr>
          </w:pP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HYPERLINK \l _Toc13961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lang w:val="en-US" w:eastAsia="zh-CN"/>
            </w:rPr>
            <w:t>（一）自评分数</w:t>
          </w:r>
          <w:r>
            <w:rPr>
              <w:rStyle w:val="17"/>
              <w:rFonts w:hint="eastAsia" w:ascii="仿宋_GB2312" w:hAnsi="黑体" w:eastAsia="仿宋_GB2312"/>
              <w:bCs/>
              <w:color w:val="auto"/>
              <w:sz w:val="32"/>
              <w:szCs w:val="32"/>
              <w:highlight w:val="none"/>
            </w:rPr>
            <w:tab/>
          </w: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PAGEREF _Toc13961 \h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rPr>
            <w:t>- 4 -</w:t>
          </w:r>
          <w:r>
            <w:rPr>
              <w:rStyle w:val="17"/>
              <w:rFonts w:hint="eastAsia" w:ascii="仿宋_GB2312" w:hAnsi="黑体" w:eastAsia="仿宋_GB2312"/>
              <w:bCs/>
              <w:color w:val="auto"/>
              <w:sz w:val="32"/>
              <w:szCs w:val="32"/>
              <w:highlight w:val="none"/>
            </w:rPr>
            <w:fldChar w:fldCharType="end"/>
          </w:r>
          <w:r>
            <w:rPr>
              <w:rStyle w:val="17"/>
              <w:rFonts w:hint="eastAsia" w:ascii="仿宋_GB2312" w:hAnsi="黑体" w:eastAsia="仿宋_GB2312"/>
              <w:bCs/>
              <w:color w:val="auto"/>
              <w:sz w:val="32"/>
              <w:szCs w:val="32"/>
              <w:highlight w:val="none"/>
            </w:rPr>
            <w:fldChar w:fldCharType="end"/>
          </w:r>
        </w:p>
        <w:p>
          <w:pPr>
            <w:pStyle w:val="11"/>
            <w:pageBreakBefore w:val="0"/>
            <w:tabs>
              <w:tab w:val="right" w:leader="dot" w:pos="8296"/>
            </w:tabs>
            <w:kinsoku/>
            <w:wordWrap/>
            <w:overflowPunct/>
            <w:topLinePunct w:val="0"/>
            <w:bidi w:val="0"/>
            <w:spacing w:line="360" w:lineRule="auto"/>
            <w:rPr>
              <w:rStyle w:val="17"/>
              <w:rFonts w:hint="eastAsia" w:ascii="仿宋_GB2312" w:hAnsi="黑体" w:eastAsia="仿宋_GB2312"/>
              <w:bCs/>
              <w:color w:val="auto"/>
              <w:sz w:val="32"/>
              <w:szCs w:val="32"/>
              <w:highlight w:val="none"/>
            </w:rPr>
          </w:pP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HYPERLINK \l _Toc14219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lang w:val="en-US" w:eastAsia="zh-CN"/>
            </w:rPr>
            <w:t>（二）专项资金使用绩效</w:t>
          </w:r>
          <w:r>
            <w:rPr>
              <w:rStyle w:val="17"/>
              <w:rFonts w:hint="eastAsia" w:ascii="仿宋_GB2312" w:hAnsi="黑体" w:eastAsia="仿宋_GB2312"/>
              <w:bCs/>
              <w:color w:val="auto"/>
              <w:sz w:val="32"/>
              <w:szCs w:val="32"/>
              <w:highlight w:val="none"/>
            </w:rPr>
            <w:tab/>
          </w: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PAGEREF _Toc14219 \h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rPr>
            <w:t>- 9 -</w:t>
          </w:r>
          <w:r>
            <w:rPr>
              <w:rStyle w:val="17"/>
              <w:rFonts w:hint="eastAsia" w:ascii="仿宋_GB2312" w:hAnsi="黑体" w:eastAsia="仿宋_GB2312"/>
              <w:bCs/>
              <w:color w:val="auto"/>
              <w:sz w:val="32"/>
              <w:szCs w:val="32"/>
              <w:highlight w:val="none"/>
            </w:rPr>
            <w:fldChar w:fldCharType="end"/>
          </w:r>
          <w:r>
            <w:rPr>
              <w:rStyle w:val="17"/>
              <w:rFonts w:hint="eastAsia" w:ascii="仿宋_GB2312" w:hAnsi="黑体" w:eastAsia="仿宋_GB2312"/>
              <w:bCs/>
              <w:color w:val="auto"/>
              <w:sz w:val="32"/>
              <w:szCs w:val="32"/>
              <w:highlight w:val="none"/>
            </w:rPr>
            <w:fldChar w:fldCharType="end"/>
          </w:r>
        </w:p>
        <w:p>
          <w:pPr>
            <w:pStyle w:val="11"/>
            <w:pageBreakBefore w:val="0"/>
            <w:tabs>
              <w:tab w:val="right" w:leader="dot" w:pos="8296"/>
            </w:tabs>
            <w:kinsoku/>
            <w:wordWrap/>
            <w:overflowPunct/>
            <w:topLinePunct w:val="0"/>
            <w:bidi w:val="0"/>
            <w:spacing w:line="360" w:lineRule="auto"/>
            <w:rPr>
              <w:rStyle w:val="17"/>
              <w:rFonts w:hint="eastAsia" w:ascii="仿宋_GB2312" w:hAnsi="黑体" w:eastAsia="仿宋_GB2312"/>
              <w:bCs/>
              <w:color w:val="auto"/>
              <w:sz w:val="32"/>
              <w:szCs w:val="32"/>
              <w:highlight w:val="none"/>
            </w:rPr>
          </w:pP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HYPERLINK \l _Toc24361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lang w:val="en-US" w:eastAsia="zh-CN"/>
            </w:rPr>
            <w:t>（三）专项资金使用绩效存在的问题</w:t>
          </w:r>
          <w:r>
            <w:rPr>
              <w:rStyle w:val="17"/>
              <w:rFonts w:hint="eastAsia" w:ascii="仿宋_GB2312" w:hAnsi="黑体" w:eastAsia="仿宋_GB2312"/>
              <w:bCs/>
              <w:color w:val="auto"/>
              <w:sz w:val="32"/>
              <w:szCs w:val="32"/>
              <w:highlight w:val="none"/>
            </w:rPr>
            <w:tab/>
          </w: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PAGEREF _Toc24361 \h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rPr>
            <w:t>- 11 -</w:t>
          </w:r>
          <w:r>
            <w:rPr>
              <w:rStyle w:val="17"/>
              <w:rFonts w:hint="eastAsia" w:ascii="仿宋_GB2312" w:hAnsi="黑体" w:eastAsia="仿宋_GB2312"/>
              <w:bCs/>
              <w:color w:val="auto"/>
              <w:sz w:val="32"/>
              <w:szCs w:val="32"/>
              <w:highlight w:val="none"/>
            </w:rPr>
            <w:fldChar w:fldCharType="end"/>
          </w:r>
          <w:r>
            <w:rPr>
              <w:rStyle w:val="17"/>
              <w:rFonts w:hint="eastAsia" w:ascii="仿宋_GB2312" w:hAnsi="黑体" w:eastAsia="仿宋_GB2312"/>
              <w:bCs/>
              <w:color w:val="auto"/>
              <w:sz w:val="32"/>
              <w:szCs w:val="32"/>
              <w:highlight w:val="none"/>
            </w:rPr>
            <w:fldChar w:fldCharType="end"/>
          </w:r>
        </w:p>
        <w:p>
          <w:pPr>
            <w:pStyle w:val="11"/>
            <w:pageBreakBefore w:val="0"/>
            <w:tabs>
              <w:tab w:val="right" w:leader="dot" w:pos="8296"/>
            </w:tabs>
            <w:kinsoku/>
            <w:wordWrap/>
            <w:overflowPunct/>
            <w:topLinePunct w:val="0"/>
            <w:bidi w:val="0"/>
            <w:spacing w:line="360" w:lineRule="auto"/>
            <w:rPr>
              <w:rStyle w:val="17"/>
              <w:rFonts w:hint="eastAsia" w:ascii="仿宋_GB2312" w:hAnsi="黑体" w:eastAsia="仿宋_GB2312"/>
              <w:bCs/>
              <w:color w:val="auto"/>
              <w:sz w:val="32"/>
              <w:szCs w:val="32"/>
              <w:highlight w:val="none"/>
            </w:rPr>
          </w:pP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HYPERLINK \l _Toc12755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lang w:val="en-US" w:eastAsia="zh-CN"/>
            </w:rPr>
            <w:t>三、</w:t>
          </w:r>
          <w:r>
            <w:rPr>
              <w:rStyle w:val="17"/>
              <w:rFonts w:hint="eastAsia" w:ascii="仿宋_GB2312" w:hAnsi="黑体" w:eastAsia="仿宋_GB2312"/>
              <w:bCs/>
              <w:color w:val="auto"/>
              <w:sz w:val="32"/>
              <w:szCs w:val="32"/>
              <w:highlight w:val="none"/>
            </w:rPr>
            <w:t>改进意见</w:t>
          </w:r>
          <w:r>
            <w:rPr>
              <w:rStyle w:val="17"/>
              <w:rFonts w:hint="eastAsia" w:ascii="仿宋_GB2312" w:hAnsi="黑体" w:eastAsia="仿宋_GB2312"/>
              <w:bCs/>
              <w:color w:val="auto"/>
              <w:sz w:val="32"/>
              <w:szCs w:val="32"/>
              <w:highlight w:val="none"/>
              <w:lang w:eastAsia="zh-CN"/>
            </w:rPr>
            <w:t>和建议</w:t>
          </w:r>
          <w:r>
            <w:rPr>
              <w:rStyle w:val="17"/>
              <w:rFonts w:hint="eastAsia" w:ascii="仿宋_GB2312" w:hAnsi="黑体" w:eastAsia="仿宋_GB2312"/>
              <w:bCs/>
              <w:color w:val="auto"/>
              <w:sz w:val="32"/>
              <w:szCs w:val="32"/>
              <w:highlight w:val="none"/>
            </w:rPr>
            <w:tab/>
          </w: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PAGEREF _Toc12755 \h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rPr>
            <w:t>- 12 -</w:t>
          </w:r>
          <w:r>
            <w:rPr>
              <w:rStyle w:val="17"/>
              <w:rFonts w:hint="eastAsia" w:ascii="仿宋_GB2312" w:hAnsi="黑体" w:eastAsia="仿宋_GB2312"/>
              <w:bCs/>
              <w:color w:val="auto"/>
              <w:sz w:val="32"/>
              <w:szCs w:val="32"/>
              <w:highlight w:val="none"/>
            </w:rPr>
            <w:fldChar w:fldCharType="end"/>
          </w:r>
          <w:r>
            <w:rPr>
              <w:rStyle w:val="17"/>
              <w:rFonts w:hint="eastAsia" w:ascii="仿宋_GB2312" w:hAnsi="黑体" w:eastAsia="仿宋_GB2312"/>
              <w:bCs/>
              <w:color w:val="auto"/>
              <w:sz w:val="32"/>
              <w:szCs w:val="32"/>
              <w:highlight w:val="none"/>
            </w:rPr>
            <w:fldChar w:fldCharType="end"/>
          </w:r>
        </w:p>
        <w:p>
          <w:pPr>
            <w:pStyle w:val="11"/>
            <w:pageBreakBefore w:val="0"/>
            <w:tabs>
              <w:tab w:val="right" w:leader="dot" w:pos="8296"/>
            </w:tabs>
            <w:kinsoku/>
            <w:wordWrap/>
            <w:overflowPunct/>
            <w:topLinePunct w:val="0"/>
            <w:bidi w:val="0"/>
            <w:spacing w:line="360" w:lineRule="auto"/>
            <w:rPr>
              <w:rStyle w:val="17"/>
              <w:rFonts w:hint="eastAsia" w:ascii="仿宋_GB2312" w:hAnsi="黑体" w:eastAsia="仿宋_GB2312"/>
              <w:bCs/>
              <w:color w:val="auto"/>
              <w:sz w:val="32"/>
              <w:szCs w:val="32"/>
              <w:highlight w:val="none"/>
            </w:rPr>
          </w:pP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HYPERLINK \l _Toc16629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lang w:val="en-US" w:eastAsia="zh-CN"/>
            </w:rPr>
            <w:t>（一）完善目标设置流程，加强目标审核把关</w:t>
          </w:r>
          <w:r>
            <w:rPr>
              <w:rStyle w:val="17"/>
              <w:rFonts w:hint="eastAsia" w:ascii="仿宋_GB2312" w:hAnsi="黑体" w:eastAsia="仿宋_GB2312"/>
              <w:bCs/>
              <w:color w:val="auto"/>
              <w:sz w:val="32"/>
              <w:szCs w:val="32"/>
              <w:highlight w:val="none"/>
            </w:rPr>
            <w:tab/>
          </w: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PAGEREF _Toc16629 \h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rPr>
            <w:t>- 12 -</w:t>
          </w:r>
          <w:r>
            <w:rPr>
              <w:rStyle w:val="17"/>
              <w:rFonts w:hint="eastAsia" w:ascii="仿宋_GB2312" w:hAnsi="黑体" w:eastAsia="仿宋_GB2312"/>
              <w:bCs/>
              <w:color w:val="auto"/>
              <w:sz w:val="32"/>
              <w:szCs w:val="32"/>
              <w:highlight w:val="none"/>
            </w:rPr>
            <w:fldChar w:fldCharType="end"/>
          </w:r>
          <w:r>
            <w:rPr>
              <w:rStyle w:val="17"/>
              <w:rFonts w:hint="eastAsia" w:ascii="仿宋_GB2312" w:hAnsi="黑体" w:eastAsia="仿宋_GB2312"/>
              <w:bCs/>
              <w:color w:val="auto"/>
              <w:sz w:val="32"/>
              <w:szCs w:val="32"/>
              <w:highlight w:val="none"/>
            </w:rPr>
            <w:fldChar w:fldCharType="end"/>
          </w:r>
        </w:p>
        <w:p>
          <w:pPr>
            <w:pStyle w:val="11"/>
            <w:pageBreakBefore w:val="0"/>
            <w:tabs>
              <w:tab w:val="right" w:leader="dot" w:pos="8296"/>
            </w:tabs>
            <w:kinsoku/>
            <w:wordWrap/>
            <w:overflowPunct/>
            <w:topLinePunct w:val="0"/>
            <w:bidi w:val="0"/>
            <w:spacing w:line="360" w:lineRule="auto"/>
            <w:rPr>
              <w:b/>
            </w:rPr>
          </w:pP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HYPERLINK \l _Toc4892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lang w:val="en-US" w:eastAsia="zh-CN"/>
            </w:rPr>
            <w:t>（二）强化主管部门责任，落实专项资金管理细则</w:t>
          </w:r>
          <w:r>
            <w:rPr>
              <w:rStyle w:val="17"/>
              <w:rFonts w:hint="eastAsia" w:ascii="仿宋_GB2312" w:hAnsi="黑体" w:eastAsia="仿宋_GB2312"/>
              <w:bCs/>
              <w:color w:val="auto"/>
              <w:sz w:val="32"/>
              <w:szCs w:val="32"/>
              <w:highlight w:val="none"/>
            </w:rPr>
            <w:tab/>
          </w:r>
          <w:r>
            <w:rPr>
              <w:rStyle w:val="17"/>
              <w:rFonts w:hint="eastAsia" w:ascii="仿宋_GB2312" w:hAnsi="黑体" w:eastAsia="仿宋_GB2312"/>
              <w:bCs/>
              <w:color w:val="auto"/>
              <w:sz w:val="32"/>
              <w:szCs w:val="32"/>
              <w:highlight w:val="none"/>
            </w:rPr>
            <w:fldChar w:fldCharType="begin"/>
          </w:r>
          <w:r>
            <w:rPr>
              <w:rStyle w:val="17"/>
              <w:rFonts w:hint="eastAsia" w:ascii="仿宋_GB2312" w:hAnsi="黑体" w:eastAsia="仿宋_GB2312"/>
              <w:bCs/>
              <w:color w:val="auto"/>
              <w:sz w:val="32"/>
              <w:szCs w:val="32"/>
              <w:highlight w:val="none"/>
            </w:rPr>
            <w:instrText xml:space="preserve"> PAGEREF _Toc4892 \h </w:instrText>
          </w:r>
          <w:r>
            <w:rPr>
              <w:rStyle w:val="17"/>
              <w:rFonts w:hint="eastAsia" w:ascii="仿宋_GB2312" w:hAnsi="黑体" w:eastAsia="仿宋_GB2312"/>
              <w:bCs/>
              <w:color w:val="auto"/>
              <w:sz w:val="32"/>
              <w:szCs w:val="32"/>
              <w:highlight w:val="none"/>
            </w:rPr>
            <w:fldChar w:fldCharType="separate"/>
          </w:r>
          <w:r>
            <w:rPr>
              <w:rStyle w:val="17"/>
              <w:rFonts w:hint="eastAsia" w:ascii="仿宋_GB2312" w:hAnsi="黑体" w:eastAsia="仿宋_GB2312"/>
              <w:bCs/>
              <w:color w:val="auto"/>
              <w:sz w:val="32"/>
              <w:szCs w:val="32"/>
              <w:highlight w:val="none"/>
            </w:rPr>
            <w:t>- 12 -</w:t>
          </w:r>
          <w:r>
            <w:rPr>
              <w:rStyle w:val="17"/>
              <w:rFonts w:hint="eastAsia" w:ascii="仿宋_GB2312" w:hAnsi="黑体" w:eastAsia="仿宋_GB2312"/>
              <w:bCs/>
              <w:color w:val="auto"/>
              <w:sz w:val="32"/>
              <w:szCs w:val="32"/>
              <w:highlight w:val="none"/>
            </w:rPr>
            <w:fldChar w:fldCharType="end"/>
          </w:r>
          <w:r>
            <w:rPr>
              <w:rStyle w:val="17"/>
              <w:rFonts w:hint="eastAsia" w:ascii="仿宋_GB2312" w:hAnsi="黑体" w:eastAsia="仿宋_GB2312"/>
              <w:bCs/>
              <w:color w:val="auto"/>
              <w:sz w:val="32"/>
              <w:szCs w:val="32"/>
              <w:highlight w:val="none"/>
            </w:rPr>
            <w:fldChar w:fldCharType="end"/>
          </w:r>
        </w:p>
        <w:p>
          <w:r>
            <w:rPr>
              <w:b/>
            </w:rPr>
            <w:fldChar w:fldCharType="end"/>
          </w:r>
        </w:p>
      </w:sdtContent>
    </w:sdt>
    <w:p>
      <w:pPr>
        <w:pStyle w:val="13"/>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_GB2312" w:hAnsi="Times New Roman" w:eastAsia="仿宋_GB2312" w:cs="Times New Roman"/>
          <w:b w:val="0"/>
          <w:bCs w:val="0"/>
          <w:color w:val="auto"/>
          <w:kern w:val="2"/>
          <w:sz w:val="32"/>
          <w:szCs w:val="32"/>
          <w:lang w:val="en-US" w:eastAsia="zh-CN" w:bidi="ar-SA"/>
        </w:rPr>
        <w:sectPr>
          <w:footerReference r:id="rId3" w:type="default"/>
          <w:pgSz w:w="11906" w:h="16838"/>
          <w:pgMar w:top="2041" w:right="1417" w:bottom="1417" w:left="1531" w:header="851" w:footer="992" w:gutter="0"/>
          <w:pgNumType w:fmt="numberInDash" w:start="1"/>
          <w:cols w:space="720" w:num="1"/>
          <w:docGrid w:type="lines" w:linePitch="312" w:charSpace="0"/>
        </w:sectPr>
      </w:pPr>
    </w:p>
    <w:p>
      <w:pPr>
        <w:pStyle w:val="13"/>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color w:val="auto"/>
        </w:rPr>
      </w:pPr>
      <w:r>
        <w:rPr>
          <w:rFonts w:hint="eastAsia" w:ascii="仿宋_GB2312" w:hAnsi="Times New Roman" w:eastAsia="仿宋_GB2312" w:cs="Times New Roman"/>
          <w:b w:val="0"/>
          <w:bCs w:val="0"/>
          <w:color w:val="auto"/>
          <w:kern w:val="2"/>
          <w:sz w:val="32"/>
          <w:szCs w:val="32"/>
          <w:lang w:val="en-US" w:eastAsia="zh-CN" w:bidi="ar-SA"/>
        </w:rPr>
        <w:t>根据《广东省财政厅关于开展2021年省级财政资金绩效自评工作的通知》和《关于做好省农业农村厅2021年省级财政资金绩效自评工作的通知》，我厅对2019年休（禁）渔渔民生产生活补助资金使用情况组织开展了绩效自评。</w:t>
      </w:r>
    </w:p>
    <w:p>
      <w:pPr>
        <w:pStyle w:val="14"/>
        <w:pageBreakBefore w:val="0"/>
        <w:kinsoku/>
        <w:wordWrap/>
        <w:overflowPunct/>
        <w:topLinePunct w:val="0"/>
        <w:bidi w:val="0"/>
        <w:spacing w:before="0" w:after="0" w:line="360" w:lineRule="auto"/>
        <w:ind w:firstLine="640"/>
        <w:jc w:val="both"/>
        <w:rPr>
          <w:rFonts w:hint="eastAsia" w:ascii="黑体" w:hAnsi="黑体"/>
          <w:bCs/>
          <w:color w:val="auto"/>
        </w:rPr>
      </w:pPr>
      <w:bookmarkStart w:id="0" w:name="_Toc31395"/>
      <w:bookmarkStart w:id="1" w:name="_Toc8560"/>
      <w:r>
        <w:rPr>
          <w:rFonts w:hint="eastAsia" w:ascii="黑体" w:hAnsi="黑体"/>
          <w:bCs/>
          <w:color w:val="auto"/>
        </w:rPr>
        <w:t>一、基本情况</w:t>
      </w:r>
      <w:bookmarkEnd w:id="0"/>
      <w:bookmarkEnd w:id="1"/>
    </w:p>
    <w:p>
      <w:pPr>
        <w:pStyle w:val="3"/>
        <w:keepNext/>
        <w:keepLines/>
        <w:pageBreakBefore w:val="0"/>
        <w:widowControl w:val="0"/>
        <w:numPr>
          <w:ilvl w:val="0"/>
          <w:numId w:val="0"/>
        </w:numPr>
        <w:kinsoku/>
        <w:wordWrap/>
        <w:overflowPunct/>
        <w:topLinePunct w:val="0"/>
        <w:autoSpaceDE/>
        <w:autoSpaceDN/>
        <w:bidi w:val="0"/>
        <w:adjustRightInd/>
        <w:snapToGrid/>
        <w:spacing w:before="0" w:after="0" w:line="360" w:lineRule="auto"/>
        <w:ind w:firstLine="642" w:firstLineChars="200"/>
        <w:textAlignment w:val="auto"/>
        <w:outlineLvl w:val="1"/>
        <w:rPr>
          <w:rFonts w:hint="default" w:ascii="Calibri" w:hAnsi="宋体" w:eastAsia="楷体_GB2312" w:cs="Times New Roman"/>
          <w:b/>
          <w:bCs/>
          <w:color w:val="auto"/>
          <w:kern w:val="44"/>
          <w:sz w:val="32"/>
          <w:szCs w:val="44"/>
          <w:lang w:val="en-US" w:eastAsia="zh-CN" w:bidi="ar-SA"/>
        </w:rPr>
      </w:pPr>
      <w:bookmarkStart w:id="2" w:name="_Toc4322"/>
      <w:bookmarkStart w:id="3" w:name="_Toc8169"/>
      <w:r>
        <w:rPr>
          <w:rFonts w:hint="eastAsia" w:ascii="Calibri" w:hAnsi="宋体" w:eastAsia="楷体_GB2312" w:cs="Times New Roman"/>
          <w:b/>
          <w:bCs/>
          <w:color w:val="auto"/>
          <w:kern w:val="44"/>
          <w:sz w:val="32"/>
          <w:szCs w:val="44"/>
          <w:lang w:val="en-US" w:eastAsia="zh-CN" w:bidi="ar-SA"/>
        </w:rPr>
        <w:t>（一）资金安排情况</w:t>
      </w:r>
      <w:bookmarkEnd w:id="2"/>
      <w:bookmarkEnd w:id="3"/>
    </w:p>
    <w:p>
      <w:pPr>
        <w:pStyle w:val="13"/>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_GB2312" w:hAnsi="Times New Roman" w:eastAsia="仿宋_GB2312" w:cs="Times New Roman"/>
          <w:b w:val="0"/>
          <w:bCs w:val="0"/>
          <w:color w:val="auto"/>
          <w:kern w:val="2"/>
          <w:sz w:val="32"/>
          <w:szCs w:val="32"/>
          <w:lang w:val="en-US" w:eastAsia="zh-CN" w:bidi="ar-SA"/>
        </w:rPr>
      </w:pPr>
      <w:bookmarkStart w:id="4" w:name="_Toc16722"/>
      <w:r>
        <w:rPr>
          <w:rFonts w:hint="eastAsia" w:ascii="仿宋_GB2312" w:hAnsi="Times New Roman" w:eastAsia="仿宋_GB2312" w:cs="Times New Roman"/>
          <w:b w:val="0"/>
          <w:bCs w:val="0"/>
          <w:color w:val="auto"/>
          <w:kern w:val="2"/>
          <w:sz w:val="32"/>
          <w:szCs w:val="32"/>
          <w:lang w:val="en-US" w:eastAsia="zh-CN" w:bidi="ar-SA"/>
        </w:rPr>
        <w:t>1.为贯彻落实科学发展观，促进南海伏季休渔和珠江禁渔等制度顺利实施，缓解休（禁）渔期间渔民群众因执行休（禁）渔制度造成的生计损失，维护渔区稳定，省财政设立专项资金，用于休（禁）渔渔民生产生活补助。《关于下达2019年省级休（禁）渔渔民生产生活补助资金的通知》（粤财农〔2019〕160号）下达专项资金3358万元，按因素法分配下达给汕头市等14个地市用于2019年休（禁）渔渔民生产生活补助。根据《广东省海洋与渔业厅 省财政厅关于印发关于印发〈广东省休（禁）渔渔民生产生活补助发放实施方案〉的通知》（粤海渔〔2018〕25号）规定的补助标准，资金不足部分由切块下达到各地的渔业成品油价格补贴一般性转移支付资金兜底解决。超出最低补助标准部分的资金由各地财政自主配套解决。2019年省级休（禁）渔渔民生产生活补助资金分配情况详见表1-1。</w:t>
      </w:r>
      <w:bookmarkEnd w:id="4"/>
    </w:p>
    <w:p>
      <w:pPr>
        <w:rPr>
          <w:rFonts w:hint="eastAsia" w:ascii="仿宋_GB2312" w:eastAsia="仿宋_GB2312" w:cs="Times New Roman"/>
          <w:b w:val="0"/>
          <w:bCs w:val="0"/>
          <w:color w:val="auto"/>
          <w:sz w:val="32"/>
          <w:szCs w:val="32"/>
          <w:lang w:val="en-US" w:eastAsia="zh-CN"/>
        </w:rPr>
      </w:pPr>
    </w:p>
    <w:p>
      <w:pPr>
        <w:pStyle w:val="13"/>
        <w:rPr>
          <w:rFonts w:hint="default"/>
          <w:color w:val="auto"/>
          <w:lang w:val="en-US" w:eastAsia="zh-CN"/>
        </w:rPr>
      </w:pPr>
    </w:p>
    <w:p>
      <w:pPr>
        <w:pStyle w:val="13"/>
        <w:rPr>
          <w:rFonts w:hint="eastAsia"/>
          <w:color w:val="auto"/>
          <w:lang w:val="en-US" w:eastAsia="zh-CN"/>
        </w:rPr>
      </w:pPr>
    </w:p>
    <w:p>
      <w:pPr>
        <w:pStyle w:val="13"/>
        <w:ind w:left="0" w:leftChars="0" w:firstLine="0" w:firstLineChars="0"/>
        <w:jc w:val="center"/>
        <w:rPr>
          <w:rFonts w:hint="eastAsia"/>
          <w:color w:val="auto"/>
          <w:lang w:val="en-US" w:eastAsia="zh-CN"/>
        </w:rPr>
      </w:pPr>
      <w:r>
        <w:rPr>
          <w:rFonts w:hint="eastAsia" w:ascii="黑体" w:hAnsi="黑体" w:eastAsia="黑体" w:cs="黑体"/>
          <w:b w:val="0"/>
          <w:bCs w:val="0"/>
          <w:i w:val="0"/>
          <w:color w:val="auto"/>
          <w:kern w:val="0"/>
          <w:sz w:val="28"/>
          <w:szCs w:val="28"/>
          <w:u w:val="none"/>
          <w:lang w:val="en-US" w:eastAsia="zh-CN" w:bidi="ar"/>
        </w:rPr>
        <w:t>表1-1 2019年省级休（禁）渔渔民生产生活补助资金分配情况表</w:t>
      </w:r>
    </w:p>
    <w:tbl>
      <w:tblPr>
        <w:tblStyle w:val="15"/>
        <w:tblW w:w="8400" w:type="dxa"/>
        <w:jc w:val="center"/>
        <w:shd w:val="clear" w:color="auto" w:fill="auto"/>
        <w:tblLayout w:type="fixed"/>
        <w:tblCellMar>
          <w:top w:w="0" w:type="dxa"/>
          <w:left w:w="0" w:type="dxa"/>
          <w:bottom w:w="0" w:type="dxa"/>
          <w:right w:w="0" w:type="dxa"/>
        </w:tblCellMar>
      </w:tblPr>
      <w:tblGrid>
        <w:gridCol w:w="1399"/>
        <w:gridCol w:w="3500"/>
        <w:gridCol w:w="3501"/>
      </w:tblGrid>
      <w:tr>
        <w:tblPrEx>
          <w:shd w:val="clear" w:color="auto" w:fill="auto"/>
          <w:tblCellMar>
            <w:top w:w="0" w:type="dxa"/>
            <w:left w:w="0" w:type="dxa"/>
            <w:bottom w:w="0" w:type="dxa"/>
            <w:right w:w="0" w:type="dxa"/>
          </w:tblCellMar>
        </w:tblPrEx>
        <w:trPr>
          <w:trHeight w:val="312" w:hRule="atLeast"/>
          <w:jc w:val="center"/>
        </w:trPr>
        <w:tc>
          <w:tcPr>
            <w:tcW w:w="139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ascii="黑体" w:hAnsi="宋体" w:eastAsia="黑体" w:cs="黑体"/>
                <w:i w:val="0"/>
                <w:color w:val="auto"/>
                <w:sz w:val="24"/>
                <w:szCs w:val="24"/>
                <w:u w:val="none"/>
              </w:rPr>
            </w:pPr>
            <w:r>
              <w:rPr>
                <w:rFonts w:hint="eastAsia" w:ascii="黑体" w:hAnsi="宋体" w:eastAsia="黑体" w:cs="黑体"/>
                <w:i w:val="0"/>
                <w:color w:val="auto"/>
                <w:kern w:val="0"/>
                <w:sz w:val="24"/>
                <w:szCs w:val="24"/>
                <w:u w:val="none"/>
                <w:lang w:val="en-US" w:eastAsia="zh-CN" w:bidi="ar"/>
              </w:rPr>
              <w:t>序号</w:t>
            </w:r>
          </w:p>
        </w:tc>
        <w:tc>
          <w:tcPr>
            <w:tcW w:w="350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黑体" w:hAnsi="宋体" w:eastAsia="黑体" w:cs="黑体"/>
                <w:i w:val="0"/>
                <w:color w:val="auto"/>
                <w:sz w:val="24"/>
                <w:szCs w:val="24"/>
                <w:u w:val="none"/>
              </w:rPr>
            </w:pPr>
            <w:r>
              <w:rPr>
                <w:rFonts w:hint="eastAsia" w:ascii="黑体" w:hAnsi="宋体" w:eastAsia="黑体" w:cs="黑体"/>
                <w:i w:val="0"/>
                <w:color w:val="auto"/>
                <w:kern w:val="0"/>
                <w:sz w:val="24"/>
                <w:szCs w:val="24"/>
                <w:u w:val="none"/>
                <w:lang w:val="en-US" w:eastAsia="zh-CN" w:bidi="ar"/>
              </w:rPr>
              <w:t>地市</w:t>
            </w:r>
          </w:p>
        </w:tc>
        <w:tc>
          <w:tcPr>
            <w:tcW w:w="350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黑体" w:hAnsi="宋体" w:eastAsia="黑体" w:cs="黑体"/>
                <w:i w:val="0"/>
                <w:color w:val="auto"/>
                <w:sz w:val="24"/>
                <w:szCs w:val="24"/>
                <w:u w:val="none"/>
              </w:rPr>
            </w:pPr>
            <w:r>
              <w:rPr>
                <w:rFonts w:hint="eastAsia" w:ascii="黑体" w:hAnsi="宋体" w:eastAsia="黑体" w:cs="黑体"/>
                <w:i w:val="0"/>
                <w:color w:val="auto"/>
                <w:kern w:val="0"/>
                <w:sz w:val="24"/>
                <w:szCs w:val="24"/>
                <w:u w:val="none"/>
                <w:lang w:val="en-US" w:eastAsia="zh-CN" w:bidi="ar"/>
              </w:rPr>
              <w:t>金额（万元）</w:t>
            </w:r>
          </w:p>
        </w:tc>
      </w:tr>
      <w:tr>
        <w:tblPrEx>
          <w:shd w:val="clear" w:color="auto" w:fill="auto"/>
          <w:tblCellMar>
            <w:top w:w="0" w:type="dxa"/>
            <w:left w:w="0" w:type="dxa"/>
            <w:bottom w:w="0" w:type="dxa"/>
            <w:right w:w="0" w:type="dxa"/>
          </w:tblCellMar>
        </w:tblPrEx>
        <w:trPr>
          <w:trHeight w:val="312" w:hRule="atLeast"/>
          <w:jc w:val="center"/>
        </w:trPr>
        <w:tc>
          <w:tcPr>
            <w:tcW w:w="139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35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汕头市</w:t>
            </w:r>
          </w:p>
        </w:tc>
        <w:tc>
          <w:tcPr>
            <w:tcW w:w="350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eastAsia="仿宋_GB2312"/>
                <w:b w:val="0"/>
                <w:bCs w:val="0"/>
                <w:color w:val="auto"/>
                <w:sz w:val="24"/>
                <w:szCs w:val="24"/>
                <w:lang w:val="en-US" w:eastAsia="zh-CN"/>
              </w:rPr>
              <w:t>244.80</w:t>
            </w:r>
          </w:p>
        </w:tc>
      </w:tr>
      <w:tr>
        <w:tblPrEx>
          <w:shd w:val="clear" w:color="auto" w:fill="auto"/>
          <w:tblCellMar>
            <w:top w:w="0" w:type="dxa"/>
            <w:left w:w="0" w:type="dxa"/>
            <w:bottom w:w="0" w:type="dxa"/>
            <w:right w:w="0" w:type="dxa"/>
          </w:tblCellMar>
        </w:tblPrEx>
        <w:trPr>
          <w:trHeight w:val="312" w:hRule="atLeast"/>
          <w:jc w:val="center"/>
        </w:trPr>
        <w:tc>
          <w:tcPr>
            <w:tcW w:w="139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35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韶关市</w:t>
            </w:r>
          </w:p>
        </w:tc>
        <w:tc>
          <w:tcPr>
            <w:tcW w:w="350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default" w:ascii="仿宋_GB2312" w:hAnsi="仿宋_GB2312" w:eastAsia="仿宋_GB2312" w:cs="仿宋_GB2312"/>
                <w:color w:val="auto"/>
                <w:sz w:val="24"/>
                <w:szCs w:val="24"/>
                <w:lang w:val="en-US" w:eastAsia="zh-CN"/>
              </w:rPr>
            </w:pPr>
            <w:r>
              <w:rPr>
                <w:rFonts w:hint="eastAsia" w:ascii="仿宋_GB2312" w:eastAsia="仿宋_GB2312"/>
                <w:b w:val="0"/>
                <w:bCs w:val="0"/>
                <w:color w:val="auto"/>
                <w:sz w:val="24"/>
                <w:szCs w:val="24"/>
                <w:lang w:val="en-US" w:eastAsia="zh-CN"/>
              </w:rPr>
              <w:t>66.07</w:t>
            </w:r>
          </w:p>
        </w:tc>
      </w:tr>
      <w:tr>
        <w:tblPrEx>
          <w:shd w:val="clear" w:color="auto" w:fill="auto"/>
          <w:tblCellMar>
            <w:top w:w="0" w:type="dxa"/>
            <w:left w:w="0" w:type="dxa"/>
            <w:bottom w:w="0" w:type="dxa"/>
            <w:right w:w="0" w:type="dxa"/>
          </w:tblCellMar>
        </w:tblPrEx>
        <w:trPr>
          <w:trHeight w:val="312" w:hRule="atLeast"/>
          <w:jc w:val="center"/>
        </w:trPr>
        <w:tc>
          <w:tcPr>
            <w:tcW w:w="139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35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河源市</w:t>
            </w:r>
          </w:p>
        </w:tc>
        <w:tc>
          <w:tcPr>
            <w:tcW w:w="350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default" w:ascii="仿宋_GB2312" w:hAnsi="仿宋_GB2312" w:eastAsia="仿宋_GB2312" w:cs="仿宋_GB2312"/>
                <w:color w:val="auto"/>
                <w:sz w:val="24"/>
                <w:szCs w:val="24"/>
                <w:lang w:val="en-US" w:eastAsia="zh-CN"/>
              </w:rPr>
            </w:pPr>
            <w:r>
              <w:rPr>
                <w:rFonts w:hint="eastAsia" w:ascii="仿宋_GB2312" w:eastAsia="仿宋_GB2312"/>
                <w:b w:val="0"/>
                <w:bCs w:val="0"/>
                <w:color w:val="auto"/>
                <w:sz w:val="24"/>
                <w:szCs w:val="24"/>
                <w:lang w:val="en-US" w:eastAsia="zh-CN"/>
              </w:rPr>
              <w:t>73.43</w:t>
            </w:r>
          </w:p>
        </w:tc>
      </w:tr>
      <w:tr>
        <w:tblPrEx>
          <w:shd w:val="clear" w:color="auto" w:fill="auto"/>
          <w:tblCellMar>
            <w:top w:w="0" w:type="dxa"/>
            <w:left w:w="0" w:type="dxa"/>
            <w:bottom w:w="0" w:type="dxa"/>
            <w:right w:w="0" w:type="dxa"/>
          </w:tblCellMar>
        </w:tblPrEx>
        <w:trPr>
          <w:trHeight w:val="312" w:hRule="atLeast"/>
          <w:jc w:val="center"/>
        </w:trPr>
        <w:tc>
          <w:tcPr>
            <w:tcW w:w="139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35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梅州市</w:t>
            </w:r>
          </w:p>
        </w:tc>
        <w:tc>
          <w:tcPr>
            <w:tcW w:w="350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eastAsia="仿宋_GB2312"/>
                <w:b w:val="0"/>
                <w:bCs w:val="0"/>
                <w:color w:val="auto"/>
                <w:sz w:val="24"/>
                <w:szCs w:val="24"/>
                <w:lang w:val="en-US" w:eastAsia="zh-CN"/>
              </w:rPr>
              <w:t>44.61</w:t>
            </w:r>
          </w:p>
        </w:tc>
      </w:tr>
      <w:tr>
        <w:tblPrEx>
          <w:shd w:val="clear" w:color="auto" w:fill="auto"/>
          <w:tblCellMar>
            <w:top w:w="0" w:type="dxa"/>
            <w:left w:w="0" w:type="dxa"/>
            <w:bottom w:w="0" w:type="dxa"/>
            <w:right w:w="0" w:type="dxa"/>
          </w:tblCellMar>
        </w:tblPrEx>
        <w:trPr>
          <w:trHeight w:val="312" w:hRule="atLeast"/>
          <w:jc w:val="center"/>
        </w:trPr>
        <w:tc>
          <w:tcPr>
            <w:tcW w:w="139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35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惠州市</w:t>
            </w:r>
          </w:p>
        </w:tc>
        <w:tc>
          <w:tcPr>
            <w:tcW w:w="350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eastAsia="仿宋_GB2312"/>
                <w:b w:val="0"/>
                <w:bCs w:val="0"/>
                <w:color w:val="auto"/>
                <w:sz w:val="24"/>
                <w:szCs w:val="24"/>
                <w:lang w:val="en-US" w:eastAsia="zh-CN"/>
              </w:rPr>
              <w:t>116.79</w:t>
            </w:r>
          </w:p>
        </w:tc>
      </w:tr>
      <w:tr>
        <w:tblPrEx>
          <w:shd w:val="clear" w:color="auto" w:fill="auto"/>
          <w:tblCellMar>
            <w:top w:w="0" w:type="dxa"/>
            <w:left w:w="0" w:type="dxa"/>
            <w:bottom w:w="0" w:type="dxa"/>
            <w:right w:w="0" w:type="dxa"/>
          </w:tblCellMar>
        </w:tblPrEx>
        <w:trPr>
          <w:trHeight w:val="312" w:hRule="atLeast"/>
          <w:jc w:val="center"/>
        </w:trPr>
        <w:tc>
          <w:tcPr>
            <w:tcW w:w="139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c>
          <w:tcPr>
            <w:tcW w:w="35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汕尾市</w:t>
            </w:r>
          </w:p>
        </w:tc>
        <w:tc>
          <w:tcPr>
            <w:tcW w:w="350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eastAsia="仿宋_GB2312"/>
                <w:b w:val="0"/>
                <w:bCs w:val="0"/>
                <w:color w:val="auto"/>
                <w:sz w:val="24"/>
                <w:szCs w:val="24"/>
                <w:lang w:val="en-US" w:eastAsia="zh-CN"/>
              </w:rPr>
              <w:t>277.87</w:t>
            </w:r>
          </w:p>
        </w:tc>
      </w:tr>
      <w:tr>
        <w:tblPrEx>
          <w:shd w:val="clear" w:color="auto" w:fill="auto"/>
          <w:tblCellMar>
            <w:top w:w="0" w:type="dxa"/>
            <w:left w:w="0" w:type="dxa"/>
            <w:bottom w:w="0" w:type="dxa"/>
            <w:right w:w="0" w:type="dxa"/>
          </w:tblCellMar>
        </w:tblPrEx>
        <w:trPr>
          <w:trHeight w:val="312" w:hRule="atLeast"/>
          <w:jc w:val="center"/>
        </w:trPr>
        <w:tc>
          <w:tcPr>
            <w:tcW w:w="139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w:t>
            </w:r>
          </w:p>
        </w:tc>
        <w:tc>
          <w:tcPr>
            <w:tcW w:w="35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江门市</w:t>
            </w:r>
          </w:p>
        </w:tc>
        <w:tc>
          <w:tcPr>
            <w:tcW w:w="350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eastAsia="仿宋_GB2312"/>
                <w:b w:val="0"/>
                <w:bCs w:val="0"/>
                <w:color w:val="auto"/>
                <w:sz w:val="24"/>
                <w:szCs w:val="24"/>
                <w:lang w:val="en-US" w:eastAsia="zh-CN"/>
              </w:rPr>
              <w:t>227.88</w:t>
            </w:r>
          </w:p>
        </w:tc>
      </w:tr>
      <w:tr>
        <w:tblPrEx>
          <w:shd w:val="clear" w:color="auto" w:fill="auto"/>
          <w:tblCellMar>
            <w:top w:w="0" w:type="dxa"/>
            <w:left w:w="0" w:type="dxa"/>
            <w:bottom w:w="0" w:type="dxa"/>
            <w:right w:w="0" w:type="dxa"/>
          </w:tblCellMar>
        </w:tblPrEx>
        <w:trPr>
          <w:trHeight w:val="312" w:hRule="atLeast"/>
          <w:jc w:val="center"/>
        </w:trPr>
        <w:tc>
          <w:tcPr>
            <w:tcW w:w="139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w:t>
            </w:r>
          </w:p>
        </w:tc>
        <w:tc>
          <w:tcPr>
            <w:tcW w:w="35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阳江市</w:t>
            </w:r>
          </w:p>
        </w:tc>
        <w:tc>
          <w:tcPr>
            <w:tcW w:w="350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eastAsia="仿宋_GB2312"/>
                <w:b w:val="0"/>
                <w:bCs w:val="0"/>
                <w:color w:val="auto"/>
                <w:sz w:val="24"/>
                <w:szCs w:val="24"/>
                <w:lang w:val="en-US" w:eastAsia="zh-CN"/>
              </w:rPr>
              <w:t>516.80</w:t>
            </w:r>
          </w:p>
        </w:tc>
      </w:tr>
      <w:tr>
        <w:tblPrEx>
          <w:shd w:val="clear" w:color="auto" w:fill="auto"/>
          <w:tblCellMar>
            <w:top w:w="0" w:type="dxa"/>
            <w:left w:w="0" w:type="dxa"/>
            <w:bottom w:w="0" w:type="dxa"/>
            <w:right w:w="0" w:type="dxa"/>
          </w:tblCellMar>
        </w:tblPrEx>
        <w:trPr>
          <w:trHeight w:val="312" w:hRule="atLeast"/>
          <w:jc w:val="center"/>
        </w:trPr>
        <w:tc>
          <w:tcPr>
            <w:tcW w:w="139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9</w:t>
            </w:r>
          </w:p>
        </w:tc>
        <w:tc>
          <w:tcPr>
            <w:tcW w:w="35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湛江市</w:t>
            </w:r>
          </w:p>
        </w:tc>
        <w:tc>
          <w:tcPr>
            <w:tcW w:w="350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eastAsia="仿宋_GB2312"/>
                <w:b w:val="0"/>
                <w:bCs w:val="0"/>
                <w:color w:val="auto"/>
                <w:sz w:val="24"/>
                <w:szCs w:val="24"/>
                <w:lang w:val="en-US" w:eastAsia="zh-CN"/>
              </w:rPr>
              <w:t>946.81</w:t>
            </w:r>
          </w:p>
        </w:tc>
      </w:tr>
      <w:tr>
        <w:tblPrEx>
          <w:shd w:val="clear" w:color="auto" w:fill="auto"/>
          <w:tblCellMar>
            <w:top w:w="0" w:type="dxa"/>
            <w:left w:w="0" w:type="dxa"/>
            <w:bottom w:w="0" w:type="dxa"/>
            <w:right w:w="0" w:type="dxa"/>
          </w:tblCellMar>
        </w:tblPrEx>
        <w:trPr>
          <w:trHeight w:val="312" w:hRule="atLeast"/>
          <w:jc w:val="center"/>
        </w:trPr>
        <w:tc>
          <w:tcPr>
            <w:tcW w:w="139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10</w:t>
            </w:r>
          </w:p>
        </w:tc>
        <w:tc>
          <w:tcPr>
            <w:tcW w:w="35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茂名市</w:t>
            </w:r>
          </w:p>
        </w:tc>
        <w:tc>
          <w:tcPr>
            <w:tcW w:w="350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eastAsia="仿宋_GB2312"/>
                <w:b w:val="0"/>
                <w:bCs w:val="0"/>
                <w:color w:val="auto"/>
                <w:sz w:val="24"/>
                <w:szCs w:val="24"/>
                <w:lang w:val="en-US" w:eastAsia="zh-CN"/>
              </w:rPr>
              <w:t>262.40</w:t>
            </w:r>
          </w:p>
        </w:tc>
      </w:tr>
      <w:tr>
        <w:tblPrEx>
          <w:shd w:val="clear" w:color="auto" w:fill="auto"/>
          <w:tblCellMar>
            <w:top w:w="0" w:type="dxa"/>
            <w:left w:w="0" w:type="dxa"/>
            <w:bottom w:w="0" w:type="dxa"/>
            <w:right w:w="0" w:type="dxa"/>
          </w:tblCellMar>
        </w:tblPrEx>
        <w:trPr>
          <w:trHeight w:val="312" w:hRule="atLeast"/>
          <w:jc w:val="center"/>
        </w:trPr>
        <w:tc>
          <w:tcPr>
            <w:tcW w:w="139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11</w:t>
            </w:r>
          </w:p>
        </w:tc>
        <w:tc>
          <w:tcPr>
            <w:tcW w:w="35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肇庆市</w:t>
            </w:r>
          </w:p>
        </w:tc>
        <w:tc>
          <w:tcPr>
            <w:tcW w:w="350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eastAsia="仿宋_GB2312"/>
                <w:b w:val="0"/>
                <w:bCs w:val="0"/>
                <w:color w:val="auto"/>
                <w:sz w:val="24"/>
                <w:szCs w:val="24"/>
                <w:lang w:val="en-US" w:eastAsia="zh-CN"/>
              </w:rPr>
              <w:t>140.89</w:t>
            </w:r>
          </w:p>
        </w:tc>
      </w:tr>
      <w:tr>
        <w:tblPrEx>
          <w:shd w:val="clear" w:color="auto" w:fill="auto"/>
          <w:tblCellMar>
            <w:top w:w="0" w:type="dxa"/>
            <w:left w:w="0" w:type="dxa"/>
            <w:bottom w:w="0" w:type="dxa"/>
            <w:right w:w="0" w:type="dxa"/>
          </w:tblCellMar>
        </w:tblPrEx>
        <w:trPr>
          <w:trHeight w:val="312" w:hRule="atLeast"/>
          <w:jc w:val="center"/>
        </w:trPr>
        <w:tc>
          <w:tcPr>
            <w:tcW w:w="139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12</w:t>
            </w:r>
          </w:p>
        </w:tc>
        <w:tc>
          <w:tcPr>
            <w:tcW w:w="35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清远市</w:t>
            </w:r>
          </w:p>
        </w:tc>
        <w:tc>
          <w:tcPr>
            <w:tcW w:w="350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eastAsia="仿宋_GB2312"/>
                <w:b w:val="0"/>
                <w:bCs w:val="0"/>
                <w:color w:val="auto"/>
                <w:sz w:val="24"/>
                <w:szCs w:val="24"/>
                <w:lang w:val="en-US" w:eastAsia="zh-CN"/>
              </w:rPr>
              <w:t>109.21</w:t>
            </w:r>
          </w:p>
        </w:tc>
      </w:tr>
      <w:tr>
        <w:tblPrEx>
          <w:shd w:val="clear" w:color="auto" w:fill="auto"/>
          <w:tblCellMar>
            <w:top w:w="0" w:type="dxa"/>
            <w:left w:w="0" w:type="dxa"/>
            <w:bottom w:w="0" w:type="dxa"/>
            <w:right w:w="0" w:type="dxa"/>
          </w:tblCellMar>
        </w:tblPrEx>
        <w:trPr>
          <w:trHeight w:val="312" w:hRule="atLeast"/>
          <w:jc w:val="center"/>
        </w:trPr>
        <w:tc>
          <w:tcPr>
            <w:tcW w:w="139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13</w:t>
            </w:r>
          </w:p>
        </w:tc>
        <w:tc>
          <w:tcPr>
            <w:tcW w:w="35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潮州市</w:t>
            </w:r>
          </w:p>
        </w:tc>
        <w:tc>
          <w:tcPr>
            <w:tcW w:w="350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eastAsia="仿宋_GB2312"/>
                <w:b w:val="0"/>
                <w:bCs w:val="0"/>
                <w:color w:val="auto"/>
                <w:sz w:val="24"/>
                <w:szCs w:val="24"/>
                <w:lang w:val="en-US" w:eastAsia="zh-CN"/>
              </w:rPr>
              <w:t>92.74</w:t>
            </w:r>
          </w:p>
        </w:tc>
      </w:tr>
      <w:tr>
        <w:tblPrEx>
          <w:shd w:val="clear" w:color="auto" w:fill="auto"/>
          <w:tblCellMar>
            <w:top w:w="0" w:type="dxa"/>
            <w:left w:w="0" w:type="dxa"/>
            <w:bottom w:w="0" w:type="dxa"/>
            <w:right w:w="0" w:type="dxa"/>
          </w:tblCellMar>
        </w:tblPrEx>
        <w:trPr>
          <w:trHeight w:val="312" w:hRule="atLeast"/>
          <w:jc w:val="center"/>
        </w:trPr>
        <w:tc>
          <w:tcPr>
            <w:tcW w:w="139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14</w:t>
            </w:r>
          </w:p>
        </w:tc>
        <w:tc>
          <w:tcPr>
            <w:tcW w:w="35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揭阳市</w:t>
            </w:r>
          </w:p>
        </w:tc>
        <w:tc>
          <w:tcPr>
            <w:tcW w:w="350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eastAsia="仿宋_GB2312"/>
                <w:b w:val="0"/>
                <w:bCs w:val="0"/>
                <w:color w:val="auto"/>
                <w:sz w:val="24"/>
                <w:szCs w:val="24"/>
                <w:lang w:val="en-US" w:eastAsia="zh-CN"/>
              </w:rPr>
              <w:t>237.70</w:t>
            </w:r>
          </w:p>
        </w:tc>
      </w:tr>
      <w:tr>
        <w:tblPrEx>
          <w:shd w:val="clear" w:color="auto" w:fill="auto"/>
          <w:tblCellMar>
            <w:top w:w="0" w:type="dxa"/>
            <w:left w:w="0" w:type="dxa"/>
            <w:bottom w:w="0" w:type="dxa"/>
            <w:right w:w="0" w:type="dxa"/>
          </w:tblCellMar>
        </w:tblPrEx>
        <w:trPr>
          <w:trHeight w:val="312" w:hRule="atLeast"/>
          <w:jc w:val="center"/>
        </w:trPr>
        <w:tc>
          <w:tcPr>
            <w:tcW w:w="4899"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合计</w:t>
            </w:r>
          </w:p>
        </w:tc>
        <w:tc>
          <w:tcPr>
            <w:tcW w:w="350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numPr>
                <w:ilvl w:val="0"/>
                <w:numId w:val="0"/>
              </w:num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3358</w:t>
            </w:r>
          </w:p>
        </w:tc>
      </w:tr>
    </w:tbl>
    <w:p>
      <w:pPr>
        <w:rPr>
          <w:rFonts w:hint="eastAsia" w:ascii="仿宋" w:hAnsi="仿宋" w:eastAsia="仿宋" w:cs="仿宋"/>
          <w:color w:val="auto"/>
          <w:sz w:val="32"/>
          <w:szCs w:val="40"/>
          <w:lang w:val="en-US" w:eastAsia="zh-CN"/>
        </w:rPr>
      </w:pPr>
    </w:p>
    <w:p>
      <w:pPr>
        <w:pStyle w:val="13"/>
        <w:keepNext w:val="0"/>
        <w:keepLines w:val="0"/>
        <w:pageBreakBefore w:val="0"/>
        <w:widowControl w:val="0"/>
        <w:kinsoku/>
        <w:wordWrap/>
        <w:overflowPunct/>
        <w:topLinePunct w:val="0"/>
        <w:autoSpaceDE/>
        <w:autoSpaceDN/>
        <w:bidi w:val="0"/>
        <w:adjustRightInd/>
        <w:snapToGrid/>
        <w:ind w:left="0" w:leftChars="0" w:firstLine="642" w:firstLineChars="200"/>
        <w:textAlignment w:val="auto"/>
        <w:rPr>
          <w:rFonts w:hint="default" w:ascii="仿宋_GB2312" w:hAnsi="Times New Roman" w:eastAsia="仿宋_GB2312" w:cs="Times New Roman"/>
          <w:b/>
          <w:bCs/>
          <w:color w:val="auto"/>
          <w:kern w:val="2"/>
          <w:sz w:val="32"/>
          <w:szCs w:val="32"/>
          <w:lang w:val="en-US" w:eastAsia="zh-CN" w:bidi="ar-SA"/>
        </w:rPr>
      </w:pPr>
      <w:bookmarkStart w:id="5" w:name="_Toc30217"/>
      <w:r>
        <w:rPr>
          <w:rFonts w:hint="eastAsia" w:ascii="仿宋_GB2312" w:hAnsi="Times New Roman" w:eastAsia="仿宋_GB2312" w:cs="Times New Roman"/>
          <w:b/>
          <w:bCs/>
          <w:color w:val="auto"/>
          <w:kern w:val="2"/>
          <w:sz w:val="32"/>
          <w:szCs w:val="32"/>
          <w:lang w:val="en-US" w:eastAsia="zh-CN" w:bidi="ar-SA"/>
        </w:rPr>
        <w:t>2.补助对象</w:t>
      </w:r>
      <w:bookmarkEnd w:id="5"/>
    </w:p>
    <w:p>
      <w:pPr>
        <w:pStyle w:val="13"/>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_GB2312" w:hAnsi="Times New Roman" w:eastAsia="仿宋_GB2312" w:cs="Times New Roman"/>
          <w:b w:val="0"/>
          <w:bCs w:val="0"/>
          <w:color w:val="auto"/>
          <w:kern w:val="2"/>
          <w:sz w:val="32"/>
          <w:szCs w:val="32"/>
          <w:lang w:val="en-US" w:eastAsia="zh-CN" w:bidi="ar-SA"/>
        </w:rPr>
      </w:pPr>
      <w:bookmarkStart w:id="6" w:name="_Toc32448"/>
      <w:r>
        <w:rPr>
          <w:rFonts w:hint="eastAsia" w:ascii="仿宋_GB2312" w:hAnsi="Times New Roman" w:eastAsia="仿宋_GB2312" w:cs="Times New Roman"/>
          <w:b w:val="0"/>
          <w:bCs w:val="0"/>
          <w:color w:val="auto"/>
          <w:kern w:val="2"/>
          <w:sz w:val="32"/>
          <w:szCs w:val="32"/>
          <w:lang w:val="en-US" w:eastAsia="zh-CN" w:bidi="ar-SA"/>
        </w:rPr>
        <w:t>休（禁）渔补助对象为经渔业行政主管部门核定的本辖区休（禁）渔渔业船舶上工作的渔业船员。补助对象应当符合以下条件：</w:t>
      </w:r>
      <w:bookmarkEnd w:id="6"/>
    </w:p>
    <w:p>
      <w:pPr>
        <w:pStyle w:val="13"/>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_GB2312" w:hAnsi="Times New Roman" w:eastAsia="仿宋_GB2312" w:cs="Times New Roman"/>
          <w:b w:val="0"/>
          <w:bCs w:val="0"/>
          <w:color w:val="auto"/>
          <w:kern w:val="2"/>
          <w:sz w:val="32"/>
          <w:szCs w:val="32"/>
          <w:lang w:val="en-US" w:eastAsia="zh-CN" w:bidi="ar-SA"/>
        </w:rPr>
      </w:pPr>
      <w:bookmarkStart w:id="7" w:name="_Toc23282"/>
      <w:r>
        <w:rPr>
          <w:rFonts w:hint="eastAsia" w:ascii="仿宋_GB2312" w:hAnsi="Times New Roman" w:eastAsia="仿宋_GB2312" w:cs="Times New Roman"/>
          <w:b w:val="0"/>
          <w:bCs w:val="0"/>
          <w:color w:val="auto"/>
          <w:kern w:val="2"/>
          <w:sz w:val="32"/>
          <w:szCs w:val="32"/>
          <w:lang w:val="en-US" w:eastAsia="zh-CN" w:bidi="ar-SA"/>
        </w:rPr>
        <w:t>（1）所在渔业船舶必须纳入中国渔政管理指挥系统数据库或广东省渔船数据库管理。</w:t>
      </w:r>
      <w:bookmarkEnd w:id="7"/>
    </w:p>
    <w:p>
      <w:pPr>
        <w:pStyle w:val="13"/>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_GB2312" w:hAnsi="Times New Roman" w:eastAsia="仿宋_GB2312" w:cs="Times New Roman"/>
          <w:b w:val="0"/>
          <w:bCs w:val="0"/>
          <w:color w:val="auto"/>
          <w:kern w:val="2"/>
          <w:sz w:val="32"/>
          <w:szCs w:val="32"/>
          <w:lang w:val="en-US" w:eastAsia="zh-CN" w:bidi="ar-SA"/>
        </w:rPr>
      </w:pPr>
      <w:r>
        <w:rPr>
          <w:rFonts w:hint="eastAsia" w:ascii="仿宋_GB2312" w:hAnsi="Times New Roman" w:eastAsia="仿宋_GB2312" w:cs="Times New Roman"/>
          <w:b w:val="0"/>
          <w:bCs w:val="0"/>
          <w:color w:val="auto"/>
          <w:kern w:val="2"/>
          <w:sz w:val="32"/>
          <w:szCs w:val="32"/>
          <w:lang w:val="en-US" w:eastAsia="zh-CN" w:bidi="ar-SA"/>
        </w:rPr>
        <w:t>（2）持有合法有效的渔业船员证书，并购买了人身意外保险，且保单在有效期内。</w:t>
      </w:r>
    </w:p>
    <w:p>
      <w:pPr>
        <w:pStyle w:val="3"/>
        <w:keepNext/>
        <w:keepLines/>
        <w:pageBreakBefore w:val="0"/>
        <w:widowControl w:val="0"/>
        <w:numPr>
          <w:ilvl w:val="0"/>
          <w:numId w:val="0"/>
        </w:numPr>
        <w:kinsoku/>
        <w:wordWrap/>
        <w:overflowPunct/>
        <w:topLinePunct w:val="0"/>
        <w:autoSpaceDE/>
        <w:autoSpaceDN/>
        <w:bidi w:val="0"/>
        <w:adjustRightInd/>
        <w:snapToGrid/>
        <w:spacing w:before="0" w:after="0" w:line="360" w:lineRule="auto"/>
        <w:ind w:firstLine="642" w:firstLineChars="200"/>
        <w:textAlignment w:val="auto"/>
        <w:outlineLvl w:val="1"/>
        <w:rPr>
          <w:rFonts w:hint="default" w:ascii="Calibri" w:hAnsi="宋体" w:eastAsia="楷体_GB2312" w:cs="Times New Roman"/>
          <w:b/>
          <w:bCs/>
          <w:color w:val="auto"/>
          <w:kern w:val="44"/>
          <w:sz w:val="32"/>
          <w:szCs w:val="44"/>
          <w:lang w:val="en-US" w:eastAsia="zh-CN" w:bidi="ar-SA"/>
        </w:rPr>
      </w:pPr>
      <w:bookmarkStart w:id="8" w:name="_Toc16590"/>
      <w:r>
        <w:rPr>
          <w:rFonts w:hint="default" w:ascii="Calibri" w:hAnsi="宋体" w:eastAsia="楷体_GB2312" w:cs="Times New Roman"/>
          <w:b/>
          <w:bCs/>
          <w:color w:val="auto"/>
          <w:kern w:val="44"/>
          <w:sz w:val="32"/>
          <w:szCs w:val="44"/>
          <w:lang w:val="en-US" w:eastAsia="zh-CN" w:bidi="ar-SA"/>
        </w:rPr>
        <w:t>（二）资金分配方式和实施程序</w:t>
      </w:r>
      <w:bookmarkEnd w:id="8"/>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b w:val="0"/>
          <w:bCs w:val="0"/>
          <w:color w:val="auto"/>
          <w:kern w:val="0"/>
          <w:sz w:val="32"/>
          <w:szCs w:val="32"/>
          <w:lang w:val="en-US" w:eastAsia="zh-CN" w:bidi="ar-SA"/>
        </w:rPr>
      </w:pPr>
      <w:r>
        <w:rPr>
          <w:rFonts w:hint="eastAsia" w:ascii="仿宋_GB2312" w:hAnsi="仿宋_GB2312" w:eastAsia="仿宋_GB2312" w:cs="仿宋_GB2312"/>
          <w:b w:val="0"/>
          <w:bCs w:val="0"/>
          <w:color w:val="auto"/>
          <w:kern w:val="0"/>
          <w:sz w:val="32"/>
          <w:szCs w:val="32"/>
          <w:lang w:val="en-US" w:eastAsia="zh-CN"/>
        </w:rPr>
        <w:t>根据《广东省海洋与渔业厅 省财政厅关于印发关于印发〈广东省休（禁）渔渔民生产生活补助发放实施方案〉的通知》（粤海渔〔2018〕25 号）关于“每年以上一年度各市县发放休（禁）渔补助人数及绩效评价结果作为资金分配因素”</w:t>
      </w:r>
      <w:r>
        <w:rPr>
          <w:rFonts w:hint="eastAsia" w:ascii="仿宋_GB2312" w:hAnsi="仿宋_GB2312" w:eastAsia="仿宋_GB2312" w:cs="仿宋_GB2312"/>
          <w:b w:val="0"/>
          <w:bCs w:val="0"/>
          <w:color w:val="auto"/>
          <w:kern w:val="0"/>
          <w:sz w:val="32"/>
          <w:szCs w:val="32"/>
          <w:lang w:val="en-US" w:eastAsia="zh-CN" w:bidi="ar-SA"/>
        </w:rPr>
        <w:t>的规定，以2019年各市发放休（禁）渔补助人数作为资金分配因素</w:t>
      </w:r>
      <w:r>
        <w:rPr>
          <w:rFonts w:hint="eastAsia" w:ascii="仿宋_GB2312" w:hAnsi="仿宋_GB2312" w:eastAsia="仿宋_GB2312" w:cs="仿宋_GB2312"/>
          <w:b w:val="0"/>
          <w:bCs w:val="0"/>
          <w:color w:val="auto"/>
          <w:kern w:val="0"/>
          <w:sz w:val="32"/>
          <w:szCs w:val="32"/>
          <w:lang w:val="en-US" w:eastAsia="zh-CN"/>
        </w:rPr>
        <w:t>，以各市发放人数占发放总人数的比例作为</w:t>
      </w:r>
      <w:r>
        <w:rPr>
          <w:rFonts w:hint="eastAsia" w:ascii="仿宋_GB2312" w:hAnsi="Times New Roman" w:eastAsia="仿宋_GB2312" w:cs="Times New Roman"/>
          <w:b w:val="0"/>
          <w:bCs w:val="0"/>
          <w:color w:val="auto"/>
          <w:sz w:val="32"/>
          <w:szCs w:val="32"/>
          <w:lang w:val="en-US" w:eastAsia="zh-CN"/>
        </w:rPr>
        <w:t>补助资金</w:t>
      </w:r>
      <w:r>
        <w:rPr>
          <w:rFonts w:hint="eastAsia" w:ascii="仿宋_GB2312" w:hAnsi="仿宋_GB2312" w:eastAsia="仿宋_GB2312" w:cs="仿宋_GB2312"/>
          <w:b w:val="0"/>
          <w:bCs w:val="0"/>
          <w:color w:val="auto"/>
          <w:kern w:val="0"/>
          <w:sz w:val="32"/>
          <w:szCs w:val="32"/>
          <w:lang w:val="en-US" w:eastAsia="zh-CN"/>
        </w:rPr>
        <w:t>3358万元的分配比例。</w:t>
      </w:r>
      <w:r>
        <w:rPr>
          <w:rFonts w:hint="eastAsia" w:ascii="仿宋_GB2312" w:hAnsi="仿宋_GB2312" w:eastAsia="仿宋_GB2312" w:cs="仿宋_GB2312"/>
          <w:b w:val="0"/>
          <w:bCs w:val="0"/>
          <w:color w:val="auto"/>
          <w:kern w:val="0"/>
          <w:sz w:val="32"/>
          <w:szCs w:val="32"/>
          <w:lang w:val="en-US" w:eastAsia="zh-CN" w:bidi="ar-SA"/>
        </w:rPr>
        <w:t>具体实施程序如下：</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（1）申报。补助申报以船为单位，由渔船船东在办理休（禁）渔手续后向船籍港所在地乡镇人民政府（街道办事处）申报。</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（2）初审。乡镇人民政府（街道办事处）对申报材料进行初审。</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（3）初审公示。补助申报时间结束后，乡镇人民政府（街道办事处）公示初审结果后，将公示结果和申报材料汇总报县级渔业行政主管部门复核。</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（4）复核。接到乡镇人民政府（街道办事处）报送的补贴申报材料后，县级渔业行政主管部门需在20个工作日内进行复核，核算补贴金额。</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i w:val="0"/>
          <w:iCs w:val="0"/>
          <w:color w:val="auto"/>
          <w:sz w:val="32"/>
          <w:szCs w:val="32"/>
          <w:lang w:val="en-US" w:eastAsia="zh-CN"/>
        </w:rPr>
        <w:t>（5）复核公示。</w:t>
      </w:r>
      <w:r>
        <w:rPr>
          <w:rFonts w:hint="eastAsia" w:ascii="仿宋" w:hAnsi="仿宋" w:eastAsia="仿宋" w:cs="仿宋"/>
          <w:b w:val="0"/>
          <w:bCs w:val="0"/>
          <w:color w:val="auto"/>
          <w:sz w:val="32"/>
          <w:szCs w:val="32"/>
          <w:lang w:val="en-US" w:eastAsia="zh-CN"/>
        </w:rPr>
        <w:t>复核无误后，县级渔业行政主管部门公示复核结果，于公示结束后10个工作日内将复核结果报送同级财政部门。</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（6）发放补助。县级财政部门收到复核结果后，立即组织开展辖区内资金发放工作，将资金发放到补助对象的存折或银行卡上。</w:t>
      </w:r>
    </w:p>
    <w:p>
      <w:pPr>
        <w:pStyle w:val="3"/>
        <w:keepNext/>
        <w:keepLines/>
        <w:pageBreakBefore w:val="0"/>
        <w:widowControl w:val="0"/>
        <w:numPr>
          <w:ilvl w:val="0"/>
          <w:numId w:val="0"/>
        </w:numPr>
        <w:kinsoku/>
        <w:wordWrap/>
        <w:overflowPunct/>
        <w:topLinePunct w:val="0"/>
        <w:autoSpaceDE/>
        <w:autoSpaceDN/>
        <w:bidi w:val="0"/>
        <w:adjustRightInd/>
        <w:snapToGrid/>
        <w:spacing w:before="0" w:after="0" w:line="360" w:lineRule="auto"/>
        <w:ind w:firstLine="642" w:firstLineChars="200"/>
        <w:textAlignment w:val="auto"/>
        <w:outlineLvl w:val="1"/>
        <w:rPr>
          <w:rFonts w:hint="eastAsia" w:ascii="仿宋_GB2312" w:hAnsi="Times New Roman" w:eastAsia="仿宋_GB2312" w:cs="Times New Roman"/>
          <w:color w:val="auto"/>
          <w:sz w:val="32"/>
          <w:szCs w:val="32"/>
          <w:highlight w:val="none"/>
          <w:lang w:val="en-US" w:eastAsia="zh-CN"/>
        </w:rPr>
      </w:pPr>
      <w:bookmarkStart w:id="9" w:name="_Toc10244"/>
      <w:bookmarkStart w:id="10" w:name="_Toc25226"/>
      <w:r>
        <w:rPr>
          <w:rFonts w:hint="eastAsia" w:ascii="Calibri" w:hAnsi="宋体" w:eastAsia="楷体_GB2312" w:cs="Times New Roman"/>
          <w:b/>
          <w:bCs/>
          <w:color w:val="auto"/>
          <w:kern w:val="44"/>
          <w:sz w:val="32"/>
          <w:szCs w:val="44"/>
          <w:lang w:val="en-US" w:eastAsia="zh-CN" w:bidi="ar-SA"/>
        </w:rPr>
        <w:t>（三）主要用途</w:t>
      </w:r>
      <w:bookmarkEnd w:id="9"/>
      <w:bookmarkEnd w:id="10"/>
    </w:p>
    <w:p>
      <w:pPr>
        <w:pStyle w:val="13"/>
        <w:keepNext w:val="0"/>
        <w:keepLines w:val="0"/>
        <w:pageBreakBefore w:val="0"/>
        <w:widowControl w:val="0"/>
        <w:kinsoku/>
        <w:wordWrap/>
        <w:overflowPunct/>
        <w:topLinePunct w:val="0"/>
        <w:autoSpaceDE/>
        <w:autoSpaceDN/>
        <w:bidi w:val="0"/>
        <w:adjustRightInd/>
        <w:snapToGrid/>
        <w:ind w:left="105" w:leftChars="50" w:firstLine="640" w:firstLineChars="200"/>
        <w:jc w:val="left"/>
        <w:textAlignment w:val="auto"/>
        <w:rPr>
          <w:rFonts w:hint="eastAsia" w:ascii="仿宋_GB2312" w:hAnsi="Times New Roman" w:eastAsia="仿宋_GB2312" w:cs="Times New Roman"/>
          <w:color w:val="auto"/>
          <w:sz w:val="32"/>
          <w:szCs w:val="32"/>
          <w:highlight w:val="none"/>
          <w:lang w:val="en-US" w:eastAsia="zh-CN"/>
        </w:rPr>
      </w:pPr>
      <w:r>
        <w:rPr>
          <w:rFonts w:hint="eastAsia" w:ascii="仿宋_GB2312" w:hAnsi="Times New Roman" w:eastAsia="仿宋_GB2312" w:cs="Times New Roman"/>
          <w:color w:val="auto"/>
          <w:sz w:val="32"/>
          <w:szCs w:val="32"/>
          <w:highlight w:val="none"/>
          <w:lang w:val="en-US" w:eastAsia="zh-CN"/>
        </w:rPr>
        <w:t>此项资金的主要用途是对因执行休（禁）渔制度造成生计损失的渔民群众发放生产生活补助。</w:t>
      </w:r>
    </w:p>
    <w:p>
      <w:pPr>
        <w:pStyle w:val="3"/>
        <w:keepNext/>
        <w:keepLines/>
        <w:pageBreakBefore w:val="0"/>
        <w:widowControl w:val="0"/>
        <w:numPr>
          <w:ilvl w:val="0"/>
          <w:numId w:val="0"/>
        </w:numPr>
        <w:kinsoku/>
        <w:wordWrap/>
        <w:overflowPunct/>
        <w:topLinePunct w:val="0"/>
        <w:autoSpaceDE/>
        <w:autoSpaceDN/>
        <w:bidi w:val="0"/>
        <w:adjustRightInd/>
        <w:snapToGrid/>
        <w:spacing w:before="0" w:after="0" w:line="360" w:lineRule="auto"/>
        <w:ind w:firstLine="642" w:firstLineChars="200"/>
        <w:textAlignment w:val="auto"/>
        <w:outlineLvl w:val="1"/>
        <w:rPr>
          <w:rFonts w:hint="default" w:ascii="Calibri" w:hAnsi="宋体" w:eastAsia="楷体_GB2312" w:cs="Times New Roman"/>
          <w:b/>
          <w:bCs/>
          <w:color w:val="auto"/>
          <w:kern w:val="44"/>
          <w:sz w:val="32"/>
          <w:szCs w:val="44"/>
          <w:lang w:val="en-US" w:eastAsia="zh-CN" w:bidi="ar-SA"/>
        </w:rPr>
      </w:pPr>
      <w:bookmarkStart w:id="11" w:name="_Toc14761"/>
      <w:bookmarkStart w:id="12" w:name="_Toc24738"/>
      <w:r>
        <w:rPr>
          <w:rFonts w:hint="eastAsia" w:ascii="Calibri" w:hAnsi="宋体" w:eastAsia="楷体_GB2312" w:cs="Times New Roman"/>
          <w:b/>
          <w:bCs/>
          <w:color w:val="auto"/>
          <w:kern w:val="44"/>
          <w:sz w:val="32"/>
          <w:szCs w:val="44"/>
          <w:lang w:val="en-US" w:eastAsia="zh-CN" w:bidi="ar-SA"/>
        </w:rPr>
        <w:t>（四）绩效目标</w:t>
      </w:r>
      <w:bookmarkEnd w:id="11"/>
      <w:bookmarkEnd w:id="12"/>
    </w:p>
    <w:p>
      <w:pPr>
        <w:ind w:firstLine="640" w:firstLineChars="200"/>
        <w:rPr>
          <w:rFonts w:hint="eastAsia"/>
          <w:color w:val="auto"/>
        </w:rPr>
      </w:pPr>
      <w:r>
        <w:rPr>
          <w:rFonts w:hint="eastAsia" w:ascii="仿宋_GB2312" w:hAnsi="仿宋_GB2312" w:eastAsia="仿宋_GB2312" w:cs="仿宋_GB2312"/>
          <w:b w:val="0"/>
          <w:bCs w:val="0"/>
          <w:color w:val="auto"/>
          <w:kern w:val="0"/>
          <w:sz w:val="32"/>
          <w:szCs w:val="32"/>
          <w:lang w:val="en-US" w:eastAsia="zh-CN" w:bidi="ar-SA"/>
        </w:rPr>
        <w:t>及时足额发放2019年省级休（禁）渔渔民生产生活补助。</w:t>
      </w:r>
    </w:p>
    <w:p>
      <w:pPr>
        <w:pStyle w:val="14"/>
        <w:pageBreakBefore w:val="0"/>
        <w:numPr>
          <w:ilvl w:val="0"/>
          <w:numId w:val="1"/>
        </w:numPr>
        <w:kinsoku/>
        <w:wordWrap/>
        <w:overflowPunct/>
        <w:topLinePunct w:val="0"/>
        <w:bidi w:val="0"/>
        <w:spacing w:before="0" w:after="0" w:line="360" w:lineRule="auto"/>
        <w:ind w:firstLine="640"/>
        <w:jc w:val="both"/>
        <w:rPr>
          <w:rFonts w:hint="default"/>
          <w:color w:val="auto"/>
          <w:lang w:val="en-US" w:eastAsia="zh-CN"/>
        </w:rPr>
      </w:pPr>
      <w:bookmarkStart w:id="13" w:name="_Toc25415"/>
      <w:bookmarkStart w:id="14" w:name="_Toc12922"/>
      <w:r>
        <w:rPr>
          <w:rFonts w:hint="eastAsia" w:ascii="黑体" w:hAnsi="黑体"/>
          <w:bCs/>
          <w:color w:val="auto"/>
          <w:lang w:val="en-US" w:eastAsia="zh-CN"/>
        </w:rPr>
        <w:t>自评情况</w:t>
      </w:r>
      <w:bookmarkEnd w:id="13"/>
      <w:bookmarkEnd w:id="14"/>
    </w:p>
    <w:p>
      <w:pPr>
        <w:pStyle w:val="3"/>
        <w:keepNext/>
        <w:keepLines/>
        <w:pageBreakBefore w:val="0"/>
        <w:widowControl w:val="0"/>
        <w:numPr>
          <w:ilvl w:val="0"/>
          <w:numId w:val="0"/>
        </w:numPr>
        <w:kinsoku/>
        <w:wordWrap/>
        <w:overflowPunct/>
        <w:topLinePunct w:val="0"/>
        <w:autoSpaceDE/>
        <w:autoSpaceDN/>
        <w:bidi w:val="0"/>
        <w:adjustRightInd/>
        <w:snapToGrid/>
        <w:spacing w:before="0" w:after="0" w:line="360" w:lineRule="auto"/>
        <w:ind w:firstLine="642" w:firstLineChars="200"/>
        <w:textAlignment w:val="auto"/>
        <w:outlineLvl w:val="1"/>
        <w:rPr>
          <w:rFonts w:hint="eastAsia" w:ascii="Calibri" w:hAnsi="宋体" w:eastAsia="楷体_GB2312" w:cs="Times New Roman"/>
          <w:b/>
          <w:bCs/>
          <w:color w:val="auto"/>
          <w:kern w:val="44"/>
          <w:sz w:val="32"/>
          <w:szCs w:val="44"/>
          <w:lang w:val="en-US" w:eastAsia="zh-CN" w:bidi="ar-SA"/>
        </w:rPr>
      </w:pPr>
      <w:bookmarkStart w:id="15" w:name="_Toc13961"/>
      <w:bookmarkStart w:id="16" w:name="_Toc12136"/>
      <w:r>
        <w:rPr>
          <w:rFonts w:hint="eastAsia" w:ascii="Calibri" w:hAnsi="宋体" w:eastAsia="楷体_GB2312" w:cs="Times New Roman"/>
          <w:b/>
          <w:bCs/>
          <w:color w:val="auto"/>
          <w:kern w:val="44"/>
          <w:sz w:val="32"/>
          <w:szCs w:val="44"/>
          <w:lang w:val="en-US" w:eastAsia="zh-CN" w:bidi="ar-SA"/>
        </w:rPr>
        <w:t>（一）自评分数</w:t>
      </w:r>
      <w:bookmarkEnd w:id="15"/>
      <w:bookmarkEnd w:id="16"/>
    </w:p>
    <w:p>
      <w:pPr>
        <w:keepNext w:val="0"/>
        <w:keepLines w:val="0"/>
        <w:pageBreakBefore w:val="0"/>
        <w:widowControl w:val="0"/>
        <w:kinsoku/>
        <w:wordWrap/>
        <w:overflowPunct/>
        <w:topLinePunct w:val="0"/>
        <w:autoSpaceDE/>
        <w:autoSpaceDN/>
        <w:bidi w:val="0"/>
        <w:adjustRightInd/>
        <w:snapToGrid w:val="0"/>
        <w:spacing w:beforeLines="0" w:afterLines="0" w:line="360" w:lineRule="auto"/>
        <w:ind w:firstLine="640" w:firstLineChars="200"/>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综合分析2019年省级</w:t>
      </w:r>
      <w:r>
        <w:rPr>
          <w:rFonts w:hint="eastAsia" w:ascii="仿宋_GB2312" w:eastAsia="仿宋_GB2312" w:cs="Times New Roman"/>
          <w:color w:val="auto"/>
          <w:sz w:val="32"/>
          <w:szCs w:val="32"/>
          <w:highlight w:val="none"/>
          <w:lang w:val="en-US" w:eastAsia="zh-CN"/>
        </w:rPr>
        <w:t>休（禁）渔渔民生产生活补助资金项目</w:t>
      </w:r>
      <w:r>
        <w:rPr>
          <w:rFonts w:hint="eastAsia" w:ascii="仿宋_GB2312" w:eastAsia="仿宋_GB2312"/>
          <w:color w:val="auto"/>
          <w:sz w:val="32"/>
          <w:szCs w:val="32"/>
          <w:lang w:val="en-US" w:eastAsia="zh-CN"/>
        </w:rPr>
        <w:t>的投入、过程、产出和效益，专项资金项目基本完成了预期目标任务，取得了较好成效。根据对有关地市自评材料的审核分析，综合项目实施的情况，按照既定的评价指标体系，专项资金使用绩效自评分数为97.77分，绩效等级为“优”（一级指标自评得分情况见表2-1。）</w:t>
      </w:r>
    </w:p>
    <w:p>
      <w:pPr>
        <w:keepNext w:val="0"/>
        <w:keepLines w:val="0"/>
        <w:pageBreakBefore w:val="0"/>
        <w:widowControl w:val="0"/>
        <w:kinsoku/>
        <w:wordWrap/>
        <w:overflowPunct/>
        <w:topLinePunct w:val="0"/>
        <w:autoSpaceDE/>
        <w:autoSpaceDN/>
        <w:bidi w:val="0"/>
        <w:adjustRightInd/>
        <w:snapToGrid/>
        <w:spacing w:before="313" w:beforeLines="100" w:line="360" w:lineRule="auto"/>
        <w:jc w:val="center"/>
        <w:textAlignment w:val="auto"/>
        <w:rPr>
          <w:rFonts w:hint="eastAsia" w:ascii="黑体" w:hAnsi="黑体" w:eastAsia="黑体" w:cs="黑体"/>
          <w:color w:val="auto"/>
          <w:sz w:val="28"/>
          <w:szCs w:val="28"/>
          <w:highlight w:val="none"/>
        </w:rPr>
      </w:pPr>
      <w:r>
        <w:rPr>
          <w:rFonts w:hint="eastAsia" w:ascii="黑体" w:hAnsi="黑体" w:eastAsia="黑体" w:cs="黑体"/>
          <w:color w:val="auto"/>
          <w:sz w:val="28"/>
          <w:szCs w:val="28"/>
          <w:highlight w:val="none"/>
        </w:rPr>
        <w:t>表2-1 一级指标评价得分情况表</w:t>
      </w:r>
    </w:p>
    <w:tbl>
      <w:tblPr>
        <w:tblStyle w:val="15"/>
        <w:tblW w:w="8458"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830"/>
        <w:gridCol w:w="1732"/>
        <w:gridCol w:w="1947"/>
        <w:gridCol w:w="194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2830" w:type="dxa"/>
            <w:tcBorders>
              <w:left w:val="single" w:color="auto" w:sz="4" w:space="0"/>
            </w:tcBorders>
            <w:vAlign w:val="center"/>
          </w:tcPr>
          <w:p>
            <w:pPr>
              <w:widowControl/>
              <w:jc w:val="center"/>
              <w:rPr>
                <w:rFonts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highlight w:val="none"/>
                <w:lang w:val="en-US" w:eastAsia="zh-CN"/>
              </w:rPr>
              <w:t>一级指标（评价因素）</w:t>
            </w:r>
          </w:p>
        </w:tc>
        <w:tc>
          <w:tcPr>
            <w:tcW w:w="1732" w:type="dxa"/>
            <w:vAlign w:val="center"/>
          </w:tcPr>
          <w:p>
            <w:pPr>
              <w:widowControl/>
              <w:jc w:val="center"/>
              <w:rPr>
                <w:rFonts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highlight w:val="none"/>
                <w:lang w:val="en-US" w:eastAsia="zh-CN"/>
              </w:rPr>
              <w:t>分值</w:t>
            </w:r>
          </w:p>
        </w:tc>
        <w:tc>
          <w:tcPr>
            <w:tcW w:w="1947" w:type="dxa"/>
            <w:vAlign w:val="center"/>
          </w:tcPr>
          <w:p>
            <w:pPr>
              <w:widowControl/>
              <w:jc w:val="center"/>
              <w:rPr>
                <w:rFonts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highlight w:val="none"/>
                <w:lang w:val="en-US" w:eastAsia="zh-CN"/>
              </w:rPr>
              <w:t>得分</w:t>
            </w:r>
          </w:p>
        </w:tc>
        <w:tc>
          <w:tcPr>
            <w:tcW w:w="1949" w:type="dxa"/>
            <w:tcBorders>
              <w:right w:val="single" w:color="auto" w:sz="4" w:space="0"/>
            </w:tcBorders>
            <w:vAlign w:val="center"/>
          </w:tcPr>
          <w:p>
            <w:pPr>
              <w:widowControl/>
              <w:jc w:val="center"/>
              <w:rPr>
                <w:rFonts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highlight w:val="none"/>
                <w:lang w:val="en-US" w:eastAsia="zh-CN"/>
              </w:rPr>
              <w:t>得分率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2830" w:type="dxa"/>
            <w:tcBorders>
              <w:left w:val="single" w:color="auto" w:sz="4" w:space="0"/>
            </w:tcBorders>
            <w:vAlign w:val="center"/>
          </w:tcPr>
          <w:p>
            <w:pPr>
              <w:widowControl/>
              <w:jc w:val="center"/>
              <w:rPr>
                <w:rFonts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highlight w:val="none"/>
                <w:lang w:val="en-US" w:eastAsia="zh-CN"/>
              </w:rPr>
              <w:t>总得分</w:t>
            </w:r>
          </w:p>
        </w:tc>
        <w:tc>
          <w:tcPr>
            <w:tcW w:w="1732" w:type="dxa"/>
            <w:vAlign w:val="center"/>
          </w:tcPr>
          <w:p>
            <w:pPr>
              <w:keepNext w:val="0"/>
              <w:keepLines w:val="0"/>
              <w:widowControl/>
              <w:suppressLineNumbers w:val="0"/>
              <w:jc w:val="center"/>
              <w:textAlignment w:val="center"/>
              <w:rPr>
                <w:rFonts w:ascii="仿宋_GB2312" w:hAnsi="仿宋_GB2312" w:eastAsia="仿宋_GB2312" w:cs="仿宋_GB2312"/>
                <w:b/>
                <w:bCs/>
                <w:color w:val="auto"/>
                <w:sz w:val="24"/>
                <w:szCs w:val="24"/>
                <w:highlight w:val="none"/>
              </w:rPr>
            </w:pPr>
            <w:r>
              <w:rPr>
                <w:rFonts w:hint="eastAsia" w:ascii="宋体" w:hAnsi="宋体" w:eastAsia="宋体" w:cs="宋体"/>
                <w:b/>
                <w:bCs/>
                <w:i w:val="0"/>
                <w:color w:val="auto"/>
                <w:kern w:val="0"/>
                <w:sz w:val="24"/>
                <w:szCs w:val="24"/>
                <w:u w:val="none"/>
                <w:lang w:val="en-US" w:eastAsia="zh-CN" w:bidi="ar"/>
              </w:rPr>
              <w:t>100</w:t>
            </w:r>
          </w:p>
        </w:tc>
        <w:tc>
          <w:tcPr>
            <w:tcW w:w="1947" w:type="dxa"/>
            <w:vAlign w:val="center"/>
          </w:tcPr>
          <w:p>
            <w:pPr>
              <w:keepNext w:val="0"/>
              <w:keepLines w:val="0"/>
              <w:widowControl/>
              <w:suppressLineNumbers w:val="0"/>
              <w:jc w:val="center"/>
              <w:textAlignment w:val="center"/>
              <w:rPr>
                <w:rFonts w:hint="default" w:ascii="仿宋_GB2312" w:hAnsi="仿宋_GB2312" w:eastAsia="仿宋_GB2312" w:cs="仿宋_GB2312"/>
                <w:b/>
                <w:bCs/>
                <w:color w:val="auto"/>
                <w:sz w:val="24"/>
                <w:szCs w:val="24"/>
                <w:highlight w:val="none"/>
                <w:lang w:val="en-US" w:eastAsia="zh-CN"/>
              </w:rPr>
            </w:pPr>
            <w:r>
              <w:rPr>
                <w:rFonts w:hint="eastAsia" w:ascii="宋体" w:hAnsi="宋体" w:cs="宋体"/>
                <w:b/>
                <w:bCs/>
                <w:i w:val="0"/>
                <w:color w:val="auto"/>
                <w:kern w:val="0"/>
                <w:sz w:val="24"/>
                <w:szCs w:val="24"/>
                <w:u w:val="none"/>
                <w:lang w:val="en-US" w:eastAsia="zh-CN" w:bidi="ar"/>
              </w:rPr>
              <w:t>97.77</w:t>
            </w:r>
            <w:r>
              <w:rPr>
                <w:rFonts w:hint="eastAsia" w:ascii="宋体" w:hAnsi="宋体" w:eastAsia="宋体" w:cs="宋体"/>
                <w:b/>
                <w:bCs/>
                <w:i w:val="0"/>
                <w:color w:val="auto"/>
                <w:kern w:val="0"/>
                <w:sz w:val="24"/>
                <w:szCs w:val="24"/>
                <w:u w:val="none"/>
                <w:lang w:val="en-US" w:eastAsia="zh-CN" w:bidi="ar"/>
              </w:rPr>
              <w:t xml:space="preserve"> </w:t>
            </w:r>
          </w:p>
        </w:tc>
        <w:tc>
          <w:tcPr>
            <w:tcW w:w="1949" w:type="dxa"/>
            <w:tcBorders>
              <w:right w:val="single" w:color="auto" w:sz="4" w:space="0"/>
            </w:tcBorders>
            <w:vAlign w:val="center"/>
          </w:tcPr>
          <w:p>
            <w:pPr>
              <w:keepNext w:val="0"/>
              <w:keepLines w:val="0"/>
              <w:widowControl/>
              <w:suppressLineNumbers w:val="0"/>
              <w:jc w:val="center"/>
              <w:textAlignment w:val="center"/>
              <w:rPr>
                <w:rFonts w:hint="default" w:ascii="仿宋_GB2312" w:hAnsi="仿宋_GB2312" w:eastAsia="仿宋_GB2312" w:cs="仿宋_GB2312"/>
                <w:b/>
                <w:bCs/>
                <w:color w:val="auto"/>
                <w:sz w:val="24"/>
                <w:szCs w:val="24"/>
                <w:highlight w:val="none"/>
                <w:lang w:val="en-US"/>
              </w:rPr>
            </w:pPr>
            <w:r>
              <w:rPr>
                <w:rFonts w:hint="eastAsia" w:ascii="宋体" w:hAnsi="宋体" w:eastAsia="宋体" w:cs="宋体"/>
                <w:b/>
                <w:bCs/>
                <w:i w:val="0"/>
                <w:color w:val="auto"/>
                <w:kern w:val="0"/>
                <w:sz w:val="24"/>
                <w:szCs w:val="24"/>
                <w:u w:val="none"/>
                <w:lang w:val="en-US" w:eastAsia="zh-CN" w:bidi="ar"/>
              </w:rPr>
              <w:t>9</w:t>
            </w:r>
            <w:r>
              <w:rPr>
                <w:rFonts w:hint="eastAsia" w:ascii="宋体" w:hAnsi="宋体" w:cs="宋体"/>
                <w:b/>
                <w:bCs/>
                <w:i w:val="0"/>
                <w:color w:val="auto"/>
                <w:kern w:val="0"/>
                <w:sz w:val="24"/>
                <w:szCs w:val="24"/>
                <w:u w:val="none"/>
                <w:lang w:val="en-US" w:eastAsia="zh-CN" w:bidi="ar"/>
              </w:rPr>
              <w:t>7</w:t>
            </w:r>
            <w:r>
              <w:rPr>
                <w:rFonts w:hint="eastAsia" w:ascii="宋体" w:hAnsi="宋体" w:eastAsia="宋体" w:cs="宋体"/>
                <w:b/>
                <w:bCs/>
                <w:i w:val="0"/>
                <w:color w:val="auto"/>
                <w:kern w:val="0"/>
                <w:sz w:val="24"/>
                <w:szCs w:val="24"/>
                <w:u w:val="none"/>
                <w:lang w:val="en-US" w:eastAsia="zh-CN" w:bidi="ar"/>
              </w:rPr>
              <w:t>.</w:t>
            </w:r>
            <w:r>
              <w:rPr>
                <w:rFonts w:hint="eastAsia" w:ascii="宋体" w:hAnsi="宋体" w:cs="宋体"/>
                <w:b/>
                <w:bCs/>
                <w:i w:val="0"/>
                <w:color w:val="auto"/>
                <w:kern w:val="0"/>
                <w:sz w:val="24"/>
                <w:szCs w:val="24"/>
                <w:u w:val="none"/>
                <w:lang w:val="en-US" w:eastAsia="zh-CN" w:bidi="ar"/>
              </w:rPr>
              <w:t>77</w:t>
            </w:r>
            <w:r>
              <w:rPr>
                <w:rFonts w:hint="eastAsia" w:ascii="宋体" w:hAnsi="宋体" w:eastAsia="宋体" w:cs="宋体"/>
                <w:b/>
                <w:bCs/>
                <w:i w:val="0"/>
                <w:color w:val="auto"/>
                <w:kern w:val="0"/>
                <w:sz w:val="24"/>
                <w:szCs w:val="24"/>
                <w:u w:val="none"/>
                <w:lang w:val="en-US" w:eastAsia="zh-CN" w:bidi="ar"/>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2830" w:type="dxa"/>
            <w:tcBorders>
              <w:left w:val="single" w:color="auto" w:sz="4" w:space="0"/>
            </w:tcBorders>
            <w:vAlign w:val="center"/>
          </w:tcPr>
          <w:p>
            <w:pPr>
              <w:widowControl/>
              <w:jc w:val="center"/>
              <w:rPr>
                <w:rFonts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val="0"/>
                <w:bCs w:val="0"/>
                <w:color w:val="auto"/>
                <w:sz w:val="24"/>
                <w:highlight w:val="none"/>
                <w:lang w:val="en-US" w:eastAsia="zh-CN"/>
              </w:rPr>
              <w:t>投入</w:t>
            </w:r>
          </w:p>
        </w:tc>
        <w:tc>
          <w:tcPr>
            <w:tcW w:w="1732" w:type="dxa"/>
            <w:vAlign w:val="center"/>
          </w:tcPr>
          <w:p>
            <w:pPr>
              <w:keepNext w:val="0"/>
              <w:keepLines w:val="0"/>
              <w:widowControl/>
              <w:suppressLineNumbers w:val="0"/>
              <w:jc w:val="center"/>
              <w:textAlignment w:val="center"/>
              <w:rPr>
                <w:rFonts w:ascii="仿宋_GB2312" w:hAnsi="仿宋_GB2312" w:eastAsia="仿宋_GB2312" w:cs="仿宋_GB2312"/>
                <w:b w:val="0"/>
                <w:bCs w:val="0"/>
                <w:color w:val="auto"/>
                <w:sz w:val="24"/>
                <w:szCs w:val="24"/>
                <w:highlight w:val="none"/>
              </w:rPr>
            </w:pPr>
            <w:r>
              <w:rPr>
                <w:rFonts w:hint="eastAsia" w:ascii="宋体" w:hAnsi="宋体" w:eastAsia="宋体" w:cs="宋体"/>
                <w:i w:val="0"/>
                <w:color w:val="auto"/>
                <w:kern w:val="0"/>
                <w:sz w:val="24"/>
                <w:szCs w:val="24"/>
                <w:u w:val="none"/>
                <w:lang w:val="en-US" w:eastAsia="zh-CN" w:bidi="ar"/>
              </w:rPr>
              <w:t>20</w:t>
            </w:r>
          </w:p>
        </w:tc>
        <w:tc>
          <w:tcPr>
            <w:tcW w:w="1947" w:type="dxa"/>
            <w:vAlign w:val="center"/>
          </w:tcPr>
          <w:p>
            <w:pPr>
              <w:keepNext w:val="0"/>
              <w:keepLines w:val="0"/>
              <w:widowControl/>
              <w:suppressLineNumbers w:val="0"/>
              <w:jc w:val="center"/>
              <w:textAlignment w:val="center"/>
              <w:rPr>
                <w:rFonts w:hint="default" w:ascii="仿宋_GB2312" w:hAnsi="仿宋_GB2312" w:eastAsia="仿宋_GB2312" w:cs="仿宋_GB2312"/>
                <w:b w:val="0"/>
                <w:bCs w:val="0"/>
                <w:color w:val="auto"/>
                <w:sz w:val="24"/>
                <w:szCs w:val="24"/>
                <w:highlight w:val="none"/>
                <w:lang w:val="en-US"/>
              </w:rPr>
            </w:pPr>
            <w:r>
              <w:rPr>
                <w:rFonts w:hint="eastAsia" w:ascii="宋体" w:hAnsi="宋体" w:eastAsia="宋体" w:cs="宋体"/>
                <w:i w:val="0"/>
                <w:color w:val="auto"/>
                <w:kern w:val="0"/>
                <w:sz w:val="24"/>
                <w:szCs w:val="24"/>
                <w:u w:val="none"/>
                <w:lang w:val="en-US" w:eastAsia="zh-CN" w:bidi="ar"/>
              </w:rPr>
              <w:t xml:space="preserve">19.20 </w:t>
            </w:r>
          </w:p>
        </w:tc>
        <w:tc>
          <w:tcPr>
            <w:tcW w:w="1949" w:type="dxa"/>
            <w:tcBorders>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b w:val="0"/>
                <w:bCs w:val="0"/>
                <w:color w:val="auto"/>
                <w:sz w:val="24"/>
                <w:szCs w:val="24"/>
                <w:highlight w:val="none"/>
              </w:rPr>
            </w:pPr>
            <w:r>
              <w:rPr>
                <w:rFonts w:hint="eastAsia" w:ascii="宋体" w:hAnsi="宋体" w:eastAsia="宋体" w:cs="宋体"/>
                <w:i w:val="0"/>
                <w:color w:val="auto"/>
                <w:kern w:val="0"/>
                <w:sz w:val="24"/>
                <w:szCs w:val="24"/>
                <w:u w:val="none"/>
                <w:lang w:val="en-US" w:eastAsia="zh-CN" w:bidi="ar"/>
              </w:rPr>
              <w:t>96.00%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2830" w:type="dxa"/>
            <w:tcBorders>
              <w:left w:val="single" w:color="auto" w:sz="4" w:space="0"/>
            </w:tcBorders>
            <w:vAlign w:val="center"/>
          </w:tcPr>
          <w:p>
            <w:pPr>
              <w:widowControl/>
              <w:jc w:val="center"/>
              <w:rPr>
                <w:rFonts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highlight w:val="none"/>
                <w:lang w:val="en-US" w:eastAsia="zh-CN"/>
              </w:rPr>
              <w:t>过程</w:t>
            </w:r>
          </w:p>
        </w:tc>
        <w:tc>
          <w:tcPr>
            <w:tcW w:w="1732" w:type="dxa"/>
            <w:vAlign w:val="center"/>
          </w:tcPr>
          <w:p>
            <w:pPr>
              <w:keepNext w:val="0"/>
              <w:keepLines w:val="0"/>
              <w:widowControl/>
              <w:suppressLineNumbers w:val="0"/>
              <w:jc w:val="center"/>
              <w:textAlignment w:val="center"/>
              <w:rPr>
                <w:rFonts w:ascii="仿宋_GB2312" w:hAnsi="仿宋_GB2312" w:eastAsia="仿宋_GB2312" w:cs="仿宋_GB2312"/>
                <w:color w:val="auto"/>
                <w:sz w:val="24"/>
                <w:szCs w:val="24"/>
                <w:highlight w:val="none"/>
              </w:rPr>
            </w:pPr>
            <w:r>
              <w:rPr>
                <w:rFonts w:hint="eastAsia" w:ascii="宋体" w:hAnsi="宋体" w:eastAsia="宋体" w:cs="宋体"/>
                <w:i w:val="0"/>
                <w:color w:val="auto"/>
                <w:kern w:val="0"/>
                <w:sz w:val="24"/>
                <w:szCs w:val="24"/>
                <w:u w:val="none"/>
                <w:lang w:val="en-US" w:eastAsia="zh-CN" w:bidi="ar"/>
              </w:rPr>
              <w:t>20</w:t>
            </w:r>
          </w:p>
        </w:tc>
        <w:tc>
          <w:tcPr>
            <w:tcW w:w="1947" w:type="dxa"/>
            <w:vAlign w:val="center"/>
          </w:tcPr>
          <w:p>
            <w:pPr>
              <w:keepNext w:val="0"/>
              <w:keepLines w:val="0"/>
              <w:widowControl/>
              <w:suppressLineNumbers w:val="0"/>
              <w:jc w:val="center"/>
              <w:textAlignment w:val="center"/>
              <w:rPr>
                <w:rFonts w:hint="default" w:ascii="仿宋_GB2312" w:hAnsi="仿宋_GB2312" w:eastAsia="仿宋_GB2312" w:cs="仿宋_GB2312"/>
                <w:color w:val="auto"/>
                <w:sz w:val="24"/>
                <w:szCs w:val="24"/>
                <w:highlight w:val="none"/>
                <w:lang w:val="en-US"/>
              </w:rPr>
            </w:pPr>
            <w:r>
              <w:rPr>
                <w:rFonts w:hint="eastAsia" w:ascii="宋体" w:hAnsi="宋体" w:eastAsia="宋体" w:cs="宋体"/>
                <w:i w:val="0"/>
                <w:color w:val="auto"/>
                <w:kern w:val="0"/>
                <w:sz w:val="24"/>
                <w:szCs w:val="24"/>
                <w:u w:val="none"/>
                <w:lang w:val="en-US" w:eastAsia="zh-CN" w:bidi="ar"/>
              </w:rPr>
              <w:t>19.</w:t>
            </w:r>
            <w:r>
              <w:rPr>
                <w:rFonts w:hint="eastAsia" w:ascii="宋体" w:hAnsi="宋体" w:cs="宋体"/>
                <w:i w:val="0"/>
                <w:color w:val="auto"/>
                <w:kern w:val="0"/>
                <w:sz w:val="24"/>
                <w:szCs w:val="24"/>
                <w:u w:val="none"/>
                <w:lang w:val="en-US" w:eastAsia="zh-CN" w:bidi="ar"/>
              </w:rPr>
              <w:t>73</w:t>
            </w:r>
            <w:r>
              <w:rPr>
                <w:rFonts w:hint="eastAsia" w:ascii="宋体" w:hAnsi="宋体" w:eastAsia="宋体" w:cs="宋体"/>
                <w:i w:val="0"/>
                <w:color w:val="auto"/>
                <w:kern w:val="0"/>
                <w:sz w:val="24"/>
                <w:szCs w:val="24"/>
                <w:u w:val="none"/>
                <w:lang w:val="en-US" w:eastAsia="zh-CN" w:bidi="ar"/>
              </w:rPr>
              <w:t xml:space="preserve"> </w:t>
            </w:r>
          </w:p>
        </w:tc>
        <w:tc>
          <w:tcPr>
            <w:tcW w:w="1949" w:type="dxa"/>
            <w:tcBorders>
              <w:right w:val="single" w:color="auto" w:sz="4" w:space="0"/>
            </w:tcBorders>
            <w:vAlign w:val="center"/>
          </w:tcPr>
          <w:p>
            <w:pPr>
              <w:keepNext w:val="0"/>
              <w:keepLines w:val="0"/>
              <w:widowControl/>
              <w:suppressLineNumbers w:val="0"/>
              <w:jc w:val="center"/>
              <w:textAlignment w:val="center"/>
              <w:rPr>
                <w:rFonts w:hint="default" w:ascii="仿宋_GB2312" w:hAnsi="宋体" w:eastAsia="仿宋_GB2312" w:cs="仿宋_GB2312"/>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u w:val="none"/>
                <w:lang w:val="en-US" w:eastAsia="zh-CN" w:bidi="ar"/>
              </w:rPr>
              <w:t>9</w:t>
            </w:r>
            <w:r>
              <w:rPr>
                <w:rFonts w:hint="eastAsia" w:ascii="宋体" w:hAnsi="宋体" w:cs="宋体"/>
                <w:i w:val="0"/>
                <w:color w:val="auto"/>
                <w:kern w:val="0"/>
                <w:sz w:val="24"/>
                <w:szCs w:val="24"/>
                <w:u w:val="none"/>
                <w:lang w:val="en-US" w:eastAsia="zh-CN" w:bidi="ar"/>
              </w:rPr>
              <w:t>8</w:t>
            </w:r>
            <w:r>
              <w:rPr>
                <w:rFonts w:hint="eastAsia" w:ascii="宋体" w:hAnsi="宋体" w:eastAsia="宋体" w:cs="宋体"/>
                <w:i w:val="0"/>
                <w:color w:val="auto"/>
                <w:kern w:val="0"/>
                <w:sz w:val="24"/>
                <w:szCs w:val="24"/>
                <w:u w:val="none"/>
                <w:lang w:val="en-US" w:eastAsia="zh-CN" w:bidi="ar"/>
              </w:rPr>
              <w:t>.6</w:t>
            </w:r>
            <w:r>
              <w:rPr>
                <w:rFonts w:hint="eastAsia" w:ascii="宋体" w:hAnsi="宋体" w:cs="宋体"/>
                <w:i w:val="0"/>
                <w:color w:val="auto"/>
                <w:kern w:val="0"/>
                <w:sz w:val="24"/>
                <w:szCs w:val="24"/>
                <w:u w:val="none"/>
                <w:lang w:val="en-US" w:eastAsia="zh-CN" w:bidi="ar"/>
              </w:rPr>
              <w:t>5</w:t>
            </w:r>
            <w:r>
              <w:rPr>
                <w:rFonts w:hint="eastAsia" w:ascii="宋体" w:hAnsi="宋体" w:eastAsia="宋体" w:cs="宋体"/>
                <w:i w:val="0"/>
                <w:color w:val="auto"/>
                <w:kern w:val="0"/>
                <w:sz w:val="24"/>
                <w:szCs w:val="24"/>
                <w:u w:val="none"/>
                <w:lang w:val="en-US" w:eastAsia="zh-CN" w:bidi="ar"/>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2830" w:type="dxa"/>
            <w:tcBorders>
              <w:left w:val="single" w:color="auto" w:sz="4" w:space="0"/>
            </w:tcBorders>
            <w:vAlign w:val="center"/>
          </w:tcPr>
          <w:p>
            <w:pPr>
              <w:widowControl/>
              <w:jc w:val="center"/>
              <w:rPr>
                <w:rFonts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highlight w:val="none"/>
                <w:lang w:val="en-US" w:eastAsia="zh-CN"/>
              </w:rPr>
              <w:t>产出</w:t>
            </w:r>
          </w:p>
        </w:tc>
        <w:tc>
          <w:tcPr>
            <w:tcW w:w="1732" w:type="dxa"/>
            <w:vAlign w:val="center"/>
          </w:tcPr>
          <w:p>
            <w:pPr>
              <w:keepNext w:val="0"/>
              <w:keepLines w:val="0"/>
              <w:widowControl/>
              <w:suppressLineNumbers w:val="0"/>
              <w:jc w:val="center"/>
              <w:textAlignment w:val="center"/>
              <w:rPr>
                <w:rFonts w:ascii="仿宋_GB2312" w:hAnsi="仿宋_GB2312" w:eastAsia="仿宋_GB2312" w:cs="仿宋_GB2312"/>
                <w:color w:val="auto"/>
                <w:sz w:val="24"/>
                <w:szCs w:val="24"/>
                <w:highlight w:val="none"/>
              </w:rPr>
            </w:pPr>
            <w:r>
              <w:rPr>
                <w:rFonts w:hint="eastAsia" w:ascii="宋体" w:hAnsi="宋体" w:eastAsia="宋体" w:cs="宋体"/>
                <w:i w:val="0"/>
                <w:color w:val="auto"/>
                <w:kern w:val="0"/>
                <w:sz w:val="24"/>
                <w:szCs w:val="24"/>
                <w:u w:val="none"/>
                <w:lang w:val="en-US" w:eastAsia="zh-CN" w:bidi="ar"/>
              </w:rPr>
              <w:t>30</w:t>
            </w:r>
          </w:p>
        </w:tc>
        <w:tc>
          <w:tcPr>
            <w:tcW w:w="1947" w:type="dxa"/>
            <w:vAlign w:val="center"/>
          </w:tcPr>
          <w:p>
            <w:pPr>
              <w:keepNext w:val="0"/>
              <w:keepLines w:val="0"/>
              <w:widowControl/>
              <w:suppressLineNumbers w:val="0"/>
              <w:jc w:val="center"/>
              <w:textAlignment w:val="center"/>
              <w:rPr>
                <w:rFonts w:hint="default" w:ascii="仿宋_GB2312" w:hAnsi="仿宋_GB2312" w:eastAsia="仿宋_GB2312" w:cs="仿宋_GB2312"/>
                <w:color w:val="auto"/>
                <w:sz w:val="24"/>
                <w:szCs w:val="24"/>
                <w:highlight w:val="none"/>
                <w:lang w:val="en-US"/>
              </w:rPr>
            </w:pPr>
            <w:r>
              <w:rPr>
                <w:rFonts w:hint="eastAsia" w:ascii="宋体" w:hAnsi="宋体" w:eastAsia="宋体" w:cs="宋体"/>
                <w:i w:val="0"/>
                <w:color w:val="auto"/>
                <w:kern w:val="0"/>
                <w:sz w:val="24"/>
                <w:szCs w:val="24"/>
                <w:u w:val="none"/>
                <w:lang w:val="en-US" w:eastAsia="zh-CN" w:bidi="ar"/>
              </w:rPr>
              <w:t>2</w:t>
            </w:r>
            <w:r>
              <w:rPr>
                <w:rFonts w:hint="eastAsia" w:ascii="宋体" w:hAnsi="宋体" w:cs="宋体"/>
                <w:i w:val="0"/>
                <w:color w:val="auto"/>
                <w:kern w:val="0"/>
                <w:sz w:val="24"/>
                <w:szCs w:val="24"/>
                <w:u w:val="none"/>
                <w:lang w:val="en-US" w:eastAsia="zh-CN" w:bidi="ar"/>
              </w:rPr>
              <w:t>9</w:t>
            </w:r>
            <w:r>
              <w:rPr>
                <w:rFonts w:hint="eastAsia" w:ascii="宋体" w:hAnsi="宋体" w:eastAsia="宋体" w:cs="宋体"/>
                <w:i w:val="0"/>
                <w:color w:val="auto"/>
                <w:kern w:val="0"/>
                <w:sz w:val="24"/>
                <w:szCs w:val="24"/>
                <w:u w:val="none"/>
                <w:lang w:val="en-US" w:eastAsia="zh-CN" w:bidi="ar"/>
              </w:rPr>
              <w:t>.</w:t>
            </w:r>
            <w:r>
              <w:rPr>
                <w:rFonts w:hint="eastAsia" w:ascii="宋体" w:hAnsi="宋体" w:cs="宋体"/>
                <w:i w:val="0"/>
                <w:color w:val="auto"/>
                <w:kern w:val="0"/>
                <w:sz w:val="24"/>
                <w:szCs w:val="24"/>
                <w:u w:val="none"/>
                <w:lang w:val="en-US" w:eastAsia="zh-CN" w:bidi="ar"/>
              </w:rPr>
              <w:t>64</w:t>
            </w:r>
            <w:r>
              <w:rPr>
                <w:rFonts w:hint="eastAsia" w:ascii="宋体" w:hAnsi="宋体" w:eastAsia="宋体" w:cs="宋体"/>
                <w:i w:val="0"/>
                <w:color w:val="auto"/>
                <w:kern w:val="0"/>
                <w:sz w:val="24"/>
                <w:szCs w:val="24"/>
                <w:u w:val="none"/>
                <w:lang w:val="en-US" w:eastAsia="zh-CN" w:bidi="ar"/>
              </w:rPr>
              <w:t xml:space="preserve"> </w:t>
            </w:r>
          </w:p>
        </w:tc>
        <w:tc>
          <w:tcPr>
            <w:tcW w:w="1949" w:type="dxa"/>
            <w:tcBorders>
              <w:right w:val="single" w:color="auto" w:sz="4" w:space="0"/>
            </w:tcBorders>
            <w:vAlign w:val="center"/>
          </w:tcPr>
          <w:p>
            <w:pPr>
              <w:keepNext w:val="0"/>
              <w:keepLines w:val="0"/>
              <w:widowControl/>
              <w:suppressLineNumbers w:val="0"/>
              <w:jc w:val="center"/>
              <w:textAlignment w:val="center"/>
              <w:rPr>
                <w:rFonts w:hint="default" w:ascii="仿宋_GB2312" w:hAnsi="宋体" w:eastAsia="仿宋_GB2312" w:cs="仿宋_GB2312"/>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u w:val="none"/>
                <w:lang w:val="en-US" w:eastAsia="zh-CN" w:bidi="ar"/>
              </w:rPr>
              <w:t>9</w:t>
            </w:r>
            <w:r>
              <w:rPr>
                <w:rFonts w:hint="eastAsia" w:ascii="宋体" w:hAnsi="宋体" w:cs="宋体"/>
                <w:i w:val="0"/>
                <w:color w:val="auto"/>
                <w:kern w:val="0"/>
                <w:sz w:val="24"/>
                <w:szCs w:val="24"/>
                <w:u w:val="none"/>
                <w:lang w:val="en-US" w:eastAsia="zh-CN" w:bidi="ar"/>
              </w:rPr>
              <w:t>8</w:t>
            </w:r>
            <w:r>
              <w:rPr>
                <w:rFonts w:hint="eastAsia" w:ascii="宋体" w:hAnsi="宋体" w:eastAsia="宋体" w:cs="宋体"/>
                <w:i w:val="0"/>
                <w:color w:val="auto"/>
                <w:kern w:val="0"/>
                <w:sz w:val="24"/>
                <w:szCs w:val="24"/>
                <w:u w:val="none"/>
                <w:lang w:val="en-US" w:eastAsia="zh-CN" w:bidi="ar"/>
              </w:rPr>
              <w:t>.</w:t>
            </w:r>
            <w:r>
              <w:rPr>
                <w:rFonts w:hint="eastAsia" w:ascii="宋体" w:hAnsi="宋体" w:cs="宋体"/>
                <w:i w:val="0"/>
                <w:color w:val="auto"/>
                <w:kern w:val="0"/>
                <w:sz w:val="24"/>
                <w:szCs w:val="24"/>
                <w:u w:val="none"/>
                <w:lang w:val="en-US" w:eastAsia="zh-CN" w:bidi="ar"/>
              </w:rPr>
              <w:t>80</w:t>
            </w:r>
            <w:r>
              <w:rPr>
                <w:rFonts w:hint="eastAsia" w:ascii="宋体" w:hAnsi="宋体" w:eastAsia="宋体" w:cs="宋体"/>
                <w:i w:val="0"/>
                <w:color w:val="auto"/>
                <w:kern w:val="0"/>
                <w:sz w:val="24"/>
                <w:szCs w:val="24"/>
                <w:u w:val="none"/>
                <w:lang w:val="en-US" w:eastAsia="zh-CN" w:bidi="ar"/>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2830" w:type="dxa"/>
            <w:tcBorders>
              <w:left w:val="single" w:color="auto" w:sz="4" w:space="0"/>
            </w:tcBorders>
            <w:vAlign w:val="center"/>
          </w:tcPr>
          <w:p>
            <w:pPr>
              <w:widowControl/>
              <w:jc w:val="center"/>
              <w:rPr>
                <w:rFonts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highlight w:val="none"/>
                <w:lang w:val="en-US" w:eastAsia="zh-CN"/>
              </w:rPr>
              <w:t>效益</w:t>
            </w:r>
          </w:p>
        </w:tc>
        <w:tc>
          <w:tcPr>
            <w:tcW w:w="1732" w:type="dxa"/>
            <w:vAlign w:val="center"/>
          </w:tcPr>
          <w:p>
            <w:pPr>
              <w:keepNext w:val="0"/>
              <w:keepLines w:val="0"/>
              <w:widowControl/>
              <w:suppressLineNumbers w:val="0"/>
              <w:jc w:val="center"/>
              <w:textAlignment w:val="center"/>
              <w:rPr>
                <w:rFonts w:ascii="仿宋_GB2312" w:hAnsi="仿宋_GB2312" w:eastAsia="仿宋_GB2312" w:cs="仿宋_GB2312"/>
                <w:color w:val="auto"/>
                <w:sz w:val="24"/>
                <w:szCs w:val="24"/>
                <w:highlight w:val="none"/>
              </w:rPr>
            </w:pPr>
            <w:r>
              <w:rPr>
                <w:rFonts w:hint="eastAsia" w:ascii="宋体" w:hAnsi="宋体" w:eastAsia="宋体" w:cs="宋体"/>
                <w:i w:val="0"/>
                <w:color w:val="auto"/>
                <w:kern w:val="0"/>
                <w:sz w:val="24"/>
                <w:szCs w:val="24"/>
                <w:u w:val="none"/>
                <w:lang w:val="en-US" w:eastAsia="zh-CN" w:bidi="ar"/>
              </w:rPr>
              <w:t>30</w:t>
            </w:r>
          </w:p>
        </w:tc>
        <w:tc>
          <w:tcPr>
            <w:tcW w:w="1947" w:type="dxa"/>
            <w:vAlign w:val="center"/>
          </w:tcPr>
          <w:p>
            <w:pPr>
              <w:keepNext w:val="0"/>
              <w:keepLines w:val="0"/>
              <w:widowControl/>
              <w:suppressLineNumbers w:val="0"/>
              <w:jc w:val="center"/>
              <w:textAlignment w:val="center"/>
              <w:rPr>
                <w:rFonts w:hint="default" w:ascii="仿宋_GB2312" w:hAnsi="仿宋_GB2312" w:eastAsia="仿宋_GB2312" w:cs="仿宋_GB2312"/>
                <w:color w:val="auto"/>
                <w:sz w:val="24"/>
                <w:szCs w:val="24"/>
                <w:highlight w:val="none"/>
                <w:lang w:val="en-US"/>
              </w:rPr>
            </w:pPr>
            <w:r>
              <w:rPr>
                <w:rFonts w:hint="eastAsia" w:ascii="宋体" w:hAnsi="宋体" w:cs="宋体"/>
                <w:i w:val="0"/>
                <w:color w:val="auto"/>
                <w:kern w:val="0"/>
                <w:sz w:val="24"/>
                <w:szCs w:val="24"/>
                <w:u w:val="none"/>
                <w:lang w:val="en-US" w:eastAsia="zh-CN" w:bidi="ar"/>
              </w:rPr>
              <w:t>29</w:t>
            </w:r>
            <w:r>
              <w:rPr>
                <w:rFonts w:hint="eastAsia" w:ascii="宋体" w:hAnsi="宋体" w:eastAsia="宋体" w:cs="宋体"/>
                <w:i w:val="0"/>
                <w:color w:val="auto"/>
                <w:kern w:val="0"/>
                <w:sz w:val="24"/>
                <w:szCs w:val="24"/>
                <w:u w:val="none"/>
                <w:lang w:val="en-US" w:eastAsia="zh-CN" w:bidi="ar"/>
              </w:rPr>
              <w:t>.</w:t>
            </w:r>
            <w:r>
              <w:rPr>
                <w:rFonts w:hint="eastAsia" w:ascii="宋体" w:hAnsi="宋体" w:cs="宋体"/>
                <w:i w:val="0"/>
                <w:color w:val="auto"/>
                <w:kern w:val="0"/>
                <w:sz w:val="24"/>
                <w:szCs w:val="24"/>
                <w:u w:val="none"/>
                <w:lang w:val="en-US" w:eastAsia="zh-CN" w:bidi="ar"/>
              </w:rPr>
              <w:t>2</w:t>
            </w:r>
            <w:r>
              <w:rPr>
                <w:rFonts w:hint="eastAsia" w:ascii="宋体" w:hAnsi="宋体" w:eastAsia="宋体" w:cs="宋体"/>
                <w:i w:val="0"/>
                <w:color w:val="auto"/>
                <w:kern w:val="0"/>
                <w:sz w:val="24"/>
                <w:szCs w:val="24"/>
                <w:u w:val="none"/>
                <w:lang w:val="en-US" w:eastAsia="zh-CN" w:bidi="ar"/>
              </w:rPr>
              <w:t xml:space="preserve">0 </w:t>
            </w:r>
          </w:p>
        </w:tc>
        <w:tc>
          <w:tcPr>
            <w:tcW w:w="1949" w:type="dxa"/>
            <w:tcBorders>
              <w:right w:val="single" w:color="auto" w:sz="4" w:space="0"/>
            </w:tcBorders>
            <w:vAlign w:val="center"/>
          </w:tcPr>
          <w:p>
            <w:pPr>
              <w:keepNext w:val="0"/>
              <w:keepLines w:val="0"/>
              <w:widowControl/>
              <w:suppressLineNumbers w:val="0"/>
              <w:jc w:val="center"/>
              <w:textAlignment w:val="center"/>
              <w:rPr>
                <w:rFonts w:hint="default" w:ascii="仿宋_GB2312" w:hAnsi="宋体" w:eastAsia="仿宋_GB2312" w:cs="仿宋_GB2312"/>
                <w:i w:val="0"/>
                <w:color w:val="auto"/>
                <w:kern w:val="0"/>
                <w:sz w:val="24"/>
                <w:szCs w:val="24"/>
                <w:highlight w:val="none"/>
                <w:u w:val="none"/>
                <w:lang w:val="en-US" w:eastAsia="zh-CN" w:bidi="ar"/>
              </w:rPr>
            </w:pPr>
            <w:r>
              <w:rPr>
                <w:rFonts w:hint="eastAsia" w:ascii="宋体" w:hAnsi="宋体" w:cs="宋体"/>
                <w:i w:val="0"/>
                <w:color w:val="auto"/>
                <w:kern w:val="0"/>
                <w:sz w:val="24"/>
                <w:szCs w:val="24"/>
                <w:u w:val="none"/>
                <w:lang w:val="en-US" w:eastAsia="zh-CN" w:bidi="ar"/>
              </w:rPr>
              <w:t>97</w:t>
            </w:r>
            <w:r>
              <w:rPr>
                <w:rFonts w:hint="eastAsia" w:ascii="宋体" w:hAnsi="宋体" w:eastAsia="宋体" w:cs="宋体"/>
                <w:i w:val="0"/>
                <w:color w:val="auto"/>
                <w:kern w:val="0"/>
                <w:sz w:val="24"/>
                <w:szCs w:val="24"/>
                <w:u w:val="none"/>
                <w:lang w:val="en-US" w:eastAsia="zh-CN" w:bidi="ar"/>
              </w:rPr>
              <w:t>.</w:t>
            </w:r>
            <w:r>
              <w:rPr>
                <w:rFonts w:hint="eastAsia" w:ascii="宋体" w:hAnsi="宋体" w:cs="宋体"/>
                <w:i w:val="0"/>
                <w:color w:val="auto"/>
                <w:kern w:val="0"/>
                <w:sz w:val="24"/>
                <w:szCs w:val="24"/>
                <w:u w:val="none"/>
                <w:lang w:val="en-US" w:eastAsia="zh-CN" w:bidi="ar"/>
              </w:rPr>
              <w:t>33</w:t>
            </w:r>
            <w:r>
              <w:rPr>
                <w:rFonts w:hint="eastAsia" w:ascii="宋体" w:hAnsi="宋体" w:eastAsia="宋体" w:cs="宋体"/>
                <w:i w:val="0"/>
                <w:color w:val="auto"/>
                <w:kern w:val="0"/>
                <w:sz w:val="24"/>
                <w:szCs w:val="24"/>
                <w:u w:val="none"/>
                <w:lang w:val="en-US" w:eastAsia="zh-CN" w:bidi="ar"/>
              </w:rPr>
              <w:t>%</w:t>
            </w:r>
          </w:p>
        </w:tc>
      </w:tr>
    </w:tbl>
    <w:p>
      <w:pPr>
        <w:keepNext w:val="0"/>
        <w:keepLines w:val="0"/>
        <w:pageBreakBefore w:val="0"/>
        <w:kinsoku/>
        <w:wordWrap/>
        <w:overflowPunct/>
        <w:topLinePunct w:val="0"/>
        <w:autoSpaceDE/>
        <w:autoSpaceDN/>
        <w:bidi w:val="0"/>
        <w:adjustRightInd/>
        <w:snapToGrid/>
        <w:spacing w:line="340" w:lineRule="exact"/>
        <w:jc w:val="center"/>
        <w:rPr>
          <w:color w:val="auto"/>
          <w:highlight w:val="none"/>
        </w:rPr>
      </w:pPr>
    </w:p>
    <w:p>
      <w:pPr>
        <w:pStyle w:val="13"/>
        <w:keepNext w:val="0"/>
        <w:keepLines w:val="0"/>
        <w:pageBreakBefore w:val="0"/>
        <w:widowControl w:val="0"/>
        <w:numPr>
          <w:ilvl w:val="0"/>
          <w:numId w:val="2"/>
        </w:numPr>
        <w:kinsoku/>
        <w:wordWrap/>
        <w:overflowPunct/>
        <w:topLinePunct w:val="0"/>
        <w:autoSpaceDE/>
        <w:autoSpaceDN/>
        <w:bidi w:val="0"/>
        <w:adjustRightInd/>
        <w:snapToGrid/>
        <w:ind w:left="0" w:leftChars="0" w:firstLine="642" w:firstLineChars="200"/>
        <w:textAlignment w:val="auto"/>
        <w:rPr>
          <w:rFonts w:hint="eastAsia" w:ascii="仿宋_GB2312" w:hAnsi="仿宋" w:eastAsia="仿宋_GB2312"/>
          <w:color w:val="auto"/>
          <w:sz w:val="32"/>
          <w:highlight w:val="none"/>
        </w:rPr>
      </w:pPr>
      <w:r>
        <w:rPr>
          <w:rFonts w:hint="eastAsia" w:ascii="仿宋_GB2312" w:eastAsia="仿宋_GB2312"/>
          <w:b/>
          <w:bCs/>
          <w:color w:val="auto"/>
          <w:sz w:val="32"/>
          <w:szCs w:val="32"/>
          <w:highlight w:val="none"/>
        </w:rPr>
        <w:t>投入</w:t>
      </w:r>
      <w:r>
        <w:rPr>
          <w:rFonts w:hint="eastAsia" w:ascii="仿宋_GB2312" w:eastAsia="仿宋_GB2312"/>
          <w:b/>
          <w:bCs/>
          <w:color w:val="auto"/>
          <w:sz w:val="32"/>
          <w:szCs w:val="32"/>
          <w:highlight w:val="none"/>
          <w:lang w:eastAsia="zh-CN"/>
        </w:rPr>
        <w:t>。</w:t>
      </w:r>
      <w:r>
        <w:rPr>
          <w:rFonts w:hint="eastAsia" w:ascii="仿宋_GB2312" w:hAnsi="仿宋" w:eastAsia="仿宋_GB2312"/>
          <w:color w:val="auto"/>
          <w:sz w:val="32"/>
          <w:highlight w:val="none"/>
        </w:rPr>
        <w:t>该指标主要从项目立项和资金落实两个方面考察</w:t>
      </w:r>
      <w:r>
        <w:rPr>
          <w:rFonts w:hint="eastAsia" w:ascii="仿宋_GB2312" w:hAnsi="仿宋_GB2312" w:eastAsia="仿宋_GB2312" w:cs="仿宋_GB2312"/>
          <w:color w:val="auto"/>
          <w:sz w:val="32"/>
          <w:highlight w:val="none"/>
        </w:rPr>
        <w:t>项目论证的充分性，绩效目标的完整性、合理性和可衡量性，制度和计划上的保障措施，资金到位和分配情况</w:t>
      </w:r>
      <w:r>
        <w:rPr>
          <w:rFonts w:hint="eastAsia" w:ascii="仿宋_GB2312" w:hAnsi="仿宋" w:eastAsia="仿宋_GB2312"/>
          <w:color w:val="auto"/>
          <w:sz w:val="32"/>
          <w:highlight w:val="none"/>
        </w:rPr>
        <w:t>。指标分值20分，评价得分</w:t>
      </w:r>
      <w:r>
        <w:rPr>
          <w:rFonts w:hint="eastAsia" w:ascii="仿宋_GB2312" w:hAnsi="仿宋" w:eastAsia="仿宋_GB2312"/>
          <w:color w:val="auto"/>
          <w:sz w:val="32"/>
          <w:highlight w:val="none"/>
          <w:lang w:val="en-US" w:eastAsia="zh-CN"/>
        </w:rPr>
        <w:t>19.20</w:t>
      </w:r>
      <w:r>
        <w:rPr>
          <w:rFonts w:hint="eastAsia" w:ascii="仿宋_GB2312" w:hAnsi="仿宋" w:eastAsia="仿宋_GB2312"/>
          <w:color w:val="auto"/>
          <w:sz w:val="32"/>
          <w:highlight w:val="none"/>
        </w:rPr>
        <w:t>分，得分率为</w:t>
      </w:r>
      <w:r>
        <w:rPr>
          <w:rFonts w:hint="eastAsia" w:ascii="仿宋_GB2312" w:hAnsi="仿宋" w:eastAsia="仿宋_GB2312"/>
          <w:color w:val="auto"/>
          <w:sz w:val="32"/>
          <w:highlight w:val="none"/>
          <w:lang w:val="en-US" w:eastAsia="zh-CN"/>
        </w:rPr>
        <w:t>96</w:t>
      </w:r>
      <w:r>
        <w:rPr>
          <w:rFonts w:hint="eastAsia" w:ascii="仿宋_GB2312" w:hAnsi="仿宋" w:eastAsia="仿宋_GB2312"/>
          <w:color w:val="auto"/>
          <w:sz w:val="32"/>
          <w:highlight w:val="none"/>
        </w:rPr>
        <w:t>%。</w:t>
      </w:r>
    </w:p>
    <w:p>
      <w:pPr>
        <w:pStyle w:val="13"/>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highlight w:val="none"/>
        </w:rPr>
      </w:pPr>
      <w:bookmarkStart w:id="17" w:name="_Toc39323948"/>
      <w:bookmarkStart w:id="18" w:name="_Toc5399"/>
      <w:bookmarkStart w:id="19" w:name="_Toc39324245"/>
      <w:bookmarkStart w:id="20" w:name="_Toc42020742"/>
      <w:bookmarkStart w:id="21" w:name="_Toc39921328"/>
      <w:bookmarkStart w:id="22" w:name="_Toc42021433"/>
      <w:bookmarkStart w:id="23" w:name="_Toc41334547"/>
      <w:r>
        <w:rPr>
          <w:rFonts w:hint="eastAsia" w:ascii="仿宋_GB2312" w:hAnsi="仿宋" w:eastAsia="仿宋_GB2312"/>
          <w:b w:val="0"/>
          <w:color w:val="auto"/>
          <w:sz w:val="32"/>
          <w:highlight w:val="none"/>
          <w:lang w:eastAsia="zh-CN"/>
        </w:rPr>
        <w:t>（</w:t>
      </w:r>
      <w:r>
        <w:rPr>
          <w:rFonts w:hint="eastAsia" w:ascii="仿宋_GB2312" w:hAnsi="仿宋" w:eastAsia="仿宋_GB2312"/>
          <w:b w:val="0"/>
          <w:color w:val="auto"/>
          <w:sz w:val="32"/>
          <w:highlight w:val="none"/>
          <w:lang w:val="en-US" w:eastAsia="zh-CN"/>
        </w:rPr>
        <w:t>1</w:t>
      </w:r>
      <w:r>
        <w:rPr>
          <w:rFonts w:hint="eastAsia" w:ascii="仿宋_GB2312" w:hAnsi="仿宋" w:eastAsia="仿宋_GB2312"/>
          <w:b w:val="0"/>
          <w:color w:val="auto"/>
          <w:sz w:val="32"/>
          <w:highlight w:val="none"/>
          <w:lang w:eastAsia="zh-CN"/>
        </w:rPr>
        <w:t>）论证决策。</w:t>
      </w:r>
      <w:bookmarkEnd w:id="17"/>
      <w:bookmarkEnd w:id="18"/>
      <w:bookmarkEnd w:id="19"/>
      <w:bookmarkEnd w:id="20"/>
      <w:bookmarkEnd w:id="21"/>
      <w:bookmarkEnd w:id="22"/>
      <w:bookmarkEnd w:id="23"/>
      <w:r>
        <w:rPr>
          <w:rFonts w:hint="eastAsia" w:ascii="仿宋_GB2312" w:hAnsi="仿宋" w:eastAsia="仿宋_GB2312" w:cs="Times New Roman"/>
          <w:color w:val="auto"/>
          <w:sz w:val="32"/>
          <w:highlight w:val="none"/>
        </w:rPr>
        <w:t>该指标分值4分，评价得分</w:t>
      </w:r>
      <w:r>
        <w:rPr>
          <w:rFonts w:hint="eastAsia" w:ascii="仿宋_GB2312" w:hAnsi="仿宋" w:eastAsia="仿宋_GB2312" w:cs="Times New Roman"/>
          <w:color w:val="auto"/>
          <w:sz w:val="32"/>
          <w:highlight w:val="none"/>
          <w:lang w:val="en-US" w:eastAsia="zh-CN"/>
        </w:rPr>
        <w:t>4</w:t>
      </w:r>
      <w:r>
        <w:rPr>
          <w:rFonts w:hint="eastAsia" w:ascii="仿宋_GB2312" w:hAnsi="仿宋" w:eastAsia="仿宋_GB2312" w:cs="Times New Roman"/>
          <w:color w:val="auto"/>
          <w:sz w:val="32"/>
          <w:highlight w:val="none"/>
        </w:rPr>
        <w:t>分，得分率为</w:t>
      </w:r>
      <w:r>
        <w:rPr>
          <w:rFonts w:hint="eastAsia" w:ascii="仿宋_GB2312" w:hAnsi="仿宋" w:eastAsia="仿宋_GB2312" w:cs="Times New Roman"/>
          <w:color w:val="auto"/>
          <w:sz w:val="32"/>
          <w:highlight w:val="none"/>
          <w:lang w:val="en-US" w:eastAsia="zh-CN"/>
        </w:rPr>
        <w:t>100</w:t>
      </w:r>
      <w:r>
        <w:rPr>
          <w:rFonts w:hint="eastAsia" w:ascii="仿宋_GB2312" w:hAnsi="仿宋" w:eastAsia="仿宋_GB2312" w:cs="Times New Roman"/>
          <w:color w:val="auto"/>
          <w:sz w:val="32"/>
          <w:highlight w:val="none"/>
        </w:rPr>
        <w:t>%。</w:t>
      </w:r>
      <w:r>
        <w:rPr>
          <w:rFonts w:hint="eastAsia" w:ascii="仿宋_GB2312" w:hAnsi="仿宋" w:eastAsia="仿宋_GB2312" w:cs="Times New Roman"/>
          <w:color w:val="auto"/>
          <w:sz w:val="32"/>
          <w:highlight w:val="none"/>
          <w:lang w:eastAsia="zh-CN"/>
        </w:rPr>
        <w:t>专项资金</w:t>
      </w:r>
      <w:r>
        <w:rPr>
          <w:rFonts w:hint="eastAsia" w:ascii="仿宋_GB2312" w:hAnsi="仿宋_GB2312" w:eastAsia="仿宋_GB2312" w:cs="仿宋_GB2312"/>
          <w:color w:val="auto"/>
          <w:sz w:val="32"/>
          <w:szCs w:val="32"/>
          <w:lang w:val="en-US" w:eastAsia="zh-CN"/>
        </w:rPr>
        <w:t>根据省政府常务会议决定和《广东省海洋与渔业厅、广东省财政厅关于印发&lt;广东省休（禁）渔渔民生产生活补助发放实施方案&gt;的通知》（粤海渔〔2018〕25号）设立，此项</w:t>
      </w:r>
      <w:r>
        <w:rPr>
          <w:rFonts w:hint="eastAsia" w:ascii="仿宋_GB2312" w:hAnsi="Times New Roman" w:eastAsia="仿宋_GB2312" w:cs="Times New Roman"/>
          <w:color w:val="auto"/>
          <w:sz w:val="32"/>
          <w:szCs w:val="32"/>
          <w:highlight w:val="none"/>
          <w:lang w:val="en-US" w:eastAsia="zh-CN"/>
        </w:rPr>
        <w:t>资金的主要用途是对因执行休（禁）渔制</w:t>
      </w:r>
      <w:r>
        <w:rPr>
          <w:rFonts w:hint="eastAsia" w:ascii="仿宋_GB2312" w:hAnsi="仿宋" w:eastAsia="仿宋_GB2312" w:cs="Times New Roman"/>
          <w:color w:val="auto"/>
          <w:sz w:val="32"/>
          <w:highlight w:val="none"/>
          <w:lang w:val="en-US" w:eastAsia="zh-CN"/>
        </w:rPr>
        <w:t>度造成生计损</w:t>
      </w:r>
      <w:r>
        <w:rPr>
          <w:rFonts w:hint="eastAsia" w:ascii="仿宋_GB2312" w:hAnsi="Times New Roman" w:eastAsia="仿宋_GB2312" w:cs="Times New Roman"/>
          <w:color w:val="auto"/>
          <w:sz w:val="32"/>
          <w:szCs w:val="32"/>
          <w:highlight w:val="none"/>
          <w:lang w:val="en-US" w:eastAsia="zh-CN"/>
        </w:rPr>
        <w:t>失的渔民群众发放生产生活补助</w:t>
      </w:r>
      <w:r>
        <w:rPr>
          <w:rFonts w:hint="eastAsia" w:ascii="仿宋_GB2312" w:eastAsia="仿宋_GB2312" w:cs="Times New Roman"/>
          <w:color w:val="auto"/>
          <w:sz w:val="32"/>
          <w:szCs w:val="32"/>
          <w:highlight w:val="none"/>
          <w:lang w:val="en-US" w:eastAsia="zh-CN"/>
        </w:rPr>
        <w:t>，</w:t>
      </w:r>
      <w:r>
        <w:rPr>
          <w:rFonts w:hint="eastAsia" w:ascii="仿宋_GB2312" w:hAnsi="仿宋_GB2312" w:eastAsia="仿宋_GB2312" w:cs="仿宋_GB2312"/>
          <w:color w:val="auto"/>
          <w:sz w:val="32"/>
          <w:highlight w:val="none"/>
          <w:lang w:val="en-US" w:eastAsia="zh-CN"/>
        </w:rPr>
        <w:t>专项</w:t>
      </w:r>
      <w:r>
        <w:rPr>
          <w:rFonts w:hint="eastAsia" w:ascii="仿宋_GB2312" w:hAnsi="仿宋_GB2312" w:eastAsia="仿宋_GB2312" w:cs="仿宋_GB2312"/>
          <w:color w:val="auto"/>
          <w:sz w:val="32"/>
          <w:highlight w:val="none"/>
        </w:rPr>
        <w:t>资金设立程序</w:t>
      </w:r>
      <w:r>
        <w:rPr>
          <w:rFonts w:hint="eastAsia" w:ascii="仿宋_GB2312" w:hAnsi="仿宋_GB2312" w:eastAsia="仿宋_GB2312" w:cs="仿宋_GB2312"/>
          <w:color w:val="auto"/>
          <w:sz w:val="32"/>
          <w:highlight w:val="none"/>
          <w:lang w:eastAsia="zh-CN"/>
        </w:rPr>
        <w:t>符合</w:t>
      </w:r>
      <w:r>
        <w:rPr>
          <w:rFonts w:hint="eastAsia" w:ascii="仿宋_GB2312" w:hAnsi="仿宋_GB2312" w:eastAsia="仿宋_GB2312" w:cs="仿宋_GB2312"/>
          <w:color w:val="auto"/>
          <w:sz w:val="32"/>
          <w:highlight w:val="none"/>
        </w:rPr>
        <w:t>省级财政预算</w:t>
      </w:r>
      <w:r>
        <w:rPr>
          <w:rFonts w:hint="eastAsia" w:ascii="仿宋_GB2312" w:hAnsi="仿宋_GB2312" w:eastAsia="仿宋_GB2312" w:cs="仿宋_GB2312"/>
          <w:color w:val="auto"/>
          <w:sz w:val="32"/>
          <w:highlight w:val="none"/>
          <w:lang w:eastAsia="zh-CN"/>
        </w:rPr>
        <w:t>管理规定，</w:t>
      </w:r>
      <w:r>
        <w:rPr>
          <w:rFonts w:hint="eastAsia" w:ascii="仿宋_GB2312" w:hAnsi="仿宋_GB2312" w:eastAsia="仿宋_GB2312" w:cs="仿宋_GB2312"/>
          <w:color w:val="auto"/>
          <w:sz w:val="32"/>
          <w:highlight w:val="none"/>
        </w:rPr>
        <w:t>总体上决策过程科学合理，前期论证比较充分，符合专项资金管理办法相关规定。</w:t>
      </w:r>
    </w:p>
    <w:p>
      <w:pPr>
        <w:pStyle w:val="13"/>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仿宋" w:eastAsia="仿宋_GB2312" w:cs="Times New Roman"/>
          <w:color w:val="auto"/>
          <w:sz w:val="32"/>
          <w:highlight w:val="none"/>
          <w:lang w:val="en-US" w:eastAsia="zh-CN"/>
        </w:rPr>
      </w:pPr>
      <w:r>
        <w:rPr>
          <w:rFonts w:hint="eastAsia" w:ascii="仿宋_GB2312" w:hAnsi="仿宋" w:eastAsia="仿宋_GB2312"/>
          <w:b w:val="0"/>
          <w:color w:val="auto"/>
          <w:sz w:val="32"/>
          <w:highlight w:val="none"/>
          <w:lang w:eastAsia="zh-CN"/>
        </w:rPr>
        <w:t>（</w:t>
      </w:r>
      <w:r>
        <w:rPr>
          <w:rFonts w:hint="eastAsia" w:ascii="仿宋_GB2312" w:hAnsi="仿宋" w:eastAsia="仿宋_GB2312"/>
          <w:b w:val="0"/>
          <w:color w:val="auto"/>
          <w:sz w:val="32"/>
          <w:highlight w:val="none"/>
          <w:lang w:val="en-US" w:eastAsia="zh-CN"/>
        </w:rPr>
        <w:t>2</w:t>
      </w:r>
      <w:r>
        <w:rPr>
          <w:rFonts w:hint="eastAsia" w:ascii="仿宋_GB2312" w:hAnsi="仿宋" w:eastAsia="仿宋_GB2312"/>
          <w:b w:val="0"/>
          <w:color w:val="auto"/>
          <w:sz w:val="32"/>
          <w:highlight w:val="none"/>
          <w:lang w:eastAsia="zh-CN"/>
        </w:rPr>
        <w:t>）</w:t>
      </w:r>
      <w:r>
        <w:rPr>
          <w:rFonts w:hint="eastAsia" w:ascii="仿宋_GB2312" w:hAnsi="仿宋" w:eastAsia="仿宋_GB2312"/>
          <w:b w:val="0"/>
          <w:color w:val="auto"/>
          <w:sz w:val="32"/>
          <w:highlight w:val="none"/>
        </w:rPr>
        <w:t>目标设置。</w:t>
      </w:r>
      <w:r>
        <w:rPr>
          <w:rFonts w:ascii="仿宋_GB2312" w:hAnsi="仿宋" w:eastAsia="仿宋_GB2312"/>
          <w:color w:val="auto"/>
          <w:sz w:val="32"/>
          <w:szCs w:val="32"/>
          <w:highlight w:val="none"/>
        </w:rPr>
        <w:t>该指标分值6分，评价得</w:t>
      </w:r>
      <w:r>
        <w:rPr>
          <w:rFonts w:hint="eastAsia" w:ascii="仿宋_GB2312" w:hAnsi="仿宋" w:eastAsia="仿宋_GB2312"/>
          <w:color w:val="auto"/>
          <w:sz w:val="32"/>
          <w:szCs w:val="32"/>
          <w:highlight w:val="none"/>
        </w:rPr>
        <w:t>分</w:t>
      </w:r>
      <w:r>
        <w:rPr>
          <w:rFonts w:hint="eastAsia" w:ascii="仿宋_GB2312" w:hAnsi="仿宋" w:eastAsia="仿宋_GB2312"/>
          <w:color w:val="auto"/>
          <w:sz w:val="32"/>
          <w:szCs w:val="32"/>
          <w:highlight w:val="none"/>
          <w:lang w:val="en-US" w:eastAsia="zh-CN"/>
        </w:rPr>
        <w:t>5.20</w:t>
      </w:r>
      <w:r>
        <w:rPr>
          <w:rFonts w:ascii="仿宋_GB2312" w:hAnsi="仿宋" w:eastAsia="仿宋_GB2312"/>
          <w:color w:val="auto"/>
          <w:sz w:val="32"/>
          <w:szCs w:val="32"/>
          <w:highlight w:val="none"/>
        </w:rPr>
        <w:t>分，得分率为</w:t>
      </w:r>
      <w:r>
        <w:rPr>
          <w:rFonts w:hint="eastAsia" w:ascii="仿宋_GB2312" w:hAnsi="仿宋" w:eastAsia="仿宋_GB2312"/>
          <w:color w:val="auto"/>
          <w:sz w:val="32"/>
          <w:szCs w:val="32"/>
          <w:highlight w:val="none"/>
          <w:lang w:val="en-US" w:eastAsia="zh-CN"/>
        </w:rPr>
        <w:t>86.67</w:t>
      </w:r>
      <w:r>
        <w:rPr>
          <w:rFonts w:ascii="仿宋_GB2312" w:hAnsi="仿宋" w:eastAsia="仿宋_GB2312"/>
          <w:color w:val="auto"/>
          <w:sz w:val="32"/>
          <w:szCs w:val="32"/>
          <w:highlight w:val="none"/>
        </w:rPr>
        <w:t>%。</w:t>
      </w:r>
      <w:r>
        <w:rPr>
          <w:rFonts w:hint="eastAsia" w:ascii="仿宋_GB2312" w:hAnsi="仿宋" w:eastAsia="仿宋_GB2312"/>
          <w:color w:val="auto"/>
          <w:sz w:val="32"/>
          <w:szCs w:val="32"/>
          <w:highlight w:val="none"/>
          <w:lang w:val="en-US" w:eastAsia="zh-CN"/>
        </w:rPr>
        <w:t>专项资金设置了</w:t>
      </w:r>
      <w:r>
        <w:rPr>
          <w:rFonts w:hint="eastAsia" w:ascii="仿宋_GB2312" w:hAnsi="仿宋" w:eastAsia="仿宋_GB2312" w:cs="Times New Roman"/>
          <w:color w:val="auto"/>
          <w:sz w:val="32"/>
          <w:highlight w:val="none"/>
          <w:lang w:val="en-US" w:eastAsia="zh-CN"/>
        </w:rPr>
        <w:t>绩效目标，有关市县下达资金文件也有随文下达了</w:t>
      </w:r>
      <w:r>
        <w:rPr>
          <w:rFonts w:hint="eastAsia" w:ascii="仿宋_GB2312" w:hAnsi="仿宋" w:eastAsia="仿宋_GB2312" w:cs="Times New Roman"/>
          <w:color w:val="auto"/>
          <w:sz w:val="32"/>
          <w:highlight w:val="none"/>
        </w:rPr>
        <w:t>绩效目标。</w:t>
      </w:r>
      <w:r>
        <w:rPr>
          <w:rFonts w:hint="eastAsia" w:ascii="仿宋_GB2312" w:hAnsi="仿宋" w:eastAsia="仿宋_GB2312" w:cs="Times New Roman"/>
          <w:color w:val="auto"/>
          <w:sz w:val="32"/>
          <w:highlight w:val="none"/>
          <w:lang w:eastAsia="zh-CN"/>
        </w:rPr>
        <w:t>项目设置的</w:t>
      </w:r>
      <w:r>
        <w:rPr>
          <w:rFonts w:hint="eastAsia" w:ascii="仿宋_GB2312" w:hAnsi="仿宋" w:eastAsia="仿宋_GB2312" w:cs="Times New Roman"/>
          <w:color w:val="auto"/>
          <w:sz w:val="32"/>
          <w:highlight w:val="none"/>
          <w:lang w:val="en-US" w:eastAsia="zh-CN"/>
        </w:rPr>
        <w:t>绩效目标与资金属性特点、支出内容相关，基本符合项目属性和客观实际。但是绩效目标的产出、效益指标不够完整，指标参数不够清晰。项目未设置可衡量的指标，与“可量化、可评估”的要求存在一定差距。</w:t>
      </w:r>
    </w:p>
    <w:p>
      <w:pPr>
        <w:pStyle w:val="13"/>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仿宋_GB2312" w:eastAsia="仿宋_GB2312" w:cs="Times New Roman"/>
          <w:color w:val="auto"/>
          <w:kern w:val="2"/>
          <w:sz w:val="32"/>
          <w:szCs w:val="32"/>
          <w:highlight w:val="none"/>
          <w:lang w:val="en-US" w:eastAsia="zh-CN" w:bidi="ar-SA"/>
        </w:rPr>
      </w:pPr>
      <w:r>
        <w:rPr>
          <w:rFonts w:hint="eastAsia" w:ascii="仿宋_GB2312" w:hAnsi="仿宋" w:eastAsia="仿宋_GB2312"/>
          <w:b w:val="0"/>
          <w:color w:val="auto"/>
          <w:sz w:val="32"/>
          <w:highlight w:val="none"/>
          <w:lang w:eastAsia="zh-CN"/>
        </w:rPr>
        <w:t>（</w:t>
      </w:r>
      <w:r>
        <w:rPr>
          <w:rFonts w:hint="eastAsia" w:ascii="仿宋_GB2312" w:hAnsi="仿宋" w:eastAsia="仿宋_GB2312"/>
          <w:b w:val="0"/>
          <w:color w:val="auto"/>
          <w:sz w:val="32"/>
          <w:highlight w:val="none"/>
          <w:lang w:val="en-US" w:eastAsia="zh-CN"/>
        </w:rPr>
        <w:t>3</w:t>
      </w:r>
      <w:r>
        <w:rPr>
          <w:rFonts w:hint="eastAsia" w:ascii="仿宋_GB2312" w:hAnsi="仿宋" w:eastAsia="仿宋_GB2312"/>
          <w:b w:val="0"/>
          <w:color w:val="auto"/>
          <w:sz w:val="32"/>
          <w:highlight w:val="none"/>
          <w:lang w:eastAsia="zh-CN"/>
        </w:rPr>
        <w:t>）</w:t>
      </w:r>
      <w:r>
        <w:rPr>
          <w:rFonts w:hint="eastAsia" w:ascii="仿宋_GB2312" w:hAnsi="仿宋" w:eastAsia="仿宋_GB2312"/>
          <w:b w:val="0"/>
          <w:color w:val="auto"/>
          <w:sz w:val="32"/>
          <w:highlight w:val="none"/>
        </w:rPr>
        <w:t>保障措施。</w:t>
      </w:r>
      <w:r>
        <w:rPr>
          <w:rFonts w:ascii="仿宋_GB2312" w:hAnsi="仿宋" w:eastAsia="仿宋_GB2312"/>
          <w:color w:val="auto"/>
          <w:sz w:val="32"/>
          <w:szCs w:val="32"/>
          <w:highlight w:val="none"/>
        </w:rPr>
        <w:t>该指标分值2分，评价得</w:t>
      </w:r>
      <w:r>
        <w:rPr>
          <w:rFonts w:hint="eastAsia" w:ascii="仿宋_GB2312" w:hAnsi="仿宋" w:eastAsia="仿宋_GB2312"/>
          <w:color w:val="auto"/>
          <w:sz w:val="32"/>
          <w:szCs w:val="32"/>
          <w:highlight w:val="none"/>
        </w:rPr>
        <w:t>分</w:t>
      </w:r>
      <w:r>
        <w:rPr>
          <w:rFonts w:hint="eastAsia" w:ascii="仿宋_GB2312" w:hAnsi="仿宋" w:eastAsia="仿宋_GB2312"/>
          <w:color w:val="auto"/>
          <w:sz w:val="32"/>
          <w:szCs w:val="32"/>
          <w:highlight w:val="none"/>
          <w:lang w:val="en-US" w:eastAsia="zh-CN"/>
        </w:rPr>
        <w:t>2</w:t>
      </w:r>
      <w:r>
        <w:rPr>
          <w:rFonts w:ascii="仿宋_GB2312" w:hAnsi="仿宋" w:eastAsia="仿宋_GB2312"/>
          <w:color w:val="auto"/>
          <w:sz w:val="32"/>
          <w:szCs w:val="32"/>
          <w:highlight w:val="none"/>
        </w:rPr>
        <w:t>分，得分率为</w:t>
      </w:r>
      <w:r>
        <w:rPr>
          <w:rFonts w:hint="eastAsia" w:ascii="仿宋_GB2312" w:hAnsi="仿宋" w:eastAsia="仿宋_GB2312"/>
          <w:color w:val="auto"/>
          <w:sz w:val="32"/>
          <w:szCs w:val="32"/>
          <w:highlight w:val="none"/>
          <w:lang w:val="en-US" w:eastAsia="zh-CN"/>
        </w:rPr>
        <w:t>100</w:t>
      </w:r>
      <w:r>
        <w:rPr>
          <w:rFonts w:ascii="仿宋_GB2312" w:hAnsi="仿宋" w:eastAsia="仿宋_GB2312"/>
          <w:color w:val="auto"/>
          <w:sz w:val="32"/>
          <w:szCs w:val="32"/>
          <w:highlight w:val="none"/>
        </w:rPr>
        <w:t>%。</w:t>
      </w:r>
      <w:r>
        <w:rPr>
          <w:rFonts w:hint="eastAsia" w:ascii="仿宋_GB2312" w:hAnsi="仿宋" w:eastAsia="仿宋_GB2312"/>
          <w:color w:val="auto"/>
          <w:sz w:val="32"/>
          <w:szCs w:val="32"/>
          <w:highlight w:val="none"/>
        </w:rPr>
        <w:t>《广东省人民政府关于印发广东省省级财政专项资金管理办法（试行）的通知》（粤府〔2018〕120号）</w:t>
      </w:r>
      <w:r>
        <w:rPr>
          <w:rFonts w:hint="eastAsia" w:ascii="仿宋_GB2312" w:hAnsi="仿宋" w:eastAsia="仿宋_GB2312"/>
          <w:color w:val="auto"/>
          <w:sz w:val="32"/>
          <w:szCs w:val="32"/>
          <w:highlight w:val="none"/>
          <w:lang w:eastAsia="zh-CN"/>
        </w:rPr>
        <w:t>、《关于印发&lt;广东省休（禁）渔渔民生产生活补助发放实施方案&gt;的通知》（粤海渔〔2018〕25号）、</w:t>
      </w:r>
      <w:r>
        <w:rPr>
          <w:rFonts w:hint="eastAsia" w:ascii="仿宋_GB2312" w:eastAsia="仿宋_GB2312"/>
          <w:color w:val="auto"/>
          <w:sz w:val="32"/>
          <w:highlight w:val="none"/>
        </w:rPr>
        <w:t>《关于印发〈广东省农业农村厅财政专项资金管理办法（试行）〉等管理制度的通知》（粤农办〔2018〕615号）</w:t>
      </w:r>
      <w:r>
        <w:rPr>
          <w:rFonts w:hint="eastAsia" w:ascii="仿宋_GB2312" w:hAnsi="仿宋" w:eastAsia="仿宋_GB2312"/>
          <w:color w:val="auto"/>
          <w:sz w:val="32"/>
          <w:szCs w:val="32"/>
          <w:highlight w:val="none"/>
          <w:lang w:eastAsia="zh-CN"/>
        </w:rPr>
        <w:t>等</w:t>
      </w:r>
      <w:r>
        <w:rPr>
          <w:rFonts w:hint="eastAsia" w:ascii="仿宋_GB2312" w:hAnsi="仿宋" w:eastAsia="仿宋_GB2312"/>
          <w:color w:val="auto"/>
          <w:sz w:val="32"/>
          <w:szCs w:val="32"/>
          <w:highlight w:val="none"/>
        </w:rPr>
        <w:t>文件</w:t>
      </w:r>
      <w:r>
        <w:rPr>
          <w:rFonts w:hint="eastAsia" w:ascii="仿宋_GB2312" w:hAnsi="仿宋_GB2312" w:eastAsia="仿宋_GB2312" w:cs="Times New Roman"/>
          <w:color w:val="auto"/>
          <w:kern w:val="2"/>
          <w:sz w:val="32"/>
          <w:szCs w:val="32"/>
          <w:highlight w:val="none"/>
          <w:lang w:val="en-US" w:eastAsia="zh-CN" w:bidi="ar-SA"/>
        </w:rPr>
        <w:t>能够为项目规范实施提供制度保障。</w:t>
      </w:r>
      <w:r>
        <w:rPr>
          <w:rFonts w:hint="eastAsia" w:ascii="仿宋_GB2312" w:hAnsi="仿宋" w:eastAsia="仿宋_GB2312"/>
          <w:color w:val="auto"/>
          <w:sz w:val="32"/>
          <w:szCs w:val="32"/>
          <w:highlight w:val="none"/>
          <w:lang w:eastAsia="zh-CN"/>
        </w:rPr>
        <w:t>有关市县按照</w:t>
      </w:r>
      <w:r>
        <w:rPr>
          <w:rFonts w:hint="eastAsia" w:ascii="仿宋_GB2312" w:hAnsi="仿宋" w:eastAsia="仿宋_GB2312"/>
          <w:color w:val="auto"/>
          <w:sz w:val="32"/>
          <w:szCs w:val="32"/>
          <w:highlight w:val="none"/>
          <w:lang w:val="en-US" w:eastAsia="zh-CN"/>
        </w:rPr>
        <w:t>上述文件</w:t>
      </w:r>
      <w:r>
        <w:rPr>
          <w:rFonts w:hint="eastAsia" w:ascii="仿宋_GB2312" w:hAnsi="仿宋_GB2312" w:eastAsia="仿宋_GB2312" w:cs="Times New Roman"/>
          <w:color w:val="auto"/>
          <w:kern w:val="2"/>
          <w:sz w:val="32"/>
          <w:szCs w:val="32"/>
          <w:highlight w:val="none"/>
          <w:lang w:val="en-US" w:eastAsia="zh-CN" w:bidi="ar-SA"/>
        </w:rPr>
        <w:t>下达的任务安排项目实施计划，工作安排比较合理。</w:t>
      </w:r>
      <w:bookmarkStart w:id="24" w:name="_Toc41334548"/>
      <w:bookmarkStart w:id="25" w:name="_Toc3881"/>
      <w:bookmarkStart w:id="26" w:name="_Toc39323951"/>
      <w:bookmarkStart w:id="27" w:name="_Toc42021434"/>
      <w:bookmarkStart w:id="28" w:name="_Toc42020743"/>
      <w:bookmarkStart w:id="29" w:name="_Toc39921331"/>
      <w:bookmarkStart w:id="30" w:name="_Toc524298183"/>
      <w:bookmarkStart w:id="31" w:name="_Toc39324248"/>
    </w:p>
    <w:p>
      <w:pPr>
        <w:pStyle w:val="13"/>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仿宋" w:eastAsia="仿宋_GB2312"/>
          <w:color w:val="auto"/>
          <w:sz w:val="32"/>
          <w:szCs w:val="32"/>
          <w:highlight w:val="none"/>
          <w:lang w:eastAsia="zh-CN"/>
        </w:rPr>
      </w:pPr>
      <w:r>
        <w:rPr>
          <w:rFonts w:hint="eastAsia" w:ascii="仿宋_GB2312" w:hAnsi="仿宋" w:eastAsia="仿宋_GB2312"/>
          <w:b w:val="0"/>
          <w:color w:val="auto"/>
          <w:sz w:val="32"/>
          <w:highlight w:val="none"/>
          <w:lang w:eastAsia="zh-CN"/>
        </w:rPr>
        <w:t>（</w:t>
      </w:r>
      <w:r>
        <w:rPr>
          <w:rFonts w:hint="eastAsia" w:ascii="仿宋_GB2312" w:hAnsi="仿宋" w:eastAsia="仿宋_GB2312"/>
          <w:b w:val="0"/>
          <w:color w:val="auto"/>
          <w:sz w:val="32"/>
          <w:highlight w:val="none"/>
          <w:lang w:val="en-US" w:eastAsia="zh-CN"/>
        </w:rPr>
        <w:t>4</w:t>
      </w:r>
      <w:r>
        <w:rPr>
          <w:rFonts w:hint="eastAsia" w:ascii="仿宋_GB2312" w:hAnsi="仿宋" w:eastAsia="仿宋_GB2312"/>
          <w:b w:val="0"/>
          <w:color w:val="auto"/>
          <w:sz w:val="32"/>
          <w:highlight w:val="none"/>
          <w:lang w:eastAsia="zh-CN"/>
        </w:rPr>
        <w:t>）</w:t>
      </w:r>
      <w:r>
        <w:rPr>
          <w:rFonts w:hint="eastAsia" w:ascii="仿宋_GB2312" w:hAnsi="仿宋" w:eastAsia="仿宋_GB2312"/>
          <w:b w:val="0"/>
          <w:color w:val="auto"/>
          <w:sz w:val="32"/>
          <w:highlight w:val="none"/>
        </w:rPr>
        <w:t>资金到位</w:t>
      </w:r>
      <w:r>
        <w:rPr>
          <w:rFonts w:hint="eastAsia" w:ascii="仿宋_GB2312" w:hAnsi="仿宋" w:eastAsia="仿宋_GB2312" w:cs="Times New Roman"/>
          <w:color w:val="auto"/>
          <w:sz w:val="32"/>
          <w:highlight w:val="none"/>
          <w:lang w:val="en-US" w:eastAsia="zh-CN"/>
        </w:rPr>
        <w:t>。</w:t>
      </w:r>
      <w:bookmarkEnd w:id="24"/>
      <w:bookmarkEnd w:id="25"/>
      <w:bookmarkEnd w:id="26"/>
      <w:bookmarkEnd w:id="27"/>
      <w:bookmarkEnd w:id="28"/>
      <w:bookmarkEnd w:id="29"/>
      <w:bookmarkEnd w:id="30"/>
      <w:bookmarkEnd w:id="31"/>
      <w:r>
        <w:rPr>
          <w:rFonts w:ascii="仿宋_GB2312" w:hAnsi="仿宋" w:eastAsia="仿宋_GB2312"/>
          <w:color w:val="auto"/>
          <w:sz w:val="32"/>
          <w:szCs w:val="32"/>
          <w:highlight w:val="none"/>
        </w:rPr>
        <w:t>该指标分值5分，评价得</w:t>
      </w:r>
      <w:r>
        <w:rPr>
          <w:rFonts w:hint="eastAsia" w:ascii="仿宋_GB2312" w:hAnsi="仿宋" w:eastAsia="仿宋_GB2312"/>
          <w:color w:val="auto"/>
          <w:sz w:val="32"/>
          <w:szCs w:val="32"/>
          <w:highlight w:val="none"/>
        </w:rPr>
        <w:t>分</w:t>
      </w:r>
      <w:r>
        <w:rPr>
          <w:rFonts w:hint="eastAsia" w:ascii="仿宋_GB2312" w:hAnsi="仿宋" w:eastAsia="仿宋_GB2312"/>
          <w:color w:val="auto"/>
          <w:sz w:val="32"/>
          <w:szCs w:val="32"/>
          <w:highlight w:val="none"/>
          <w:lang w:val="en-US" w:eastAsia="zh-CN"/>
        </w:rPr>
        <w:t>5</w:t>
      </w:r>
      <w:r>
        <w:rPr>
          <w:rFonts w:ascii="仿宋_GB2312" w:hAnsi="仿宋" w:eastAsia="仿宋_GB2312"/>
          <w:color w:val="auto"/>
          <w:sz w:val="32"/>
          <w:szCs w:val="32"/>
          <w:highlight w:val="none"/>
        </w:rPr>
        <w:t>分，得分为</w:t>
      </w:r>
      <w:r>
        <w:rPr>
          <w:rFonts w:hint="eastAsia" w:ascii="仿宋_GB2312" w:hAnsi="仿宋" w:eastAsia="仿宋_GB2312"/>
          <w:color w:val="auto"/>
          <w:sz w:val="32"/>
          <w:szCs w:val="32"/>
          <w:highlight w:val="none"/>
          <w:lang w:val="en-US" w:eastAsia="zh-CN"/>
        </w:rPr>
        <w:t>100</w:t>
      </w:r>
      <w:r>
        <w:rPr>
          <w:rFonts w:ascii="仿宋_GB2312" w:hAnsi="仿宋" w:eastAsia="仿宋_GB2312"/>
          <w:color w:val="auto"/>
          <w:sz w:val="32"/>
          <w:szCs w:val="32"/>
          <w:highlight w:val="none"/>
        </w:rPr>
        <w:t>%。</w:t>
      </w:r>
      <w:r>
        <w:rPr>
          <w:rFonts w:hint="eastAsia" w:ascii="仿宋_GB2312" w:hAnsi="仿宋" w:eastAsia="仿宋_GB2312"/>
          <w:color w:val="auto"/>
          <w:sz w:val="32"/>
          <w:szCs w:val="32"/>
          <w:highlight w:val="none"/>
          <w:lang w:val="en-US" w:eastAsia="zh-CN"/>
        </w:rPr>
        <w:t>省财政厅</w:t>
      </w:r>
      <w:r>
        <w:rPr>
          <w:rFonts w:hint="eastAsia" w:ascii="仿宋_GB2312" w:eastAsia="仿宋_GB2312"/>
          <w:color w:val="auto"/>
          <w:sz w:val="32"/>
          <w:szCs w:val="32"/>
          <w:highlight w:val="none"/>
        </w:rPr>
        <w:t>《关于下达2019年省级休（禁）渔渔民生产生活补助资金的通知》</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粤财农〔2019〕160号</w:t>
      </w:r>
      <w:r>
        <w:rPr>
          <w:rFonts w:hint="eastAsia" w:ascii="仿宋_GB2312" w:eastAsia="仿宋_GB2312"/>
          <w:color w:val="auto"/>
          <w:sz w:val="32"/>
          <w:szCs w:val="32"/>
          <w:highlight w:val="none"/>
          <w:lang w:eastAsia="zh-CN"/>
        </w:rPr>
        <w:t>）</w:t>
      </w:r>
      <w:r>
        <w:rPr>
          <w:rFonts w:hint="eastAsia" w:ascii="仿宋_GB2312" w:hAnsi="仿宋" w:eastAsia="仿宋_GB2312"/>
          <w:color w:val="auto"/>
          <w:sz w:val="32"/>
          <w:szCs w:val="32"/>
          <w:highlight w:val="none"/>
          <w:lang w:val="en-US" w:eastAsia="zh-CN"/>
        </w:rPr>
        <w:t>已按规定程序及时足额地将专项资金预算指标下达有关地市，</w:t>
      </w:r>
      <w:r>
        <w:rPr>
          <w:rFonts w:hint="eastAsia" w:ascii="仿宋_GB2312" w:hAnsi="仿宋" w:eastAsia="仿宋_GB2312"/>
          <w:color w:val="auto"/>
          <w:sz w:val="32"/>
          <w:szCs w:val="32"/>
          <w:highlight w:val="none"/>
          <w:lang w:eastAsia="zh-CN"/>
        </w:rPr>
        <w:t>有关地市按规定将资金分配下达到县级，</w:t>
      </w:r>
      <w:r>
        <w:rPr>
          <w:rFonts w:hint="eastAsia" w:ascii="仿宋_GB2312" w:hAnsi="仿宋" w:eastAsia="仿宋_GB2312"/>
          <w:color w:val="auto"/>
          <w:sz w:val="32"/>
          <w:szCs w:val="32"/>
          <w:highlight w:val="none"/>
          <w:lang w:val="en-US" w:eastAsia="zh-CN"/>
        </w:rPr>
        <w:t>资金及时足额到位</w:t>
      </w:r>
      <w:r>
        <w:rPr>
          <w:rFonts w:hint="eastAsia" w:ascii="仿宋_GB2312" w:hAnsi="仿宋" w:eastAsia="仿宋_GB2312"/>
          <w:color w:val="auto"/>
          <w:sz w:val="32"/>
          <w:szCs w:val="32"/>
          <w:highlight w:val="none"/>
          <w:lang w:eastAsia="zh-CN"/>
        </w:rPr>
        <w:t>。</w:t>
      </w:r>
    </w:p>
    <w:p>
      <w:pPr>
        <w:pStyle w:val="13"/>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仿宋" w:eastAsia="仿宋_GB2312"/>
          <w:color w:val="auto"/>
          <w:sz w:val="32"/>
          <w:szCs w:val="32"/>
          <w:highlight w:val="none"/>
        </w:rPr>
      </w:pPr>
      <w:r>
        <w:rPr>
          <w:rFonts w:hint="eastAsia" w:ascii="仿宋_GB2312" w:hAnsi="仿宋" w:eastAsia="仿宋_GB2312"/>
          <w:b w:val="0"/>
          <w:color w:val="auto"/>
          <w:sz w:val="32"/>
          <w:highlight w:val="none"/>
          <w:lang w:eastAsia="zh-CN"/>
        </w:rPr>
        <w:t>（</w:t>
      </w:r>
      <w:r>
        <w:rPr>
          <w:rFonts w:hint="eastAsia" w:ascii="仿宋_GB2312" w:hAnsi="仿宋" w:eastAsia="仿宋_GB2312"/>
          <w:b w:val="0"/>
          <w:color w:val="auto"/>
          <w:sz w:val="32"/>
          <w:highlight w:val="none"/>
          <w:lang w:val="en-US" w:eastAsia="zh-CN"/>
        </w:rPr>
        <w:t>5</w:t>
      </w:r>
      <w:r>
        <w:rPr>
          <w:rFonts w:hint="eastAsia" w:ascii="仿宋_GB2312" w:hAnsi="仿宋" w:eastAsia="仿宋_GB2312"/>
          <w:b w:val="0"/>
          <w:color w:val="auto"/>
          <w:sz w:val="32"/>
          <w:highlight w:val="none"/>
          <w:lang w:eastAsia="zh-CN"/>
        </w:rPr>
        <w:t>）</w:t>
      </w:r>
      <w:r>
        <w:rPr>
          <w:rFonts w:hint="eastAsia" w:ascii="仿宋_GB2312" w:hAnsi="仿宋" w:eastAsia="仿宋_GB2312"/>
          <w:b w:val="0"/>
          <w:color w:val="auto"/>
          <w:sz w:val="32"/>
          <w:highlight w:val="none"/>
        </w:rPr>
        <w:t>资金分配。</w:t>
      </w:r>
      <w:r>
        <w:rPr>
          <w:rFonts w:ascii="仿宋_GB2312" w:hAnsi="仿宋" w:eastAsia="仿宋_GB2312"/>
          <w:color w:val="auto"/>
          <w:sz w:val="32"/>
          <w:szCs w:val="32"/>
          <w:highlight w:val="none"/>
        </w:rPr>
        <w:t>该指标分值3分，评价得</w:t>
      </w:r>
      <w:r>
        <w:rPr>
          <w:rFonts w:hint="eastAsia" w:ascii="仿宋_GB2312" w:hAnsi="仿宋" w:eastAsia="仿宋_GB2312"/>
          <w:color w:val="auto"/>
          <w:sz w:val="32"/>
          <w:szCs w:val="32"/>
          <w:highlight w:val="none"/>
        </w:rPr>
        <w:t>分</w:t>
      </w:r>
      <w:r>
        <w:rPr>
          <w:rFonts w:hint="eastAsia" w:ascii="仿宋_GB2312" w:hAnsi="仿宋" w:eastAsia="仿宋_GB2312"/>
          <w:color w:val="auto"/>
          <w:sz w:val="32"/>
          <w:szCs w:val="32"/>
          <w:highlight w:val="none"/>
          <w:lang w:val="en-US" w:eastAsia="zh-CN"/>
        </w:rPr>
        <w:t>3</w:t>
      </w:r>
      <w:r>
        <w:rPr>
          <w:rFonts w:ascii="仿宋_GB2312" w:hAnsi="仿宋" w:eastAsia="仿宋_GB2312"/>
          <w:color w:val="auto"/>
          <w:sz w:val="32"/>
          <w:szCs w:val="32"/>
          <w:highlight w:val="none"/>
        </w:rPr>
        <w:t>分，得分率</w:t>
      </w:r>
      <w:r>
        <w:rPr>
          <w:rFonts w:hint="eastAsia" w:ascii="仿宋_GB2312" w:hAnsi="仿宋" w:eastAsia="仿宋_GB2312"/>
          <w:color w:val="auto"/>
          <w:sz w:val="32"/>
          <w:szCs w:val="32"/>
          <w:highlight w:val="none"/>
          <w:lang w:val="en-US" w:eastAsia="zh-CN"/>
        </w:rPr>
        <w:t>100</w:t>
      </w:r>
      <w:r>
        <w:rPr>
          <w:rFonts w:ascii="仿宋_GB2312" w:hAnsi="仿宋" w:eastAsia="仿宋_GB2312"/>
          <w:color w:val="auto"/>
          <w:sz w:val="32"/>
          <w:szCs w:val="32"/>
          <w:highlight w:val="none"/>
        </w:rPr>
        <w:t>%。</w:t>
      </w:r>
      <w:r>
        <w:rPr>
          <w:rFonts w:hint="eastAsia" w:ascii="仿宋_GB2312" w:hAnsi="仿宋" w:eastAsia="仿宋_GB2312"/>
          <w:color w:val="auto"/>
          <w:sz w:val="32"/>
          <w:szCs w:val="32"/>
          <w:highlight w:val="none"/>
        </w:rPr>
        <w:t>资金按因素法分配，专项资金分配明确合理，扶持对象和主要用途符合相关规定</w:t>
      </w:r>
      <w:r>
        <w:rPr>
          <w:rFonts w:hint="eastAsia" w:ascii="仿宋_GB2312" w:hAnsi="仿宋" w:eastAsia="仿宋_GB2312"/>
          <w:color w:val="auto"/>
          <w:sz w:val="32"/>
          <w:szCs w:val="32"/>
          <w:highlight w:val="none"/>
          <w:lang w:eastAsia="zh-CN"/>
        </w:rPr>
        <w:t>，</w:t>
      </w:r>
      <w:r>
        <w:rPr>
          <w:rFonts w:hint="eastAsia" w:ascii="仿宋_GB2312" w:hAnsi="仿宋" w:eastAsia="仿宋_GB2312"/>
          <w:color w:val="auto"/>
          <w:sz w:val="32"/>
          <w:szCs w:val="32"/>
          <w:highlight w:val="none"/>
          <w:lang w:val="en-US" w:eastAsia="zh-CN"/>
        </w:rPr>
        <w:t>有助于实现绩效目标</w:t>
      </w:r>
      <w:r>
        <w:rPr>
          <w:rFonts w:hint="eastAsia" w:ascii="仿宋_GB2312" w:hAnsi="仿宋" w:eastAsia="仿宋_GB2312"/>
          <w:color w:val="auto"/>
          <w:sz w:val="32"/>
          <w:szCs w:val="32"/>
          <w:highlight w:val="none"/>
        </w:rPr>
        <w:t>。</w:t>
      </w:r>
      <w:bookmarkStart w:id="32" w:name="_Toc11847"/>
    </w:p>
    <w:p>
      <w:pPr>
        <w:pStyle w:val="13"/>
        <w:keepNext w:val="0"/>
        <w:keepLines w:val="0"/>
        <w:pageBreakBefore w:val="0"/>
        <w:widowControl w:val="0"/>
        <w:numPr>
          <w:ilvl w:val="0"/>
          <w:numId w:val="0"/>
        </w:numPr>
        <w:kinsoku/>
        <w:wordWrap/>
        <w:overflowPunct/>
        <w:topLinePunct w:val="0"/>
        <w:autoSpaceDE/>
        <w:autoSpaceDN/>
        <w:bidi w:val="0"/>
        <w:adjustRightInd/>
        <w:snapToGrid/>
        <w:ind w:firstLine="642" w:firstLineChars="200"/>
        <w:textAlignment w:val="auto"/>
        <w:rPr>
          <w:rFonts w:hint="default" w:ascii="仿宋_GB2312" w:hAnsi="仿宋" w:eastAsia="仿宋_GB2312" w:cs="Times New Roman"/>
          <w:b w:val="0"/>
          <w:bCs w:val="0"/>
          <w:color w:val="auto"/>
          <w:kern w:val="0"/>
          <w:sz w:val="32"/>
          <w:szCs w:val="32"/>
          <w:highlight w:val="none"/>
          <w:lang w:val="en-US" w:eastAsia="zh-CN" w:bidi="ar-SA"/>
        </w:rPr>
      </w:pPr>
      <w:r>
        <w:rPr>
          <w:rFonts w:hint="eastAsia" w:ascii="仿宋_GB2312" w:hAnsi="Calibri" w:eastAsia="仿宋_GB2312" w:cs="Times New Roman"/>
          <w:b/>
          <w:bCs/>
          <w:color w:val="auto"/>
          <w:kern w:val="0"/>
          <w:sz w:val="32"/>
          <w:szCs w:val="32"/>
          <w:highlight w:val="none"/>
          <w:lang w:val="en-US" w:eastAsia="zh-CN" w:bidi="ar-SA"/>
        </w:rPr>
        <w:t>2. 过程。</w:t>
      </w:r>
      <w:r>
        <w:rPr>
          <w:rFonts w:hint="eastAsia" w:ascii="仿宋_GB2312" w:hAnsi="仿宋" w:eastAsia="仿宋_GB2312" w:cs="Times New Roman"/>
          <w:b w:val="0"/>
          <w:bCs w:val="0"/>
          <w:color w:val="auto"/>
          <w:kern w:val="0"/>
          <w:sz w:val="32"/>
          <w:szCs w:val="32"/>
          <w:highlight w:val="none"/>
          <w:lang w:val="en-US" w:eastAsia="zh-CN" w:bidi="ar-SA"/>
        </w:rPr>
        <w:t>该指标主要从资金管理和事项管理两个方面考核项目资金支付情况，资金支出的规范性，项目实施的规范性和监管的有效性。指标分值20分，评价得分19.32分，得分率为96.60%。</w:t>
      </w:r>
      <w:bookmarkEnd w:id="32"/>
    </w:p>
    <w:p>
      <w:pPr>
        <w:numPr>
          <w:ilvl w:val="0"/>
          <w:numId w:val="0"/>
        </w:numPr>
        <w:ind w:left="0" w:leftChars="0" w:firstLine="640" w:firstLineChars="200"/>
        <w:rPr>
          <w:rFonts w:hint="eastAsia" w:ascii="仿宋_GB2312" w:hAnsi="仿宋" w:eastAsia="仿宋_GB2312" w:cs="Times New Roman"/>
          <w:b w:val="0"/>
          <w:color w:val="auto"/>
          <w:sz w:val="32"/>
          <w:highlight w:val="none"/>
          <w:lang w:eastAsia="zh-CN"/>
        </w:rPr>
      </w:pPr>
      <w:bookmarkStart w:id="33" w:name="_Toc42021436"/>
      <w:bookmarkStart w:id="34" w:name="_Toc5105"/>
      <w:bookmarkStart w:id="35" w:name="_Toc39921334"/>
      <w:bookmarkStart w:id="36" w:name="_Toc39324251"/>
      <w:bookmarkStart w:id="37" w:name="_Toc42020745"/>
      <w:bookmarkStart w:id="38" w:name="_Toc41334549"/>
      <w:bookmarkStart w:id="39" w:name="_Toc39323954"/>
      <w:r>
        <w:rPr>
          <w:rFonts w:hint="eastAsia" w:ascii="仿宋_GB2312" w:hAnsi="仿宋" w:eastAsia="仿宋_GB2312" w:cs="Times New Roman"/>
          <w:b w:val="0"/>
          <w:color w:val="auto"/>
          <w:sz w:val="32"/>
          <w:highlight w:val="none"/>
          <w:lang w:eastAsia="zh-CN"/>
        </w:rPr>
        <w:t>（1）资金支付。</w:t>
      </w:r>
      <w:bookmarkEnd w:id="33"/>
      <w:bookmarkEnd w:id="34"/>
      <w:bookmarkEnd w:id="35"/>
      <w:bookmarkEnd w:id="36"/>
      <w:bookmarkEnd w:id="37"/>
      <w:bookmarkEnd w:id="38"/>
      <w:bookmarkEnd w:id="39"/>
      <w:r>
        <w:rPr>
          <w:rFonts w:hint="eastAsia" w:ascii="仿宋_GB2312" w:hAnsi="仿宋" w:eastAsia="仿宋_GB2312" w:cs="Times New Roman"/>
          <w:b w:val="0"/>
          <w:color w:val="auto"/>
          <w:sz w:val="32"/>
          <w:highlight w:val="none"/>
        </w:rPr>
        <w:t>该指标分值6分，评价得分</w:t>
      </w:r>
      <w:r>
        <w:rPr>
          <w:rFonts w:hint="eastAsia" w:ascii="仿宋_GB2312" w:hAnsi="仿宋" w:eastAsia="仿宋_GB2312" w:cs="Times New Roman"/>
          <w:b w:val="0"/>
          <w:color w:val="auto"/>
          <w:sz w:val="32"/>
          <w:highlight w:val="none"/>
          <w:lang w:val="en-US" w:eastAsia="zh-CN"/>
        </w:rPr>
        <w:t>5.73</w:t>
      </w:r>
      <w:r>
        <w:rPr>
          <w:rFonts w:hint="eastAsia" w:ascii="仿宋_GB2312" w:hAnsi="仿宋" w:eastAsia="仿宋_GB2312" w:cs="Times New Roman"/>
          <w:b w:val="0"/>
          <w:color w:val="auto"/>
          <w:sz w:val="32"/>
          <w:highlight w:val="none"/>
        </w:rPr>
        <w:t>分，得分率为</w:t>
      </w:r>
      <w:r>
        <w:rPr>
          <w:rFonts w:hint="eastAsia" w:ascii="仿宋_GB2312" w:hAnsi="仿宋" w:eastAsia="仿宋_GB2312" w:cs="Times New Roman"/>
          <w:b w:val="0"/>
          <w:color w:val="auto"/>
          <w:sz w:val="32"/>
          <w:highlight w:val="none"/>
          <w:lang w:val="en-US" w:eastAsia="zh-CN"/>
        </w:rPr>
        <w:t>95.50</w:t>
      </w:r>
      <w:r>
        <w:rPr>
          <w:rFonts w:hint="eastAsia" w:ascii="仿宋_GB2312" w:hAnsi="仿宋" w:eastAsia="仿宋_GB2312" w:cs="Times New Roman"/>
          <w:b w:val="0"/>
          <w:color w:val="auto"/>
          <w:sz w:val="32"/>
          <w:highlight w:val="none"/>
        </w:rPr>
        <w:t>%。</w:t>
      </w:r>
      <w:r>
        <w:rPr>
          <w:rFonts w:hint="eastAsia" w:ascii="仿宋_GB2312" w:hAnsi="仿宋" w:eastAsia="仿宋_GB2312" w:cs="Times New Roman"/>
          <w:b w:val="0"/>
          <w:color w:val="auto"/>
          <w:sz w:val="32"/>
          <w:highlight w:val="none"/>
          <w:lang w:eastAsia="zh-CN"/>
        </w:rPr>
        <w:t>省财政厅</w:t>
      </w:r>
      <w:r>
        <w:rPr>
          <w:rFonts w:hint="eastAsia" w:ascii="仿宋_GB2312" w:hAnsi="仿宋" w:eastAsia="仿宋_GB2312" w:cs="Times New Roman"/>
          <w:b w:val="0"/>
          <w:color w:val="auto"/>
          <w:sz w:val="32"/>
          <w:highlight w:val="none"/>
        </w:rPr>
        <w:t>20</w:t>
      </w:r>
      <w:r>
        <w:rPr>
          <w:rFonts w:hint="eastAsia" w:ascii="仿宋_GB2312" w:hAnsi="仿宋" w:eastAsia="仿宋_GB2312" w:cs="Times New Roman"/>
          <w:b w:val="0"/>
          <w:color w:val="auto"/>
          <w:sz w:val="32"/>
          <w:highlight w:val="none"/>
          <w:lang w:val="en-US" w:eastAsia="zh-CN"/>
        </w:rPr>
        <w:t>19</w:t>
      </w:r>
      <w:r>
        <w:rPr>
          <w:rFonts w:hint="eastAsia" w:ascii="仿宋_GB2312" w:hAnsi="仿宋" w:eastAsia="仿宋_GB2312" w:cs="Times New Roman"/>
          <w:b w:val="0"/>
          <w:color w:val="auto"/>
          <w:sz w:val="32"/>
          <w:highlight w:val="none"/>
        </w:rPr>
        <w:t>年</w:t>
      </w:r>
      <w:r>
        <w:rPr>
          <w:rFonts w:hint="eastAsia" w:ascii="仿宋_GB2312" w:hAnsi="仿宋" w:eastAsia="仿宋_GB2312" w:cs="Times New Roman"/>
          <w:b w:val="0"/>
          <w:color w:val="auto"/>
          <w:sz w:val="32"/>
          <w:highlight w:val="none"/>
          <w:lang w:val="en-US" w:eastAsia="zh-CN"/>
        </w:rPr>
        <w:t>9</w:t>
      </w:r>
      <w:r>
        <w:rPr>
          <w:rFonts w:hint="eastAsia" w:ascii="仿宋_GB2312" w:hAnsi="仿宋" w:eastAsia="仿宋_GB2312" w:cs="Times New Roman"/>
          <w:b w:val="0"/>
          <w:color w:val="auto"/>
          <w:sz w:val="32"/>
          <w:highlight w:val="none"/>
        </w:rPr>
        <w:t>月</w:t>
      </w:r>
      <w:r>
        <w:rPr>
          <w:rFonts w:hint="eastAsia" w:ascii="仿宋_GB2312" w:hAnsi="仿宋" w:eastAsia="仿宋_GB2312" w:cs="Times New Roman"/>
          <w:b w:val="0"/>
          <w:color w:val="auto"/>
          <w:sz w:val="32"/>
          <w:highlight w:val="none"/>
          <w:lang w:val="en-US" w:eastAsia="zh-CN"/>
        </w:rPr>
        <w:t>30</w:t>
      </w:r>
      <w:r>
        <w:rPr>
          <w:rFonts w:hint="eastAsia" w:ascii="仿宋_GB2312" w:hAnsi="仿宋" w:eastAsia="仿宋_GB2312" w:cs="Times New Roman"/>
          <w:b w:val="0"/>
          <w:color w:val="auto"/>
          <w:sz w:val="32"/>
          <w:highlight w:val="none"/>
        </w:rPr>
        <w:t>日下达专项资金，</w:t>
      </w:r>
      <w:r>
        <w:rPr>
          <w:rFonts w:hint="eastAsia" w:ascii="仿宋_GB2312" w:hAnsi="仿宋" w:eastAsia="仿宋_GB2312"/>
          <w:color w:val="auto"/>
          <w:sz w:val="32"/>
          <w:szCs w:val="32"/>
          <w:highlight w:val="none"/>
          <w:lang w:val="en-US" w:eastAsia="zh-CN"/>
        </w:rPr>
        <w:t>专项资金到位数3358万元，实际支出数3207.98万元，资金支出率95.53%</w:t>
      </w:r>
      <w:r>
        <w:rPr>
          <w:rFonts w:hint="eastAsia" w:ascii="仿宋_GB2312" w:hAnsi="仿宋" w:eastAsia="仿宋_GB2312" w:cs="Times New Roman"/>
          <w:b w:val="0"/>
          <w:color w:val="auto"/>
          <w:sz w:val="32"/>
          <w:highlight w:val="none"/>
        </w:rPr>
        <w:t>。</w:t>
      </w:r>
      <w:r>
        <w:rPr>
          <w:rFonts w:hint="eastAsia" w:ascii="仿宋_GB2312" w:hAnsi="仿宋_GB2312" w:eastAsia="仿宋_GB2312" w:cs="仿宋_GB2312"/>
          <w:b w:val="0"/>
          <w:bCs w:val="0"/>
          <w:color w:val="auto"/>
          <w:kern w:val="0"/>
          <w:sz w:val="32"/>
          <w:szCs w:val="32"/>
          <w:lang w:val="en-US" w:eastAsia="zh-CN" w:bidi="ar-SA"/>
        </w:rPr>
        <w:t>阳江市江城区</w:t>
      </w:r>
      <w:r>
        <w:rPr>
          <w:rFonts w:hint="eastAsia" w:ascii="仿宋_GB2312" w:hAnsi="仿宋" w:eastAsia="仿宋_GB2312"/>
          <w:color w:val="auto"/>
          <w:sz w:val="32"/>
          <w:szCs w:val="32"/>
          <w:highlight w:val="none"/>
          <w:lang w:val="en-US" w:eastAsia="zh-CN"/>
        </w:rPr>
        <w:t>因工作进度缓慢未能及时发放补助资金</w:t>
      </w:r>
      <w:r>
        <w:rPr>
          <w:rFonts w:hint="eastAsia" w:ascii="仿宋_GB2312" w:hAnsi="仿宋" w:eastAsia="仿宋_GB2312" w:cs="Times New Roman"/>
          <w:b w:val="0"/>
          <w:color w:val="auto"/>
          <w:sz w:val="32"/>
          <w:highlight w:val="none"/>
          <w:lang w:eastAsia="zh-CN"/>
        </w:rPr>
        <w:t>，</w:t>
      </w:r>
      <w:r>
        <w:rPr>
          <w:rFonts w:hint="eastAsia" w:ascii="仿宋_GB2312" w:hAnsi="仿宋" w:eastAsia="仿宋_GB2312" w:cs="Times New Roman"/>
          <w:b w:val="0"/>
          <w:color w:val="auto"/>
          <w:sz w:val="32"/>
          <w:highlight w:val="none"/>
        </w:rPr>
        <w:t>影响资金支出进度</w:t>
      </w:r>
      <w:r>
        <w:rPr>
          <w:rFonts w:hint="eastAsia" w:ascii="仿宋_GB2312" w:hAnsi="仿宋" w:eastAsia="仿宋_GB2312" w:cs="Times New Roman"/>
          <w:b w:val="0"/>
          <w:color w:val="auto"/>
          <w:sz w:val="32"/>
          <w:highlight w:val="none"/>
          <w:lang w:eastAsia="zh-CN"/>
        </w:rPr>
        <w:t>，</w:t>
      </w:r>
      <w:r>
        <w:rPr>
          <w:rFonts w:hint="eastAsia" w:ascii="仿宋_GB2312" w:hAnsi="仿宋" w:eastAsia="仿宋_GB2312" w:cs="Times New Roman"/>
          <w:b w:val="0"/>
          <w:color w:val="auto"/>
          <w:sz w:val="32"/>
          <w:highlight w:val="none"/>
          <w:lang w:val="en-US" w:eastAsia="zh-CN"/>
        </w:rPr>
        <w:t>未</w:t>
      </w:r>
      <w:r>
        <w:rPr>
          <w:rFonts w:hint="eastAsia" w:ascii="仿宋_GB2312" w:hAnsi="仿宋" w:eastAsia="仿宋_GB2312" w:cs="Times New Roman"/>
          <w:b w:val="0"/>
          <w:color w:val="auto"/>
          <w:sz w:val="32"/>
          <w:highlight w:val="none"/>
        </w:rPr>
        <w:t>达到支出进度计划</w:t>
      </w:r>
      <w:r>
        <w:rPr>
          <w:rFonts w:hint="eastAsia" w:ascii="仿宋_GB2312" w:hAnsi="仿宋" w:eastAsia="仿宋_GB2312" w:cs="Times New Roman"/>
          <w:b w:val="0"/>
          <w:color w:val="auto"/>
          <w:sz w:val="32"/>
          <w:highlight w:val="none"/>
          <w:lang w:eastAsia="zh-CN"/>
        </w:rPr>
        <w:t>。</w:t>
      </w:r>
    </w:p>
    <w:p>
      <w:pPr>
        <w:pStyle w:val="13"/>
        <w:ind w:left="0" w:leftChars="0" w:firstLine="640" w:firstLineChars="200"/>
        <w:rPr>
          <w:rFonts w:hint="eastAsia" w:ascii="仿宋_GB2312" w:eastAsia="仿宋_GB2312"/>
          <w:color w:val="auto"/>
          <w:sz w:val="32"/>
          <w:szCs w:val="32"/>
          <w:highlight w:val="none"/>
        </w:rPr>
      </w:pPr>
      <w:r>
        <w:rPr>
          <w:rFonts w:hint="eastAsia" w:ascii="仿宋_GB2312" w:hAnsi="仿宋" w:eastAsia="仿宋_GB2312"/>
          <w:b w:val="0"/>
          <w:color w:val="auto"/>
          <w:sz w:val="32"/>
          <w:highlight w:val="none"/>
        </w:rPr>
        <w:t>（2）支出规范性。</w:t>
      </w:r>
      <w:r>
        <w:rPr>
          <w:rFonts w:hint="eastAsia" w:ascii="仿宋_GB2312" w:hAnsi="Times New Roman" w:eastAsia="仿宋_GB2312" w:cs="Times New Roman"/>
          <w:color w:val="auto"/>
          <w:sz w:val="32"/>
          <w:highlight w:val="none"/>
          <w:lang w:eastAsia="zh-CN"/>
        </w:rPr>
        <w:t>该指标分值</w:t>
      </w:r>
      <w:r>
        <w:rPr>
          <w:rFonts w:hint="eastAsia" w:ascii="仿宋_GB2312" w:hAnsi="Times New Roman" w:eastAsia="仿宋_GB2312" w:cs="Times New Roman"/>
          <w:color w:val="auto"/>
          <w:sz w:val="32"/>
          <w:highlight w:val="none"/>
          <w:lang w:val="en-US" w:eastAsia="zh-CN"/>
        </w:rPr>
        <w:t>6</w:t>
      </w:r>
      <w:r>
        <w:rPr>
          <w:rFonts w:hint="eastAsia" w:ascii="仿宋_GB2312" w:hAnsi="Times New Roman" w:eastAsia="仿宋_GB2312" w:cs="Times New Roman"/>
          <w:color w:val="auto"/>
          <w:sz w:val="32"/>
          <w:highlight w:val="none"/>
          <w:lang w:eastAsia="zh-CN"/>
        </w:rPr>
        <w:t>分，评价得分</w:t>
      </w:r>
      <w:r>
        <w:rPr>
          <w:rFonts w:hint="eastAsia" w:ascii="仿宋_GB2312" w:eastAsia="仿宋_GB2312" w:cs="Times New Roman"/>
          <w:color w:val="auto"/>
          <w:sz w:val="32"/>
          <w:highlight w:val="none"/>
          <w:lang w:val="en-US" w:eastAsia="zh-CN"/>
        </w:rPr>
        <w:t>6</w:t>
      </w:r>
      <w:r>
        <w:rPr>
          <w:rFonts w:hint="eastAsia" w:ascii="仿宋_GB2312" w:hAnsi="Times New Roman" w:eastAsia="仿宋_GB2312" w:cs="Times New Roman"/>
          <w:color w:val="auto"/>
          <w:sz w:val="32"/>
          <w:highlight w:val="none"/>
          <w:lang w:eastAsia="zh-CN"/>
        </w:rPr>
        <w:t>分，得分率为</w:t>
      </w:r>
      <w:r>
        <w:rPr>
          <w:rFonts w:hint="eastAsia" w:ascii="仿宋_GB2312" w:eastAsia="仿宋_GB2312" w:cs="Times New Roman"/>
          <w:color w:val="auto"/>
          <w:sz w:val="32"/>
          <w:highlight w:val="none"/>
          <w:lang w:val="en-US" w:eastAsia="zh-CN"/>
        </w:rPr>
        <w:t>100</w:t>
      </w:r>
      <w:r>
        <w:rPr>
          <w:rFonts w:hint="eastAsia" w:ascii="仿宋_GB2312" w:hAnsi="Times New Roman" w:eastAsia="仿宋_GB2312" w:cs="Times New Roman"/>
          <w:color w:val="auto"/>
          <w:sz w:val="32"/>
          <w:highlight w:val="none"/>
          <w:lang w:eastAsia="zh-CN"/>
        </w:rPr>
        <w:t>%。</w:t>
      </w:r>
      <w:r>
        <w:rPr>
          <w:rFonts w:hint="eastAsia" w:ascii="仿宋_GB2312" w:eastAsia="仿宋_GB2312" w:cs="Times New Roman"/>
          <w:color w:val="auto"/>
          <w:sz w:val="32"/>
          <w:highlight w:val="none"/>
          <w:lang w:val="en-US" w:eastAsia="zh-CN"/>
        </w:rPr>
        <w:t>我厅和有关市县能够</w:t>
      </w:r>
      <w:r>
        <w:rPr>
          <w:rFonts w:hint="eastAsia" w:ascii="仿宋_GB2312" w:eastAsia="仿宋_GB2312"/>
          <w:color w:val="auto"/>
          <w:sz w:val="32"/>
          <w:szCs w:val="32"/>
          <w:highlight w:val="none"/>
        </w:rPr>
        <w:t>按照有关专项资金管理办法和财务制度规定</w:t>
      </w:r>
      <w:r>
        <w:rPr>
          <w:rFonts w:hint="eastAsia" w:ascii="仿宋_GB2312" w:eastAsia="仿宋_GB2312"/>
          <w:color w:val="auto"/>
          <w:sz w:val="32"/>
          <w:szCs w:val="32"/>
          <w:highlight w:val="none"/>
          <w:lang w:eastAsia="zh-CN"/>
        </w:rPr>
        <w:t>监管</w:t>
      </w:r>
      <w:r>
        <w:rPr>
          <w:rFonts w:hint="eastAsia" w:ascii="仿宋_GB2312" w:eastAsia="仿宋_GB2312"/>
          <w:color w:val="auto"/>
          <w:sz w:val="32"/>
          <w:szCs w:val="32"/>
          <w:highlight w:val="none"/>
        </w:rPr>
        <w:t>、使用专项资金。事项支出的合规性良好，资金管理、费用标准、支付符合有关制度规定，</w:t>
      </w:r>
      <w:r>
        <w:rPr>
          <w:rFonts w:hint="eastAsia" w:ascii="仿宋_GB2312" w:eastAsia="仿宋_GB2312"/>
          <w:color w:val="auto"/>
          <w:sz w:val="32"/>
          <w:szCs w:val="32"/>
          <w:highlight w:val="none"/>
          <w:lang w:eastAsia="zh-CN"/>
        </w:rPr>
        <w:t>未发现</w:t>
      </w:r>
      <w:r>
        <w:rPr>
          <w:rFonts w:hint="eastAsia" w:ascii="仿宋_GB2312" w:eastAsia="仿宋_GB2312"/>
          <w:color w:val="auto"/>
          <w:sz w:val="32"/>
          <w:szCs w:val="32"/>
          <w:highlight w:val="none"/>
        </w:rPr>
        <w:t>超范围</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虚列支出</w:t>
      </w:r>
      <w:r>
        <w:rPr>
          <w:rFonts w:hint="eastAsia" w:ascii="仿宋_GB2312" w:eastAsia="仿宋_GB2312"/>
          <w:color w:val="auto"/>
          <w:sz w:val="32"/>
          <w:szCs w:val="32"/>
          <w:highlight w:val="none"/>
          <w:lang w:eastAsia="zh-CN"/>
        </w:rPr>
        <w:t>及</w:t>
      </w:r>
      <w:r>
        <w:rPr>
          <w:rFonts w:hint="eastAsia" w:ascii="仿宋_GB2312" w:eastAsia="仿宋_GB2312"/>
          <w:color w:val="auto"/>
          <w:sz w:val="32"/>
          <w:szCs w:val="32"/>
          <w:highlight w:val="none"/>
        </w:rPr>
        <w:t>截留、挤占、挪用资金</w:t>
      </w:r>
      <w:r>
        <w:rPr>
          <w:rFonts w:hint="eastAsia" w:ascii="仿宋_GB2312" w:eastAsia="仿宋_GB2312"/>
          <w:color w:val="auto"/>
          <w:sz w:val="32"/>
          <w:szCs w:val="32"/>
          <w:highlight w:val="none"/>
          <w:lang w:eastAsia="zh-CN"/>
        </w:rPr>
        <w:t>等</w:t>
      </w:r>
      <w:r>
        <w:rPr>
          <w:rFonts w:hint="eastAsia" w:ascii="仿宋_GB2312" w:eastAsia="仿宋_GB2312"/>
          <w:color w:val="auto"/>
          <w:sz w:val="32"/>
          <w:szCs w:val="32"/>
          <w:highlight w:val="none"/>
        </w:rPr>
        <w:t>情况。</w:t>
      </w:r>
    </w:p>
    <w:p>
      <w:pPr>
        <w:pStyle w:val="13"/>
        <w:numPr>
          <w:ilvl w:val="0"/>
          <w:numId w:val="0"/>
        </w:numPr>
        <w:ind w:firstLine="640" w:firstLineChars="200"/>
        <w:rPr>
          <w:rFonts w:hint="eastAsia" w:ascii="仿宋_GB2312" w:hAnsi="仿宋_GB2312" w:eastAsia="仿宋_GB2312" w:cs="仿宋_GB2312"/>
          <w:color w:val="auto"/>
          <w:sz w:val="32"/>
          <w:highlight w:val="none"/>
        </w:rPr>
      </w:pPr>
      <w:r>
        <w:rPr>
          <w:rFonts w:hint="eastAsia" w:ascii="仿宋_GB2312" w:hAnsi="仿宋" w:eastAsia="仿宋_GB2312"/>
          <w:b w:val="0"/>
          <w:color w:val="auto"/>
          <w:sz w:val="32"/>
          <w:highlight w:val="none"/>
        </w:rPr>
        <w:t>（3）实施程序。</w:t>
      </w:r>
      <w:r>
        <w:rPr>
          <w:rFonts w:ascii="仿宋_GB2312" w:hAnsi="仿宋" w:eastAsia="仿宋_GB2312"/>
          <w:color w:val="auto"/>
          <w:sz w:val="32"/>
          <w:szCs w:val="32"/>
          <w:highlight w:val="none"/>
        </w:rPr>
        <w:t>该指标分值4分，评价得</w:t>
      </w:r>
      <w:r>
        <w:rPr>
          <w:rFonts w:hint="eastAsia" w:ascii="仿宋_GB2312" w:hAnsi="仿宋" w:eastAsia="仿宋_GB2312"/>
          <w:color w:val="auto"/>
          <w:sz w:val="32"/>
          <w:szCs w:val="32"/>
          <w:highlight w:val="none"/>
        </w:rPr>
        <w:t>分</w:t>
      </w:r>
      <w:r>
        <w:rPr>
          <w:rFonts w:hint="eastAsia" w:ascii="仿宋_GB2312" w:hAnsi="仿宋" w:eastAsia="仿宋_GB2312"/>
          <w:color w:val="auto"/>
          <w:sz w:val="32"/>
          <w:szCs w:val="32"/>
          <w:highlight w:val="none"/>
          <w:lang w:val="en-US" w:eastAsia="zh-CN"/>
        </w:rPr>
        <w:t>4</w:t>
      </w:r>
      <w:r>
        <w:rPr>
          <w:rFonts w:ascii="仿宋_GB2312" w:hAnsi="仿宋" w:eastAsia="仿宋_GB2312"/>
          <w:color w:val="auto"/>
          <w:sz w:val="32"/>
          <w:szCs w:val="32"/>
          <w:highlight w:val="none"/>
        </w:rPr>
        <w:t>分，得分率为</w:t>
      </w:r>
      <w:r>
        <w:rPr>
          <w:rFonts w:hint="eastAsia" w:ascii="仿宋_GB2312" w:hAnsi="仿宋" w:eastAsia="仿宋_GB2312"/>
          <w:color w:val="auto"/>
          <w:sz w:val="32"/>
          <w:szCs w:val="32"/>
          <w:highlight w:val="none"/>
          <w:lang w:val="en-US" w:eastAsia="zh-CN"/>
        </w:rPr>
        <w:t>100</w:t>
      </w:r>
      <w:r>
        <w:rPr>
          <w:rFonts w:ascii="仿宋_GB2312" w:hAnsi="仿宋" w:eastAsia="仿宋_GB2312"/>
          <w:color w:val="auto"/>
          <w:sz w:val="32"/>
          <w:szCs w:val="32"/>
          <w:highlight w:val="none"/>
        </w:rPr>
        <w:t>%。</w:t>
      </w:r>
      <w:r>
        <w:rPr>
          <w:rFonts w:hint="eastAsia" w:ascii="仿宋_GB2312" w:hAnsi="仿宋" w:eastAsia="仿宋_GB2312"/>
          <w:color w:val="auto"/>
          <w:sz w:val="32"/>
          <w:szCs w:val="32"/>
          <w:highlight w:val="none"/>
          <w:lang w:eastAsia="zh-CN"/>
        </w:rPr>
        <w:t>我厅</w:t>
      </w:r>
      <w:r>
        <w:rPr>
          <w:rFonts w:ascii="仿宋_GB2312" w:hAnsi="仿宋_GB2312" w:eastAsia="仿宋_GB2312" w:cs="仿宋_GB2312"/>
          <w:color w:val="auto"/>
          <w:sz w:val="32"/>
          <w:highlight w:val="none"/>
        </w:rPr>
        <w:t>制定了比较明确</w:t>
      </w:r>
      <w:r>
        <w:rPr>
          <w:rFonts w:hint="eastAsia" w:ascii="仿宋_GB2312" w:hAnsi="仿宋_GB2312" w:eastAsia="仿宋_GB2312" w:cs="仿宋_GB2312"/>
          <w:color w:val="auto"/>
          <w:sz w:val="32"/>
          <w:highlight w:val="none"/>
        </w:rPr>
        <w:t>的</w:t>
      </w:r>
      <w:r>
        <w:rPr>
          <w:rFonts w:ascii="仿宋_GB2312" w:hAnsi="仿宋_GB2312" w:eastAsia="仿宋_GB2312" w:cs="仿宋_GB2312"/>
          <w:color w:val="auto"/>
          <w:sz w:val="32"/>
          <w:highlight w:val="none"/>
        </w:rPr>
        <w:t>专项资金项目实施程序，</w:t>
      </w:r>
      <w:r>
        <w:rPr>
          <w:rFonts w:hint="eastAsia" w:ascii="仿宋_GB2312" w:hAnsi="仿宋_GB2312" w:eastAsia="仿宋_GB2312" w:cs="仿宋_GB2312"/>
          <w:color w:val="auto"/>
          <w:sz w:val="32"/>
          <w:highlight w:val="none"/>
          <w:lang w:val="en-US" w:eastAsia="zh-CN"/>
        </w:rPr>
        <w:t>落实相关部门的工作责任。</w:t>
      </w:r>
      <w:r>
        <w:rPr>
          <w:rFonts w:hint="eastAsia" w:ascii="仿宋_GB2312" w:hAnsi="仿宋_GB2312" w:eastAsia="仿宋_GB2312" w:cs="仿宋_GB2312"/>
          <w:color w:val="auto"/>
          <w:sz w:val="32"/>
          <w:highlight w:val="none"/>
        </w:rPr>
        <w:t>专项资金项目实施过程规范,相关地市在收到省财政厅下达的预算指标后，能够按要求及时认真做好本地项目实施方案的编制工作</w:t>
      </w:r>
      <w:r>
        <w:rPr>
          <w:rFonts w:ascii="仿宋_GB2312" w:hAnsi="仿宋_GB2312" w:eastAsia="仿宋_GB2312" w:cs="仿宋_GB2312"/>
          <w:color w:val="auto"/>
          <w:sz w:val="32"/>
          <w:highlight w:val="none"/>
        </w:rPr>
        <w:t>并且按程序推进项目实施</w:t>
      </w:r>
      <w:r>
        <w:rPr>
          <w:rFonts w:hint="eastAsia" w:ascii="仿宋_GB2312" w:hAnsi="仿宋_GB2312" w:eastAsia="仿宋_GB2312" w:cs="仿宋_GB2312"/>
          <w:color w:val="auto"/>
          <w:sz w:val="32"/>
          <w:highlight w:val="none"/>
          <w:lang w:eastAsia="zh-CN"/>
        </w:rPr>
        <w:t>，</w:t>
      </w:r>
      <w:r>
        <w:rPr>
          <w:rFonts w:hint="eastAsia" w:ascii="仿宋_GB2312" w:hAnsi="仿宋_GB2312" w:eastAsia="仿宋_GB2312" w:cs="仿宋_GB2312"/>
          <w:color w:val="auto"/>
          <w:sz w:val="32"/>
          <w:highlight w:val="none"/>
        </w:rPr>
        <w:t>积极组织</w:t>
      </w:r>
      <w:r>
        <w:rPr>
          <w:rFonts w:hint="eastAsia" w:ascii="仿宋_GB2312" w:hAnsi="仿宋_GB2312" w:eastAsia="仿宋_GB2312" w:cs="仿宋_GB2312"/>
          <w:color w:val="auto"/>
          <w:sz w:val="32"/>
          <w:highlight w:val="none"/>
          <w:lang w:eastAsia="zh-CN"/>
        </w:rPr>
        <w:t>实施</w:t>
      </w:r>
      <w:r>
        <w:rPr>
          <w:rFonts w:hint="eastAsia" w:ascii="仿宋_GB2312" w:eastAsia="仿宋_GB2312" w:cs="Times New Roman"/>
          <w:color w:val="auto"/>
          <w:sz w:val="32"/>
          <w:szCs w:val="32"/>
          <w:highlight w:val="none"/>
          <w:lang w:val="en-US" w:eastAsia="zh-CN"/>
        </w:rPr>
        <w:t>休（禁）渔渔民生产生活</w:t>
      </w:r>
      <w:r>
        <w:rPr>
          <w:rFonts w:hint="eastAsia" w:ascii="仿宋_GB2312" w:hAnsi="仿宋_GB2312" w:eastAsia="仿宋_GB2312" w:cs="仿宋_GB2312"/>
          <w:color w:val="auto"/>
          <w:sz w:val="32"/>
          <w:highlight w:val="none"/>
          <w:lang w:val="en-US" w:eastAsia="zh-CN"/>
        </w:rPr>
        <w:t>补助</w:t>
      </w:r>
      <w:r>
        <w:rPr>
          <w:rFonts w:hint="eastAsia" w:ascii="仿宋_GB2312" w:hAnsi="仿宋_GB2312" w:eastAsia="仿宋_GB2312" w:cs="仿宋_GB2312"/>
          <w:color w:val="auto"/>
          <w:sz w:val="32"/>
          <w:highlight w:val="none"/>
        </w:rPr>
        <w:t>按规定申报</w:t>
      </w:r>
      <w:r>
        <w:rPr>
          <w:rFonts w:hint="eastAsia" w:ascii="仿宋_GB2312" w:hAnsi="仿宋_GB2312" w:eastAsia="仿宋_GB2312" w:cs="仿宋_GB2312"/>
          <w:color w:val="auto"/>
          <w:sz w:val="32"/>
          <w:highlight w:val="none"/>
          <w:lang w:eastAsia="zh-CN"/>
        </w:rPr>
        <w:t>、审批和发放</w:t>
      </w:r>
      <w:r>
        <w:rPr>
          <w:rFonts w:hint="eastAsia" w:ascii="仿宋_GB2312" w:hAnsi="仿宋_GB2312" w:eastAsia="仿宋_GB2312" w:cs="仿宋_GB2312"/>
          <w:color w:val="auto"/>
          <w:sz w:val="32"/>
          <w:highlight w:val="none"/>
        </w:rPr>
        <w:t>。</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（4）管理情况。指标分值4</w:t>
      </w:r>
      <w:r>
        <w:rPr>
          <w:rFonts w:ascii="仿宋_GB2312" w:eastAsia="仿宋_GB2312"/>
          <w:color w:val="auto"/>
          <w:sz w:val="32"/>
          <w:szCs w:val="32"/>
          <w:highlight w:val="none"/>
        </w:rPr>
        <w:t>分，评价得分</w:t>
      </w:r>
      <w:r>
        <w:rPr>
          <w:rFonts w:hint="eastAsia" w:ascii="仿宋_GB2312" w:eastAsia="仿宋_GB2312"/>
          <w:color w:val="auto"/>
          <w:sz w:val="32"/>
          <w:szCs w:val="32"/>
          <w:highlight w:val="none"/>
          <w:lang w:val="en-US" w:eastAsia="zh-CN"/>
        </w:rPr>
        <w:t>4</w:t>
      </w:r>
      <w:r>
        <w:rPr>
          <w:rFonts w:ascii="仿宋_GB2312" w:eastAsia="仿宋_GB2312"/>
          <w:color w:val="auto"/>
          <w:sz w:val="32"/>
          <w:szCs w:val="32"/>
          <w:highlight w:val="none"/>
        </w:rPr>
        <w:t>分，得分率为</w:t>
      </w:r>
      <w:r>
        <w:rPr>
          <w:rFonts w:hint="eastAsia" w:ascii="仿宋_GB2312" w:eastAsia="仿宋_GB2312"/>
          <w:color w:val="auto"/>
          <w:sz w:val="32"/>
          <w:szCs w:val="32"/>
          <w:highlight w:val="none"/>
          <w:lang w:val="en-US" w:eastAsia="zh-CN"/>
        </w:rPr>
        <w:t>100</w:t>
      </w:r>
      <w:r>
        <w:rPr>
          <w:rFonts w:ascii="仿宋_GB2312" w:eastAsia="仿宋_GB2312"/>
          <w:color w:val="auto"/>
          <w:sz w:val="32"/>
          <w:szCs w:val="32"/>
          <w:highlight w:val="none"/>
        </w:rPr>
        <w:t>%。</w:t>
      </w:r>
      <w:r>
        <w:rPr>
          <w:rFonts w:hint="eastAsia" w:ascii="仿宋_GB2312" w:eastAsia="仿宋_GB2312"/>
          <w:color w:val="auto"/>
          <w:sz w:val="32"/>
          <w:szCs w:val="32"/>
          <w:highlight w:val="none"/>
        </w:rPr>
        <w:t>专项资金管理机制比较完善，</w:t>
      </w:r>
      <w:r>
        <w:rPr>
          <w:rFonts w:hint="eastAsia" w:ascii="仿宋_GB2312" w:eastAsia="仿宋_GB2312"/>
          <w:color w:val="auto"/>
          <w:sz w:val="32"/>
          <w:szCs w:val="32"/>
          <w:highlight w:val="none"/>
          <w:lang w:eastAsia="zh-CN"/>
        </w:rPr>
        <w:t>有关</w:t>
      </w:r>
      <w:r>
        <w:rPr>
          <w:rFonts w:hint="eastAsia" w:ascii="仿宋_GB2312" w:eastAsia="仿宋_GB2312"/>
          <w:color w:val="auto"/>
          <w:sz w:val="32"/>
          <w:szCs w:val="32"/>
          <w:highlight w:val="none"/>
        </w:rPr>
        <w:t>市县</w:t>
      </w:r>
      <w:r>
        <w:rPr>
          <w:rFonts w:hint="eastAsia" w:ascii="仿宋_GB2312" w:eastAsia="仿宋_GB2312"/>
          <w:color w:val="auto"/>
          <w:sz w:val="32"/>
          <w:szCs w:val="32"/>
          <w:highlight w:val="none"/>
          <w:lang w:eastAsia="zh-CN"/>
        </w:rPr>
        <w:t>对</w:t>
      </w:r>
      <w:r>
        <w:rPr>
          <w:rFonts w:hint="eastAsia" w:ascii="仿宋_GB2312" w:eastAsia="仿宋_GB2312"/>
          <w:color w:val="auto"/>
          <w:sz w:val="32"/>
          <w:szCs w:val="32"/>
          <w:highlight w:val="none"/>
        </w:rPr>
        <w:t>资金管理和使用情况</w:t>
      </w:r>
      <w:r>
        <w:rPr>
          <w:rFonts w:hint="eastAsia" w:ascii="仿宋_GB2312" w:eastAsia="仿宋_GB2312"/>
          <w:color w:val="auto"/>
          <w:sz w:val="32"/>
          <w:szCs w:val="32"/>
          <w:highlight w:val="none"/>
          <w:lang w:eastAsia="zh-CN"/>
        </w:rPr>
        <w:t>进行有效监管。</w:t>
      </w:r>
    </w:p>
    <w:p>
      <w:pPr>
        <w:pStyle w:val="13"/>
        <w:ind w:left="0" w:leftChars="0" w:firstLine="642" w:firstLineChars="200"/>
        <w:rPr>
          <w:rFonts w:hint="eastAsia" w:ascii="仿宋_GB2312" w:hAnsi="仿宋_GB2312" w:eastAsia="仿宋_GB2312" w:cs="仿宋_GB2312"/>
          <w:color w:val="auto"/>
          <w:sz w:val="32"/>
          <w:highlight w:val="none"/>
        </w:rPr>
      </w:pPr>
      <w:r>
        <w:rPr>
          <w:rFonts w:hint="eastAsia" w:ascii="仿宋_GB2312" w:eastAsia="仿宋_GB2312"/>
          <w:b/>
          <w:bCs/>
          <w:color w:val="auto"/>
          <w:sz w:val="32"/>
          <w:szCs w:val="32"/>
          <w:highlight w:val="none"/>
        </w:rPr>
        <w:t>3．产出</w:t>
      </w:r>
      <w:r>
        <w:rPr>
          <w:rFonts w:hint="eastAsia" w:ascii="仿宋_GB2312" w:eastAsia="仿宋_GB2312"/>
          <w:b/>
          <w:bCs/>
          <w:color w:val="auto"/>
          <w:sz w:val="32"/>
          <w:szCs w:val="32"/>
          <w:highlight w:val="none"/>
          <w:lang w:eastAsia="zh-CN"/>
        </w:rPr>
        <w:t>。</w:t>
      </w:r>
      <w:r>
        <w:rPr>
          <w:rFonts w:hint="eastAsia" w:ascii="仿宋_GB2312" w:hAnsi="黑体" w:eastAsia="仿宋_GB2312"/>
          <w:color w:val="auto"/>
          <w:sz w:val="32"/>
          <w:highlight w:val="none"/>
        </w:rPr>
        <w:t>该指标主要从经济性和效率性两个方面考察预算</w:t>
      </w:r>
      <w:r>
        <w:rPr>
          <w:rFonts w:hint="eastAsia" w:ascii="仿宋_GB2312" w:hAnsi="黑体" w:eastAsia="仿宋_GB2312"/>
          <w:color w:val="auto"/>
          <w:sz w:val="32"/>
          <w:highlight w:val="none"/>
          <w:lang w:val="en-US" w:eastAsia="zh-CN"/>
        </w:rPr>
        <w:t>控制、成本控制情况</w:t>
      </w:r>
      <w:r>
        <w:rPr>
          <w:rFonts w:hint="eastAsia" w:ascii="仿宋_GB2312" w:hAnsi="黑体" w:eastAsia="仿宋_GB2312"/>
          <w:color w:val="auto"/>
          <w:sz w:val="32"/>
          <w:highlight w:val="none"/>
        </w:rPr>
        <w:t>，</w:t>
      </w:r>
      <w:r>
        <w:rPr>
          <w:rFonts w:hint="eastAsia" w:ascii="仿宋_GB2312" w:hAnsi="黑体" w:eastAsia="仿宋_GB2312"/>
          <w:color w:val="auto"/>
          <w:sz w:val="32"/>
          <w:highlight w:val="none"/>
          <w:lang w:val="en-US" w:eastAsia="zh-CN"/>
        </w:rPr>
        <w:t>以及</w:t>
      </w:r>
      <w:r>
        <w:rPr>
          <w:rFonts w:hint="eastAsia" w:ascii="仿宋_GB2312" w:hAnsi="黑体" w:eastAsia="仿宋_GB2312"/>
          <w:color w:val="auto"/>
          <w:sz w:val="32"/>
          <w:highlight w:val="none"/>
        </w:rPr>
        <w:t>项目完成的进度、质量等产出情况。</w:t>
      </w:r>
      <w:r>
        <w:rPr>
          <w:rFonts w:hint="eastAsia" w:ascii="仿宋_GB2312" w:hAnsi="仿宋_GB2312" w:eastAsia="仿宋_GB2312" w:cs="仿宋_GB2312"/>
          <w:color w:val="auto"/>
          <w:sz w:val="32"/>
          <w:highlight w:val="none"/>
        </w:rPr>
        <w:t>指标分值30分，评价得分</w:t>
      </w:r>
      <w:r>
        <w:rPr>
          <w:rFonts w:hint="eastAsia" w:ascii="仿宋_GB2312" w:hAnsi="仿宋_GB2312" w:eastAsia="仿宋_GB2312" w:cs="仿宋_GB2312"/>
          <w:color w:val="auto"/>
          <w:sz w:val="32"/>
          <w:highlight w:val="none"/>
          <w:lang w:val="en-US" w:eastAsia="zh-CN"/>
        </w:rPr>
        <w:t>29.64</w:t>
      </w:r>
      <w:r>
        <w:rPr>
          <w:rFonts w:hint="eastAsia" w:ascii="仿宋_GB2312" w:hAnsi="仿宋_GB2312" w:eastAsia="仿宋_GB2312" w:cs="仿宋_GB2312"/>
          <w:color w:val="auto"/>
          <w:sz w:val="32"/>
          <w:highlight w:val="none"/>
        </w:rPr>
        <w:t>分，得分率为</w:t>
      </w:r>
      <w:r>
        <w:rPr>
          <w:rFonts w:hint="eastAsia" w:ascii="仿宋_GB2312" w:hAnsi="仿宋_GB2312" w:eastAsia="仿宋_GB2312" w:cs="仿宋_GB2312"/>
          <w:color w:val="auto"/>
          <w:sz w:val="32"/>
          <w:highlight w:val="none"/>
          <w:lang w:val="en-US" w:eastAsia="zh-CN"/>
        </w:rPr>
        <w:t>98.80</w:t>
      </w:r>
      <w:r>
        <w:rPr>
          <w:rFonts w:hint="eastAsia" w:ascii="仿宋_GB2312" w:hAnsi="仿宋_GB2312" w:eastAsia="仿宋_GB2312" w:cs="仿宋_GB2312"/>
          <w:color w:val="auto"/>
          <w:sz w:val="32"/>
          <w:highlight w:val="none"/>
        </w:rPr>
        <w:t>%。</w:t>
      </w:r>
    </w:p>
    <w:p>
      <w:pPr>
        <w:ind w:firstLine="640" w:firstLineChars="200"/>
        <w:rPr>
          <w:rFonts w:hint="eastAsia" w:ascii="仿宋_GB2312" w:eastAsia="仿宋_GB2312"/>
          <w:color w:val="auto"/>
          <w:sz w:val="32"/>
          <w:szCs w:val="32"/>
          <w:highlight w:val="none"/>
        </w:rPr>
      </w:pPr>
      <w:bookmarkStart w:id="40" w:name="_Toc39324255"/>
      <w:bookmarkStart w:id="41" w:name="_Toc42021438"/>
      <w:bookmarkStart w:id="42" w:name="_Toc42020747"/>
      <w:bookmarkStart w:id="43" w:name="_Toc29119"/>
      <w:bookmarkStart w:id="44" w:name="_Toc39921338"/>
      <w:bookmarkStart w:id="45" w:name="_Toc41334550"/>
      <w:bookmarkStart w:id="46" w:name="_Toc39323958"/>
      <w:r>
        <w:rPr>
          <w:rFonts w:hint="eastAsia" w:ascii="仿宋_GB2312" w:eastAsia="仿宋_GB2312"/>
          <w:color w:val="auto"/>
          <w:sz w:val="32"/>
          <w:szCs w:val="32"/>
          <w:highlight w:val="none"/>
        </w:rPr>
        <w:t>（1）预算控制。</w:t>
      </w:r>
      <w:bookmarkEnd w:id="40"/>
      <w:bookmarkEnd w:id="41"/>
      <w:bookmarkEnd w:id="42"/>
      <w:bookmarkEnd w:id="43"/>
      <w:bookmarkEnd w:id="44"/>
      <w:bookmarkEnd w:id="45"/>
      <w:bookmarkEnd w:id="46"/>
      <w:r>
        <w:rPr>
          <w:rFonts w:hint="eastAsia" w:ascii="仿宋_GB2312" w:eastAsia="仿宋_GB2312"/>
          <w:color w:val="auto"/>
          <w:sz w:val="32"/>
          <w:szCs w:val="32"/>
          <w:highlight w:val="none"/>
        </w:rPr>
        <w:t>该指标分值3分，评价得分</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rPr>
        <w:t>分，得分率为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%。根据自评材料，未发现支出超预算指标情况。有关县（市、区）预算执行进度与事项完成进度基本匹配。</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（2）成本控制。指标分值2</w:t>
      </w:r>
      <w:r>
        <w:rPr>
          <w:rFonts w:ascii="仿宋_GB2312" w:eastAsia="仿宋_GB2312"/>
          <w:color w:val="auto"/>
          <w:sz w:val="32"/>
          <w:szCs w:val="32"/>
          <w:highlight w:val="none"/>
        </w:rPr>
        <w:t>分，评价得分2分，得分率为</w:t>
      </w:r>
      <w:r>
        <w:rPr>
          <w:rFonts w:hint="eastAsia" w:ascii="仿宋_GB2312" w:eastAsia="仿宋_GB2312"/>
          <w:color w:val="auto"/>
          <w:sz w:val="32"/>
          <w:szCs w:val="32"/>
          <w:highlight w:val="none"/>
        </w:rPr>
        <w:t>100</w:t>
      </w:r>
      <w:r>
        <w:rPr>
          <w:rFonts w:ascii="仿宋_GB2312" w:eastAsia="仿宋_GB2312"/>
          <w:color w:val="auto"/>
          <w:sz w:val="32"/>
          <w:szCs w:val="32"/>
          <w:highlight w:val="none"/>
        </w:rPr>
        <w:t>%。</w:t>
      </w:r>
      <w:r>
        <w:rPr>
          <w:rFonts w:hint="eastAsia" w:ascii="仿宋_GB2312" w:eastAsia="仿宋_GB2312"/>
          <w:color w:val="auto"/>
          <w:sz w:val="32"/>
          <w:szCs w:val="32"/>
          <w:highlight w:val="none"/>
        </w:rPr>
        <w:t>专项资金项目成本支出基本控制在合理范围</w:t>
      </w:r>
      <w:r>
        <w:rPr>
          <w:rFonts w:hint="eastAsia" w:ascii="仿宋_GB2312" w:eastAsia="仿宋_GB2312"/>
          <w:color w:val="auto"/>
          <w:sz w:val="32"/>
          <w:szCs w:val="32"/>
          <w:highlight w:val="none"/>
          <w:lang w:eastAsia="zh-CN"/>
        </w:rPr>
        <w:t>。</w:t>
      </w:r>
    </w:p>
    <w:p>
      <w:pPr>
        <w:pStyle w:val="13"/>
        <w:ind w:left="0" w:leftChars="0" w:firstLine="640" w:firstLineChars="200"/>
        <w:rPr>
          <w:rFonts w:hint="eastAsia" w:ascii="仿宋_GB2312" w:hAnsi="仿宋" w:eastAsia="仿宋_GB2312"/>
          <w:color w:val="auto"/>
          <w:sz w:val="32"/>
          <w:szCs w:val="32"/>
          <w:highlight w:val="none"/>
          <w:lang w:val="en-US" w:eastAsia="zh-CN"/>
        </w:rPr>
      </w:pPr>
      <w:r>
        <w:rPr>
          <w:rFonts w:hint="eastAsia" w:ascii="仿宋_GB2312" w:hAnsi="仿宋" w:eastAsia="仿宋_GB2312" w:cs="Times New Roman"/>
          <w:color w:val="auto"/>
          <w:sz w:val="32"/>
          <w:highlight w:val="none"/>
          <w:lang w:val="en-US" w:eastAsia="zh-CN"/>
        </w:rPr>
        <w:t>（3）完成进度。</w:t>
      </w:r>
      <w:bookmarkStart w:id="47" w:name="_Hlk41331806"/>
      <w:r>
        <w:rPr>
          <w:rFonts w:hint="eastAsia" w:ascii="仿宋_GB2312" w:hAnsi="仿宋" w:eastAsia="仿宋_GB2312" w:cs="Times New Roman"/>
          <w:color w:val="auto"/>
          <w:sz w:val="32"/>
          <w:highlight w:val="none"/>
          <w:lang w:val="en-US" w:eastAsia="zh-CN"/>
        </w:rPr>
        <w:t>该指标分值16分，评价得分15.64分，得分率为97.75%</w:t>
      </w:r>
      <w:bookmarkEnd w:id="47"/>
      <w:r>
        <w:rPr>
          <w:rFonts w:hint="eastAsia" w:ascii="仿宋_GB2312" w:hAnsi="仿宋" w:eastAsia="仿宋_GB2312" w:cs="Times New Roman"/>
          <w:color w:val="auto"/>
          <w:sz w:val="32"/>
          <w:highlight w:val="none"/>
          <w:lang w:val="en-US" w:eastAsia="zh-CN"/>
        </w:rPr>
        <w:t>。据统计，2019年计划补助人数为15585人，实际已发放人数59696人，</w:t>
      </w:r>
      <w:r>
        <w:rPr>
          <w:rFonts w:hint="eastAsia" w:ascii="仿宋_GB2312" w:hAnsi="仿宋" w:eastAsia="仿宋_GB2312"/>
          <w:color w:val="auto"/>
          <w:sz w:val="32"/>
          <w:szCs w:val="32"/>
          <w:highlight w:val="none"/>
          <w:lang w:val="en-US" w:eastAsia="zh-CN"/>
        </w:rPr>
        <w:t>远超计划补助人数</w:t>
      </w:r>
      <w:r>
        <w:rPr>
          <w:rFonts w:hint="eastAsia" w:ascii="仿宋_GB2312" w:hAnsi="仿宋" w:eastAsia="仿宋_GB2312" w:cs="Times New Roman"/>
          <w:color w:val="auto"/>
          <w:sz w:val="32"/>
          <w:highlight w:val="none"/>
          <w:lang w:val="en-US" w:eastAsia="zh-CN"/>
        </w:rPr>
        <w:t>。但</w:t>
      </w:r>
      <w:r>
        <w:rPr>
          <w:rFonts w:hint="eastAsia" w:ascii="仿宋_GB2312" w:hAnsi="仿宋" w:eastAsia="仿宋_GB2312"/>
          <w:color w:val="auto"/>
          <w:sz w:val="32"/>
          <w:szCs w:val="32"/>
          <w:highlight w:val="none"/>
          <w:lang w:val="en-US" w:eastAsia="zh-CN"/>
        </w:rPr>
        <w:t>个别地市因工作进度缓慢未能及时发放补助资金，补助进度较慢。</w:t>
      </w:r>
    </w:p>
    <w:p>
      <w:pPr>
        <w:pStyle w:val="13"/>
        <w:ind w:left="0" w:leftChars="0" w:firstLine="640" w:firstLineChars="200"/>
        <w:rPr>
          <w:rFonts w:hint="eastAsia" w:ascii="仿宋_GB2312" w:hAnsi="仿宋" w:eastAsia="仿宋_GB2312" w:cs="Times New Roman"/>
          <w:color w:val="auto"/>
          <w:sz w:val="32"/>
          <w:highlight w:val="none"/>
          <w:lang w:val="en-US" w:eastAsia="zh-CN"/>
        </w:rPr>
      </w:pPr>
      <w:r>
        <w:rPr>
          <w:rFonts w:hint="eastAsia" w:ascii="仿宋_GB2312" w:hAnsi="仿宋" w:eastAsia="仿宋_GB2312" w:cs="Times New Roman"/>
          <w:color w:val="auto"/>
          <w:sz w:val="32"/>
          <w:highlight w:val="none"/>
          <w:lang w:val="en-US" w:eastAsia="zh-CN"/>
        </w:rPr>
        <w:t>（4）完成质量。该指标分值9分，评价得分9分，得分率为100%。补助资金均按专项资金管理办法发放到位，依据《广东省休（禁）渔渔民生产生活补助发放实施方案》（粤海渔〔2018〕25号）准确发到符合补助条件的渔民存折或银行卡。</w:t>
      </w:r>
    </w:p>
    <w:p>
      <w:pPr>
        <w:ind w:firstLine="642" w:firstLineChars="200"/>
        <w:rPr>
          <w:rFonts w:hint="eastAsia" w:ascii="仿宋_GB2312" w:hAnsi="仿宋" w:eastAsia="仿宋_GB2312"/>
          <w:b w:val="0"/>
          <w:bCs w:val="0"/>
          <w:color w:val="auto"/>
          <w:sz w:val="32"/>
          <w:highlight w:val="none"/>
        </w:rPr>
      </w:pPr>
      <w:r>
        <w:rPr>
          <w:rFonts w:hint="eastAsia" w:ascii="仿宋_GB2312" w:eastAsia="仿宋_GB2312"/>
          <w:b/>
          <w:bCs/>
          <w:color w:val="auto"/>
          <w:sz w:val="32"/>
          <w:highlight w:val="none"/>
        </w:rPr>
        <w:t>4.</w:t>
      </w:r>
      <w:r>
        <w:rPr>
          <w:rFonts w:hint="eastAsia" w:ascii="仿宋_GB2312" w:hAnsi="仿宋" w:eastAsia="仿宋_GB2312"/>
          <w:b/>
          <w:bCs/>
          <w:color w:val="auto"/>
          <w:sz w:val="32"/>
          <w:highlight w:val="none"/>
        </w:rPr>
        <w:t>效益</w:t>
      </w:r>
      <w:r>
        <w:rPr>
          <w:rFonts w:hint="eastAsia" w:ascii="仿宋_GB2312" w:eastAsia="仿宋_GB2312"/>
          <w:b/>
          <w:bCs/>
          <w:color w:val="auto"/>
          <w:sz w:val="32"/>
          <w:highlight w:val="none"/>
        </w:rPr>
        <w:t>。</w:t>
      </w:r>
      <w:r>
        <w:rPr>
          <w:rFonts w:hint="eastAsia" w:ascii="仿宋_GB2312" w:hAnsi="仿宋" w:eastAsia="仿宋_GB2312"/>
          <w:b w:val="0"/>
          <w:bCs w:val="0"/>
          <w:color w:val="auto"/>
          <w:sz w:val="32"/>
          <w:highlight w:val="none"/>
        </w:rPr>
        <w:t>该指标主要从效果性和公平性两个方面考核</w:t>
      </w:r>
      <w:r>
        <w:rPr>
          <w:rFonts w:hint="eastAsia" w:ascii="仿宋_GB2312" w:hAnsi="仿宋" w:eastAsia="仿宋_GB2312"/>
          <w:b w:val="0"/>
          <w:bCs w:val="0"/>
          <w:color w:val="auto"/>
          <w:sz w:val="32"/>
          <w:highlight w:val="none"/>
          <w:lang w:val="en-US" w:eastAsia="zh-CN"/>
        </w:rPr>
        <w:t>给</w:t>
      </w:r>
      <w:r>
        <w:rPr>
          <w:rFonts w:hint="eastAsia" w:ascii="仿宋_GB2312" w:hAnsi="仿宋" w:eastAsia="仿宋_GB2312"/>
          <w:color w:val="auto"/>
          <w:sz w:val="32"/>
          <w:szCs w:val="32"/>
          <w:highlight w:val="none"/>
          <w:lang w:val="en-US" w:eastAsia="zh-CN"/>
        </w:rPr>
        <w:t>休（禁）渔渔民</w:t>
      </w:r>
      <w:r>
        <w:rPr>
          <w:rFonts w:hint="eastAsia" w:ascii="仿宋_GB2312" w:hAnsi="仿宋" w:eastAsia="仿宋_GB2312"/>
          <w:b w:val="0"/>
          <w:bCs w:val="0"/>
          <w:color w:val="auto"/>
          <w:sz w:val="32"/>
          <w:highlight w:val="none"/>
          <w:lang w:val="en-US" w:eastAsia="zh-CN"/>
        </w:rPr>
        <w:t>发放生产生活补助</w:t>
      </w:r>
      <w:r>
        <w:rPr>
          <w:rFonts w:hint="eastAsia" w:ascii="仿宋_GB2312" w:hAnsi="仿宋" w:eastAsia="仿宋_GB2312"/>
          <w:b w:val="0"/>
          <w:bCs w:val="0"/>
          <w:color w:val="auto"/>
          <w:sz w:val="32"/>
          <w:highlight w:val="none"/>
        </w:rPr>
        <w:t>产生的社会效益</w:t>
      </w:r>
      <w:r>
        <w:rPr>
          <w:rFonts w:hint="eastAsia" w:ascii="仿宋_GB2312" w:hAnsi="仿宋" w:eastAsia="仿宋_GB2312"/>
          <w:b w:val="0"/>
          <w:bCs w:val="0"/>
          <w:color w:val="auto"/>
          <w:sz w:val="32"/>
          <w:highlight w:val="none"/>
          <w:lang w:eastAsia="zh-CN"/>
        </w:rPr>
        <w:t>，以及</w:t>
      </w:r>
      <w:r>
        <w:rPr>
          <w:rFonts w:hint="eastAsia" w:ascii="仿宋_GB2312" w:hAnsi="仿宋" w:eastAsia="仿宋_GB2312"/>
          <w:b w:val="0"/>
          <w:bCs w:val="0"/>
          <w:color w:val="auto"/>
          <w:sz w:val="32"/>
          <w:highlight w:val="none"/>
          <w:lang w:val="en-US" w:eastAsia="zh-CN"/>
        </w:rPr>
        <w:t>服务对象的</w:t>
      </w:r>
      <w:r>
        <w:rPr>
          <w:rFonts w:hint="eastAsia" w:ascii="仿宋_GB2312" w:hAnsi="仿宋" w:eastAsia="仿宋_GB2312"/>
          <w:b w:val="0"/>
          <w:bCs w:val="0"/>
          <w:color w:val="auto"/>
          <w:sz w:val="32"/>
          <w:highlight w:val="none"/>
        </w:rPr>
        <w:t>满意度。指标分值30分，评价得分</w:t>
      </w:r>
      <w:r>
        <w:rPr>
          <w:rFonts w:hint="eastAsia" w:ascii="仿宋_GB2312" w:hAnsi="仿宋" w:eastAsia="仿宋_GB2312"/>
          <w:b w:val="0"/>
          <w:bCs w:val="0"/>
          <w:color w:val="auto"/>
          <w:sz w:val="32"/>
          <w:highlight w:val="none"/>
          <w:lang w:val="en-US" w:eastAsia="zh-CN"/>
        </w:rPr>
        <w:t>29.20</w:t>
      </w:r>
      <w:r>
        <w:rPr>
          <w:rFonts w:hint="eastAsia" w:ascii="仿宋_GB2312" w:hAnsi="仿宋" w:eastAsia="仿宋_GB2312"/>
          <w:b w:val="0"/>
          <w:bCs w:val="0"/>
          <w:color w:val="auto"/>
          <w:sz w:val="32"/>
          <w:highlight w:val="none"/>
        </w:rPr>
        <w:t>分，得分率为</w:t>
      </w:r>
      <w:r>
        <w:rPr>
          <w:rFonts w:hint="eastAsia" w:ascii="仿宋_GB2312" w:hAnsi="仿宋" w:eastAsia="仿宋_GB2312"/>
          <w:b w:val="0"/>
          <w:bCs w:val="0"/>
          <w:color w:val="auto"/>
          <w:sz w:val="32"/>
          <w:highlight w:val="none"/>
          <w:lang w:val="en-US" w:eastAsia="zh-CN"/>
        </w:rPr>
        <w:t>97.33</w:t>
      </w:r>
      <w:r>
        <w:rPr>
          <w:rFonts w:hint="eastAsia" w:ascii="仿宋_GB2312" w:hAnsi="仿宋" w:eastAsia="仿宋_GB2312"/>
          <w:b w:val="0"/>
          <w:bCs w:val="0"/>
          <w:color w:val="auto"/>
          <w:sz w:val="32"/>
          <w:highlight w:val="none"/>
        </w:rPr>
        <w:t>%。</w:t>
      </w:r>
    </w:p>
    <w:p>
      <w:pPr>
        <w:ind w:firstLine="640" w:firstLineChars="200"/>
        <w:rPr>
          <w:rFonts w:hint="default" w:ascii="仿宋_GB2312" w:eastAsia="仿宋_GB2312"/>
          <w:color w:val="auto"/>
          <w:sz w:val="32"/>
          <w:szCs w:val="32"/>
          <w:highlight w:val="none"/>
          <w:lang w:val="en-US" w:eastAsia="zh-CN"/>
        </w:rPr>
      </w:pPr>
      <w:bookmarkStart w:id="48" w:name="_Toc41334553"/>
      <w:bookmarkStart w:id="49" w:name="_Toc39323965"/>
      <w:bookmarkStart w:id="50" w:name="_Toc9006"/>
      <w:bookmarkStart w:id="51" w:name="_Toc39921345"/>
      <w:bookmarkStart w:id="52" w:name="_Toc42020751"/>
      <w:bookmarkStart w:id="53" w:name="_Toc39324262"/>
      <w:bookmarkStart w:id="54" w:name="_Toc42021442"/>
      <w:bookmarkStart w:id="55" w:name="_Toc3411"/>
      <w:r>
        <w:rPr>
          <w:rFonts w:hint="eastAsia" w:ascii="仿宋_GB2312" w:eastAsia="仿宋_GB2312"/>
          <w:color w:val="auto"/>
          <w:sz w:val="32"/>
          <w:szCs w:val="32"/>
          <w:highlight w:val="none"/>
        </w:rPr>
        <w:t>（1）</w:t>
      </w:r>
      <w:bookmarkEnd w:id="48"/>
      <w:bookmarkEnd w:id="49"/>
      <w:bookmarkEnd w:id="50"/>
      <w:bookmarkEnd w:id="51"/>
      <w:bookmarkEnd w:id="52"/>
      <w:bookmarkEnd w:id="53"/>
      <w:bookmarkEnd w:id="54"/>
      <w:r>
        <w:rPr>
          <w:rFonts w:hint="eastAsia" w:ascii="仿宋_GB2312" w:eastAsia="仿宋_GB2312"/>
          <w:color w:val="auto"/>
          <w:sz w:val="32"/>
          <w:szCs w:val="32"/>
          <w:highlight w:val="none"/>
        </w:rPr>
        <w:t>社会效益。该指标分值</w:t>
      </w:r>
      <w:r>
        <w:rPr>
          <w:rFonts w:hint="eastAsia" w:ascii="仿宋_GB2312" w:eastAsia="仿宋_GB2312"/>
          <w:color w:val="auto"/>
          <w:sz w:val="32"/>
          <w:szCs w:val="32"/>
          <w:highlight w:val="none"/>
          <w:lang w:val="en-US" w:eastAsia="zh-CN"/>
        </w:rPr>
        <w:t>8</w:t>
      </w:r>
      <w:r>
        <w:rPr>
          <w:rFonts w:hint="eastAsia" w:ascii="仿宋_GB2312" w:eastAsia="仿宋_GB2312"/>
          <w:color w:val="auto"/>
          <w:sz w:val="32"/>
          <w:szCs w:val="32"/>
          <w:highlight w:val="none"/>
        </w:rPr>
        <w:t>分，评价得</w:t>
      </w:r>
      <w:r>
        <w:rPr>
          <w:rFonts w:hint="eastAsia" w:ascii="仿宋_GB2312" w:eastAsia="仿宋_GB2312"/>
          <w:color w:val="auto"/>
          <w:sz w:val="32"/>
          <w:szCs w:val="32"/>
          <w:highlight w:val="none"/>
          <w:lang w:val="en-US" w:eastAsia="zh-CN"/>
        </w:rPr>
        <w:t>7.20</w:t>
      </w:r>
      <w:r>
        <w:rPr>
          <w:rFonts w:hint="eastAsia" w:ascii="仿宋_GB2312" w:eastAsia="仿宋_GB2312"/>
          <w:color w:val="auto"/>
          <w:sz w:val="32"/>
          <w:szCs w:val="32"/>
          <w:highlight w:val="none"/>
        </w:rPr>
        <w:t>分，得分率为</w:t>
      </w:r>
      <w:r>
        <w:rPr>
          <w:rFonts w:hint="eastAsia" w:ascii="仿宋_GB2312" w:eastAsia="仿宋_GB2312"/>
          <w:color w:val="auto"/>
          <w:sz w:val="32"/>
          <w:szCs w:val="32"/>
          <w:highlight w:val="none"/>
          <w:lang w:val="en-US" w:eastAsia="zh-CN"/>
        </w:rPr>
        <w:t>90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项目实施后，渔民群众在休（禁）渔期间的生活得到基本保障，但专项资金扶持力度有待加强，受益范围仍有扩展空间。</w:t>
      </w:r>
      <w:bookmarkEnd w:id="55"/>
    </w:p>
    <w:p>
      <w:pPr>
        <w:ind w:firstLine="640" w:firstLineChars="200"/>
        <w:rPr>
          <w:rFonts w:hint="eastAsia" w:ascii="仿宋_GB2312" w:eastAsia="仿宋_GB2312"/>
          <w:color w:val="auto"/>
          <w:sz w:val="32"/>
          <w:szCs w:val="32"/>
          <w:highlight w:val="none"/>
          <w:lang w:val="en-US" w:eastAsia="zh-CN"/>
        </w:rPr>
      </w:pPr>
      <w:bookmarkStart w:id="56" w:name="_Toc3301"/>
      <w:r>
        <w:rPr>
          <w:rFonts w:hint="eastAsia" w:ascii="仿宋_GB2312" w:eastAsia="仿宋_GB2312"/>
          <w:color w:val="auto"/>
          <w:sz w:val="32"/>
          <w:szCs w:val="32"/>
          <w:highlight w:val="none"/>
          <w:lang w:val="en-US" w:eastAsia="zh-CN"/>
        </w:rPr>
        <w:t>（2）生态效益。</w:t>
      </w:r>
      <w:bookmarkStart w:id="57" w:name="_Toc42020752"/>
      <w:bookmarkStart w:id="58" w:name="_Toc41334554"/>
      <w:bookmarkStart w:id="59" w:name="_Toc42021443"/>
      <w:r>
        <w:rPr>
          <w:rFonts w:hint="eastAsia" w:ascii="仿宋_GB2312" w:eastAsia="仿宋_GB2312"/>
          <w:color w:val="auto"/>
          <w:sz w:val="32"/>
          <w:szCs w:val="32"/>
          <w:highlight w:val="none"/>
        </w:rPr>
        <w:t>该指标分值</w:t>
      </w:r>
      <w:r>
        <w:rPr>
          <w:rFonts w:hint="eastAsia" w:ascii="仿宋_GB2312" w:eastAsia="仿宋_GB2312"/>
          <w:color w:val="auto"/>
          <w:sz w:val="32"/>
          <w:szCs w:val="32"/>
          <w:highlight w:val="none"/>
          <w:lang w:val="en-US" w:eastAsia="zh-CN"/>
        </w:rPr>
        <w:t>8</w:t>
      </w:r>
      <w:r>
        <w:rPr>
          <w:rFonts w:hint="eastAsia" w:ascii="仿宋_GB2312" w:eastAsia="仿宋_GB2312"/>
          <w:color w:val="auto"/>
          <w:sz w:val="32"/>
          <w:szCs w:val="32"/>
          <w:highlight w:val="none"/>
        </w:rPr>
        <w:t>分，评价得</w:t>
      </w:r>
      <w:r>
        <w:rPr>
          <w:rFonts w:hint="eastAsia" w:ascii="仿宋_GB2312" w:eastAsia="仿宋_GB2312"/>
          <w:color w:val="auto"/>
          <w:sz w:val="32"/>
          <w:szCs w:val="32"/>
          <w:highlight w:val="none"/>
          <w:lang w:val="en-US" w:eastAsia="zh-CN"/>
        </w:rPr>
        <w:t>8</w:t>
      </w:r>
      <w:r>
        <w:rPr>
          <w:rFonts w:hint="eastAsia" w:ascii="仿宋_GB2312" w:eastAsia="仿宋_GB2312"/>
          <w:color w:val="auto"/>
          <w:sz w:val="32"/>
          <w:szCs w:val="32"/>
          <w:highlight w:val="none"/>
        </w:rPr>
        <w:t>分，得分率为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%。项目实施后有效保护了渔业资源和渔区的生态环境。</w:t>
      </w:r>
      <w:bookmarkEnd w:id="56"/>
    </w:p>
    <w:p>
      <w:pPr>
        <w:ind w:firstLine="640" w:firstLineChars="200"/>
        <w:rPr>
          <w:rFonts w:hint="eastAsia" w:ascii="仿宋_GB2312" w:eastAsia="仿宋_GB2312"/>
          <w:color w:val="auto"/>
          <w:sz w:val="32"/>
          <w:szCs w:val="32"/>
          <w:highlight w:val="none"/>
          <w:lang w:val="en-US" w:eastAsia="zh-CN"/>
        </w:rPr>
      </w:pPr>
      <w:bookmarkStart w:id="60" w:name="_Toc26873"/>
      <w:r>
        <w:rPr>
          <w:rFonts w:hint="eastAsia" w:ascii="仿宋_GB2312" w:eastAsia="仿宋_GB2312"/>
          <w:color w:val="auto"/>
          <w:sz w:val="32"/>
          <w:szCs w:val="32"/>
          <w:highlight w:val="none"/>
          <w:lang w:val="en-US" w:eastAsia="zh-CN"/>
        </w:rPr>
        <w:t>（3）可持续发展。</w:t>
      </w:r>
      <w:r>
        <w:rPr>
          <w:rFonts w:hint="eastAsia" w:ascii="仿宋_GB2312" w:eastAsia="仿宋_GB2312"/>
          <w:color w:val="auto"/>
          <w:sz w:val="32"/>
          <w:szCs w:val="32"/>
          <w:highlight w:val="none"/>
        </w:rPr>
        <w:t>该指标分值</w:t>
      </w:r>
      <w:r>
        <w:rPr>
          <w:rFonts w:hint="eastAsia" w:ascii="仿宋_GB2312" w:eastAsia="仿宋_GB2312"/>
          <w:color w:val="auto"/>
          <w:sz w:val="32"/>
          <w:szCs w:val="32"/>
          <w:highlight w:val="none"/>
          <w:lang w:val="en-US" w:eastAsia="zh-CN"/>
        </w:rPr>
        <w:t>9</w:t>
      </w:r>
      <w:r>
        <w:rPr>
          <w:rFonts w:hint="eastAsia" w:ascii="仿宋_GB2312" w:eastAsia="仿宋_GB2312"/>
          <w:color w:val="auto"/>
          <w:sz w:val="32"/>
          <w:szCs w:val="32"/>
          <w:highlight w:val="none"/>
        </w:rPr>
        <w:t>分，评价得</w:t>
      </w:r>
      <w:r>
        <w:rPr>
          <w:rFonts w:hint="eastAsia" w:ascii="仿宋_GB2312" w:eastAsia="仿宋_GB2312"/>
          <w:color w:val="auto"/>
          <w:sz w:val="32"/>
          <w:szCs w:val="32"/>
          <w:highlight w:val="none"/>
          <w:lang w:val="en-US" w:eastAsia="zh-CN"/>
        </w:rPr>
        <w:t>9</w:t>
      </w:r>
      <w:r>
        <w:rPr>
          <w:rFonts w:hint="eastAsia" w:ascii="仿宋_GB2312" w:eastAsia="仿宋_GB2312"/>
          <w:color w:val="auto"/>
          <w:sz w:val="32"/>
          <w:szCs w:val="32"/>
          <w:highlight w:val="none"/>
        </w:rPr>
        <w:t>分，得分率为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%。项目实施后促进了休（禁）渔期制度的有效实施和渔业</w:t>
      </w:r>
      <w:r>
        <w:rPr>
          <w:rFonts w:hint="eastAsia" w:ascii="仿宋_GB2312" w:eastAsia="仿宋_GB2312"/>
          <w:color w:val="auto"/>
          <w:sz w:val="32"/>
          <w:szCs w:val="32"/>
          <w:highlight w:val="none"/>
          <w:lang w:val="en-US" w:eastAsia="zh-CN"/>
        </w:rPr>
        <w:t>生产的</w:t>
      </w:r>
      <w:r>
        <w:rPr>
          <w:rFonts w:hint="eastAsia" w:ascii="仿宋_GB2312" w:eastAsia="仿宋_GB2312"/>
          <w:color w:val="auto"/>
          <w:sz w:val="32"/>
          <w:szCs w:val="32"/>
          <w:highlight w:val="none"/>
        </w:rPr>
        <w:t>可持续发展。</w:t>
      </w:r>
      <w:bookmarkEnd w:id="60"/>
    </w:p>
    <w:p>
      <w:pPr>
        <w:ind w:firstLine="640" w:firstLineChars="200"/>
        <w:rPr>
          <w:rFonts w:hint="eastAsia" w:ascii="仿宋_GB2312" w:hAnsi="仿宋" w:eastAsia="仿宋_GB2312"/>
          <w:b w:val="0"/>
          <w:bCs w:val="0"/>
          <w:color w:val="auto"/>
          <w:sz w:val="32"/>
          <w:highlight w:val="none"/>
          <w:lang w:val="en-US" w:eastAsia="zh-CN"/>
        </w:rPr>
      </w:pPr>
      <w:bookmarkStart w:id="61" w:name="_Toc29075"/>
      <w:r>
        <w:rPr>
          <w:rFonts w:hint="eastAsia" w:ascii="仿宋_GB2312" w:eastAsia="仿宋_GB2312"/>
          <w:color w:val="auto"/>
          <w:sz w:val="32"/>
          <w:szCs w:val="32"/>
          <w:highlight w:val="none"/>
          <w:lang w:val="en-US" w:eastAsia="zh-CN"/>
        </w:rPr>
        <w:t>（4）满意度。该指标分值5分，评价得分5分，得分率为100%。</w:t>
      </w:r>
      <w:bookmarkEnd w:id="57"/>
      <w:bookmarkEnd w:id="58"/>
      <w:bookmarkEnd w:id="59"/>
      <w:r>
        <w:rPr>
          <w:rFonts w:hint="eastAsia" w:ascii="仿宋_GB2312" w:eastAsia="仿宋_GB2312"/>
          <w:color w:val="auto"/>
          <w:sz w:val="32"/>
          <w:szCs w:val="32"/>
          <w:highlight w:val="none"/>
          <w:lang w:val="en-US" w:eastAsia="zh-CN"/>
        </w:rPr>
        <w:t>渔民群众的综合满意度为100%，超过了≧85%的满意度既定目标值。</w:t>
      </w:r>
      <w:bookmarkEnd w:id="61"/>
    </w:p>
    <w:p>
      <w:pPr>
        <w:pStyle w:val="3"/>
        <w:keepNext/>
        <w:keepLines/>
        <w:pageBreakBefore w:val="0"/>
        <w:widowControl w:val="0"/>
        <w:numPr>
          <w:ilvl w:val="0"/>
          <w:numId w:val="0"/>
        </w:numPr>
        <w:kinsoku/>
        <w:wordWrap/>
        <w:overflowPunct/>
        <w:topLinePunct w:val="0"/>
        <w:autoSpaceDE/>
        <w:autoSpaceDN/>
        <w:bidi w:val="0"/>
        <w:adjustRightInd/>
        <w:snapToGrid/>
        <w:spacing w:before="0" w:after="0" w:line="360" w:lineRule="auto"/>
        <w:ind w:firstLine="642" w:firstLineChars="200"/>
        <w:textAlignment w:val="auto"/>
        <w:outlineLvl w:val="1"/>
        <w:rPr>
          <w:rFonts w:hint="default" w:ascii="Calibri" w:hAnsi="宋体" w:eastAsia="楷体_GB2312" w:cs="Times New Roman"/>
          <w:b/>
          <w:bCs/>
          <w:color w:val="auto"/>
          <w:kern w:val="44"/>
          <w:sz w:val="32"/>
          <w:szCs w:val="44"/>
          <w:lang w:val="en-US" w:eastAsia="zh-CN" w:bidi="ar-SA"/>
        </w:rPr>
      </w:pPr>
      <w:bookmarkStart w:id="62" w:name="_Toc14219"/>
      <w:bookmarkStart w:id="63" w:name="_Toc14778"/>
      <w:r>
        <w:rPr>
          <w:rFonts w:hint="eastAsia" w:ascii="Calibri" w:hAnsi="宋体" w:eastAsia="楷体_GB2312" w:cs="Times New Roman"/>
          <w:b/>
          <w:bCs/>
          <w:color w:val="auto"/>
          <w:kern w:val="44"/>
          <w:sz w:val="32"/>
          <w:szCs w:val="44"/>
          <w:lang w:val="en-US" w:eastAsia="zh-CN" w:bidi="ar-SA"/>
        </w:rPr>
        <w:t>（二）专项资金使用绩效</w:t>
      </w:r>
      <w:bookmarkEnd w:id="62"/>
      <w:bookmarkEnd w:id="63"/>
    </w:p>
    <w:p>
      <w:pPr>
        <w:snapToGrid w:val="0"/>
        <w:spacing w:line="360" w:lineRule="auto"/>
        <w:ind w:firstLine="642" w:firstLineChars="200"/>
        <w:rPr>
          <w:rFonts w:hint="default" w:ascii="仿宋_GB2312" w:hAnsi="仿宋" w:eastAsia="仿宋_GB2312"/>
          <w:color w:val="auto"/>
          <w:sz w:val="32"/>
          <w:szCs w:val="32"/>
          <w:highlight w:val="none"/>
          <w:lang w:val="en-US" w:eastAsia="zh-CN"/>
        </w:rPr>
      </w:pPr>
      <w:r>
        <w:rPr>
          <w:rFonts w:hint="eastAsia" w:ascii="仿宋_GB2312" w:eastAsia="仿宋_GB2312"/>
          <w:b/>
          <w:bCs/>
          <w:color w:val="auto"/>
          <w:sz w:val="32"/>
          <w:szCs w:val="32"/>
          <w:lang w:val="en-US" w:eastAsia="zh-CN"/>
        </w:rPr>
        <w:t>1.专项资金支出情况。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Times New Roman" w:eastAsia="仿宋_GB2312" w:cs="Times New Roman"/>
          <w:b/>
          <w:bCs/>
          <w:color w:val="auto"/>
          <w:sz w:val="32"/>
          <w:szCs w:val="32"/>
          <w:lang w:val="en-US" w:eastAsia="zh-CN"/>
        </w:rPr>
      </w:pPr>
      <w:r>
        <w:rPr>
          <w:rFonts w:hint="eastAsia" w:ascii="仿宋_GB2312" w:hAnsi="仿宋" w:eastAsia="仿宋_GB2312"/>
          <w:color w:val="auto"/>
          <w:sz w:val="32"/>
          <w:szCs w:val="32"/>
          <w:highlight w:val="none"/>
          <w:lang w:val="en-US" w:eastAsia="zh-CN"/>
        </w:rPr>
        <w:t>《关于下达2019年省级休（禁）渔渔民生产生活补助资金的通知》已按规定程序及时足额地将2019年休（禁）渔渔民生产生活补助资金3358万元下达有关地市。省财政厅2019年9月30日下达专项资金，专项资金到位数</w:t>
      </w:r>
      <w:r>
        <w:rPr>
          <w:rFonts w:hint="default" w:ascii="仿宋_GB2312" w:hAnsi="仿宋" w:eastAsia="仿宋_GB2312"/>
          <w:color w:val="auto"/>
          <w:sz w:val="32"/>
          <w:szCs w:val="32"/>
          <w:highlight w:val="none"/>
          <w:lang w:val="en-US" w:eastAsia="zh-CN"/>
        </w:rPr>
        <w:t>3358</w:t>
      </w:r>
      <w:r>
        <w:rPr>
          <w:rFonts w:hint="eastAsia" w:ascii="仿宋_GB2312" w:hAnsi="仿宋" w:eastAsia="仿宋_GB2312"/>
          <w:color w:val="auto"/>
          <w:sz w:val="32"/>
          <w:szCs w:val="32"/>
          <w:highlight w:val="none"/>
          <w:lang w:val="en-US" w:eastAsia="zh-CN"/>
        </w:rPr>
        <w:t>万元，支出合计数</w:t>
      </w:r>
      <w:r>
        <w:rPr>
          <w:rFonts w:hint="default" w:ascii="仿宋_GB2312" w:hAnsi="仿宋" w:eastAsia="仿宋_GB2312"/>
          <w:color w:val="auto"/>
          <w:sz w:val="32"/>
          <w:szCs w:val="32"/>
          <w:highlight w:val="none"/>
          <w:lang w:val="en-US" w:eastAsia="zh-CN"/>
        </w:rPr>
        <w:t>3207.9</w:t>
      </w:r>
      <w:r>
        <w:rPr>
          <w:rFonts w:hint="eastAsia" w:ascii="仿宋_GB2312" w:hAnsi="仿宋" w:eastAsia="仿宋_GB2312"/>
          <w:color w:val="auto"/>
          <w:sz w:val="32"/>
          <w:szCs w:val="32"/>
          <w:highlight w:val="none"/>
          <w:lang w:val="en-US" w:eastAsia="zh-CN"/>
        </w:rPr>
        <w:t>8万元，占预算资金的</w:t>
      </w:r>
      <w:r>
        <w:rPr>
          <w:rFonts w:hint="default" w:ascii="仿宋_GB2312" w:hAnsi="仿宋" w:eastAsia="仿宋_GB2312"/>
          <w:color w:val="auto"/>
          <w:sz w:val="32"/>
          <w:szCs w:val="32"/>
          <w:highlight w:val="none"/>
          <w:lang w:val="en-US" w:eastAsia="zh-CN"/>
        </w:rPr>
        <w:t>95.53</w:t>
      </w:r>
      <w:r>
        <w:rPr>
          <w:rFonts w:hint="eastAsia" w:ascii="仿宋_GB2312" w:hAnsi="仿宋" w:eastAsia="仿宋_GB2312"/>
          <w:color w:val="auto"/>
          <w:sz w:val="32"/>
          <w:szCs w:val="32"/>
          <w:highlight w:val="none"/>
          <w:lang w:val="en-US" w:eastAsia="zh-CN"/>
        </w:rPr>
        <w:t>%，未能达到100%的目标。</w:t>
      </w:r>
    </w:p>
    <w:p>
      <w:pPr>
        <w:keepNext w:val="0"/>
        <w:keepLines w:val="0"/>
        <w:pageBreakBefore w:val="0"/>
        <w:widowControl w:val="0"/>
        <w:kinsoku/>
        <w:wordWrap/>
        <w:overflowPunct/>
        <w:topLinePunct w:val="0"/>
        <w:autoSpaceDE/>
        <w:autoSpaceDN/>
        <w:bidi w:val="0"/>
        <w:adjustRightInd/>
        <w:snapToGrid w:val="0"/>
        <w:spacing w:line="360" w:lineRule="auto"/>
        <w:ind w:firstLine="642" w:firstLineChars="200"/>
        <w:textAlignment w:val="auto"/>
        <w:rPr>
          <w:rFonts w:hint="eastAsia" w:ascii="仿宋_GB2312" w:hAnsi="Times New Roman" w:eastAsia="仿宋_GB2312" w:cs="Times New Roman"/>
          <w:b/>
          <w:bCs/>
          <w:color w:val="auto"/>
          <w:sz w:val="32"/>
          <w:szCs w:val="32"/>
          <w:lang w:val="en-US" w:eastAsia="zh-CN"/>
        </w:rPr>
      </w:pPr>
      <w:r>
        <w:rPr>
          <w:rFonts w:hint="eastAsia" w:ascii="仿宋_GB2312" w:hAnsi="Times New Roman" w:eastAsia="仿宋_GB2312" w:cs="Times New Roman"/>
          <w:b/>
          <w:bCs/>
          <w:color w:val="auto"/>
          <w:sz w:val="32"/>
          <w:szCs w:val="32"/>
          <w:lang w:val="en-US" w:eastAsia="zh-CN"/>
        </w:rPr>
        <w:t>2.专项资金完成绩效目标情况。</w:t>
      </w:r>
    </w:p>
    <w:p>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2019年省级休（禁）渔渔民生产生活补助资金的绩效目标为“及时足额发放2019年省级休（禁）渔渔民生产生活补助”。综合各项评价结果，大部分市县完成了补助资金发放工作，项目基本实现预期绩效目标。但</w:t>
      </w:r>
      <w:r>
        <w:rPr>
          <w:rFonts w:hint="eastAsia" w:ascii="仿宋_GB2312" w:hAnsi="仿宋_GB2312" w:eastAsia="仿宋_GB2312" w:cs="仿宋_GB2312"/>
          <w:b w:val="0"/>
          <w:bCs w:val="0"/>
          <w:color w:val="auto"/>
          <w:kern w:val="0"/>
          <w:sz w:val="32"/>
          <w:szCs w:val="32"/>
          <w:lang w:val="en-US" w:eastAsia="zh-CN" w:bidi="ar-SA"/>
        </w:rPr>
        <w:t>阳江市江城区</w:t>
      </w:r>
      <w:r>
        <w:rPr>
          <w:rFonts w:hint="eastAsia" w:ascii="仿宋_GB2312" w:hAnsi="仿宋" w:eastAsia="仿宋_GB2312"/>
          <w:color w:val="auto"/>
          <w:sz w:val="32"/>
          <w:szCs w:val="32"/>
          <w:highlight w:val="none"/>
          <w:lang w:val="en-US" w:eastAsia="zh-CN"/>
        </w:rPr>
        <w:t>因工作进度缓慢未能及时发放补助资金，对全面完成产出数量指标产生负面影响。</w:t>
      </w:r>
    </w:p>
    <w:p>
      <w:pPr>
        <w:snapToGrid w:val="0"/>
        <w:spacing w:line="360" w:lineRule="auto"/>
        <w:ind w:firstLine="642" w:firstLineChars="200"/>
        <w:rPr>
          <w:rFonts w:hint="eastAsia" w:ascii="仿宋_GB2312" w:eastAsia="仿宋_GB2312"/>
          <w:b/>
          <w:bCs/>
          <w:color w:val="auto"/>
          <w:sz w:val="32"/>
          <w:szCs w:val="32"/>
          <w:lang w:val="en-US" w:eastAsia="zh-CN"/>
        </w:rPr>
      </w:pPr>
      <w:r>
        <w:rPr>
          <w:rFonts w:hint="eastAsia" w:ascii="仿宋_GB2312" w:eastAsia="仿宋_GB2312"/>
          <w:b/>
          <w:bCs/>
          <w:color w:val="auto"/>
          <w:sz w:val="32"/>
          <w:szCs w:val="32"/>
          <w:lang w:val="en-US" w:eastAsia="zh-CN"/>
        </w:rPr>
        <w:t>3.专项资金分用途使用绩效。</w:t>
      </w:r>
    </w:p>
    <w:p>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360" w:lineRule="auto"/>
        <w:ind w:left="0" w:leftChars="0" w:firstLine="642" w:firstLineChars="200"/>
        <w:textAlignment w:val="auto"/>
        <w:rPr>
          <w:rFonts w:hint="eastAsia" w:ascii="仿宋_GB2312" w:eastAsia="仿宋_GB2312"/>
          <w:b/>
          <w:bCs/>
          <w:color w:val="auto"/>
          <w:sz w:val="32"/>
          <w:szCs w:val="32"/>
          <w:lang w:val="en-US" w:eastAsia="zh-CN"/>
        </w:rPr>
      </w:pPr>
      <w:r>
        <w:rPr>
          <w:rFonts w:hint="eastAsia" w:ascii="仿宋_GB2312" w:eastAsia="仿宋_GB2312"/>
          <w:b/>
          <w:bCs/>
          <w:color w:val="auto"/>
          <w:sz w:val="32"/>
          <w:szCs w:val="32"/>
          <w:lang w:val="en-US" w:eastAsia="zh-CN"/>
        </w:rPr>
        <w:t>（1）预期目标基本完成，保障了渔民群众在休（禁）渔期间的基本生活，增进其对政府的信任。</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eastAsia="仿宋_GB2312" w:cs="Times New Roman"/>
          <w:color w:val="auto"/>
          <w:sz w:val="32"/>
          <w:szCs w:val="32"/>
          <w:highlight w:val="none"/>
          <w:lang w:val="en-US" w:eastAsia="zh-CN"/>
        </w:rPr>
        <w:t>实施休（禁）渔渔民生产生活补助政策是我省重视渔业生产、关心渔民群众的重要举措，通过落实该项政策，产生了良好的政策效果。休（禁）渔渔民生产生活补助政策的</w:t>
      </w:r>
      <w:r>
        <w:rPr>
          <w:rFonts w:hint="eastAsia" w:ascii="仿宋_GB2312" w:hAnsi="仿宋" w:eastAsia="仿宋_GB2312"/>
          <w:color w:val="auto"/>
          <w:sz w:val="32"/>
          <w:szCs w:val="32"/>
          <w:highlight w:val="none"/>
          <w:lang w:val="en-US" w:eastAsia="zh-CN"/>
        </w:rPr>
        <w:t>实施产生了良好的社会效益，</w:t>
      </w:r>
      <w:r>
        <w:rPr>
          <w:rFonts w:hint="eastAsia" w:ascii="仿宋_GB2312" w:eastAsia="仿宋_GB2312"/>
          <w:color w:val="auto"/>
          <w:sz w:val="32"/>
          <w:szCs w:val="32"/>
          <w:lang w:val="en-US" w:eastAsia="zh-CN"/>
        </w:rPr>
        <w:t>大部分市县将专项资金按规定及时发放至符合补助条件的渔民群众，基本实现了预期目标，妥善解决了</w:t>
      </w:r>
      <w:r>
        <w:rPr>
          <w:rFonts w:hint="eastAsia" w:ascii="仿宋_GB2312" w:hAnsi="仿宋" w:eastAsia="仿宋_GB2312"/>
          <w:b w:val="0"/>
          <w:bCs w:val="0"/>
          <w:color w:val="auto"/>
          <w:sz w:val="32"/>
          <w:highlight w:val="none"/>
          <w:lang w:val="en-US" w:eastAsia="zh-CN"/>
        </w:rPr>
        <w:t>休（禁）渔期间渔民的生活困难问题</w:t>
      </w:r>
      <w:r>
        <w:rPr>
          <w:rFonts w:hint="eastAsia" w:ascii="仿宋_GB2312" w:eastAsia="仿宋_GB2312"/>
          <w:color w:val="auto"/>
          <w:sz w:val="32"/>
          <w:szCs w:val="32"/>
          <w:lang w:val="en-US" w:eastAsia="zh-CN"/>
        </w:rPr>
        <w:t>，有效保障了渔民群众的基本生活。安排专项资金补助，给渔民群众送去关怀，增添其生活温度，有助于提升渔民群众的获得感和满意度，增进其对政府的信任。</w:t>
      </w:r>
    </w:p>
    <w:p>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360" w:lineRule="auto"/>
        <w:ind w:left="0" w:leftChars="0" w:firstLine="642" w:firstLineChars="200"/>
        <w:textAlignment w:val="auto"/>
        <w:rPr>
          <w:rFonts w:hint="eastAsia" w:ascii="仿宋_GB2312" w:eastAsia="仿宋_GB2312"/>
          <w:b/>
          <w:bCs/>
          <w:color w:val="auto"/>
          <w:sz w:val="32"/>
          <w:szCs w:val="32"/>
          <w:lang w:val="en-US" w:eastAsia="zh-CN"/>
        </w:rPr>
      </w:pPr>
      <w:r>
        <w:rPr>
          <w:rFonts w:hint="eastAsia" w:ascii="仿宋_GB2312" w:eastAsia="仿宋_GB2312"/>
          <w:b/>
          <w:bCs/>
          <w:color w:val="auto"/>
          <w:sz w:val="32"/>
          <w:szCs w:val="32"/>
          <w:lang w:val="en-US" w:eastAsia="zh-CN"/>
        </w:rPr>
        <w:t>（2）缓解了渔民群众对休（禁）渔期制度的抵触情绪，为休（禁）渔期制度的有效实施和渔业生产可持续发展奠定了基础。</w:t>
      </w:r>
    </w:p>
    <w:p>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360" w:lineRule="auto"/>
        <w:ind w:left="0" w:leftChars="0"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实施</w:t>
      </w:r>
      <w:r>
        <w:rPr>
          <w:rFonts w:hint="eastAsia" w:ascii="仿宋_GB2312" w:eastAsia="仿宋_GB2312" w:cs="Times New Roman"/>
          <w:sz w:val="32"/>
          <w:szCs w:val="32"/>
          <w:highlight w:val="none"/>
          <w:lang w:val="en-US" w:eastAsia="zh-CN"/>
        </w:rPr>
        <w:t>休（禁）渔渔民生产生活补助政策该项政策，</w:t>
      </w:r>
      <w:r>
        <w:rPr>
          <w:rFonts w:hint="eastAsia" w:ascii="仿宋_GB2312" w:hAnsi="仿宋" w:eastAsia="仿宋_GB2312"/>
          <w:color w:val="auto"/>
          <w:sz w:val="32"/>
          <w:szCs w:val="32"/>
          <w:highlight w:val="none"/>
          <w:lang w:val="en-US" w:eastAsia="zh-CN"/>
        </w:rPr>
        <w:t>明显减轻了休（禁）渔期的执法压力，缓解了渔民群众对休（禁）渔期制度的抵触情绪，得到了渔民群众的广泛拥护和支持，有效化解了社会不稳定因素，</w:t>
      </w:r>
      <w:r>
        <w:rPr>
          <w:rFonts w:hint="eastAsia" w:ascii="仿宋_GB2312" w:eastAsia="仿宋_GB2312" w:cs="Times New Roman"/>
          <w:sz w:val="32"/>
          <w:szCs w:val="32"/>
          <w:highlight w:val="none"/>
          <w:lang w:val="en-US" w:eastAsia="zh-CN"/>
        </w:rPr>
        <w:t>产生了良好的社会效益，</w:t>
      </w:r>
      <w:r>
        <w:rPr>
          <w:rFonts w:hint="eastAsia" w:ascii="仿宋_GB2312" w:hAnsi="仿宋" w:eastAsia="仿宋_GB2312"/>
          <w:color w:val="auto"/>
          <w:sz w:val="32"/>
          <w:szCs w:val="32"/>
          <w:highlight w:val="none"/>
          <w:lang w:val="en-US" w:eastAsia="zh-CN"/>
        </w:rPr>
        <w:t>促进了休（禁）渔期制度的有效实施和渔业生产的可持续发展</w:t>
      </w:r>
      <w:r>
        <w:rPr>
          <w:rFonts w:hint="eastAsia" w:ascii="仿宋_GB2312" w:eastAsia="仿宋_GB2312" w:cs="Times New Roman"/>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360" w:lineRule="auto"/>
        <w:ind w:left="0" w:leftChars="0" w:firstLine="642" w:firstLineChars="200"/>
        <w:textAlignment w:val="auto"/>
        <w:rPr>
          <w:rFonts w:hint="default" w:ascii="仿宋_GB2312" w:eastAsia="仿宋_GB2312"/>
          <w:b/>
          <w:bCs/>
          <w:color w:val="auto"/>
          <w:sz w:val="32"/>
          <w:szCs w:val="32"/>
          <w:lang w:val="en-US" w:eastAsia="zh-CN"/>
        </w:rPr>
      </w:pPr>
      <w:r>
        <w:rPr>
          <w:rFonts w:hint="eastAsia" w:ascii="仿宋_GB2312" w:eastAsia="仿宋_GB2312"/>
          <w:b/>
          <w:bCs/>
          <w:color w:val="auto"/>
          <w:sz w:val="32"/>
          <w:szCs w:val="32"/>
          <w:lang w:val="en-US" w:eastAsia="zh-CN"/>
        </w:rPr>
        <w:t>（3）积极探索、建立机制、完善制度，为今后实施休（禁）渔渔民生产生活补助政策积累经验。</w:t>
      </w:r>
    </w:p>
    <w:p>
      <w:pPr>
        <w:snapToGrid w:val="0"/>
        <w:spacing w:line="360" w:lineRule="auto"/>
        <w:ind w:firstLine="640" w:firstLineChars="200"/>
        <w:rPr>
          <w:rFonts w:hint="eastAsia" w:ascii="仿宋_GB2312" w:hAnsi="Times New Roman" w:eastAsia="仿宋_GB2312" w:cs="Times New Roman"/>
          <w:color w:val="auto"/>
          <w:sz w:val="32"/>
          <w:szCs w:val="32"/>
          <w:highlight w:val="none"/>
          <w:lang w:val="en-US" w:eastAsia="zh-CN"/>
        </w:rPr>
      </w:pPr>
      <w:r>
        <w:rPr>
          <w:rFonts w:hint="eastAsia" w:ascii="仿宋_GB2312" w:eastAsia="仿宋_GB2312" w:cs="Times New Roman"/>
          <w:color w:val="auto"/>
          <w:sz w:val="32"/>
          <w:szCs w:val="32"/>
          <w:highlight w:val="none"/>
          <w:lang w:val="en-US" w:eastAsia="zh-CN"/>
        </w:rPr>
        <w:t>一是《广东省休（禁）渔渔民生产生活补助发放实施方案》，要求</w:t>
      </w:r>
      <w:r>
        <w:rPr>
          <w:rFonts w:hint="eastAsia" w:ascii="仿宋_GB2312" w:hAnsi="Times New Roman" w:eastAsia="仿宋_GB2312" w:cs="Times New Roman"/>
          <w:color w:val="auto"/>
          <w:sz w:val="32"/>
          <w:szCs w:val="32"/>
          <w:highlight w:val="none"/>
          <w:lang w:val="en-US" w:eastAsia="zh-CN"/>
        </w:rPr>
        <w:t>各地政府提高政策认识，加强组织领导，落实主体责任，实行休（禁）渔渔民生产生活补助政策落实工作的“市、县长负责制”，成立政府领导牵头，相关部门组织实施的休（禁）渔渔民生产生活补助发放工作领导小组，建立健全政府统一领导，相关部门各司其职、协同配合的工作机制，明确责任分工，结合本地实际制订实施方案。</w:t>
      </w:r>
      <w:r>
        <w:rPr>
          <w:rFonts w:hint="eastAsia" w:ascii="仿宋_GB2312" w:eastAsia="仿宋_GB2312" w:cs="Times New Roman"/>
          <w:color w:val="auto"/>
          <w:sz w:val="32"/>
          <w:szCs w:val="32"/>
          <w:highlight w:val="none"/>
          <w:lang w:val="en-US" w:eastAsia="zh-CN"/>
        </w:rPr>
        <w:t>二是建立申审分离工作模式，由</w:t>
      </w:r>
      <w:r>
        <w:rPr>
          <w:rFonts w:hint="eastAsia" w:ascii="仿宋_GB2312" w:hAnsi="Times New Roman" w:eastAsia="仿宋_GB2312" w:cs="Times New Roman"/>
          <w:color w:val="auto"/>
          <w:sz w:val="32"/>
          <w:szCs w:val="32"/>
          <w:highlight w:val="none"/>
          <w:lang w:val="en-US" w:eastAsia="zh-CN"/>
        </w:rPr>
        <w:t>乡镇（街道）负责</w:t>
      </w:r>
      <w:r>
        <w:rPr>
          <w:rFonts w:hint="eastAsia" w:ascii="仿宋_GB2312" w:eastAsia="仿宋_GB2312" w:cs="Times New Roman"/>
          <w:color w:val="auto"/>
          <w:sz w:val="32"/>
          <w:szCs w:val="32"/>
          <w:highlight w:val="none"/>
          <w:lang w:val="en-US" w:eastAsia="zh-CN"/>
        </w:rPr>
        <w:t>补贴资金</w:t>
      </w:r>
      <w:r>
        <w:rPr>
          <w:rFonts w:hint="eastAsia" w:ascii="仿宋_GB2312" w:hAnsi="Times New Roman" w:eastAsia="仿宋_GB2312" w:cs="Times New Roman"/>
          <w:color w:val="auto"/>
          <w:sz w:val="32"/>
          <w:szCs w:val="32"/>
          <w:highlight w:val="none"/>
          <w:lang w:val="en-US" w:eastAsia="zh-CN"/>
        </w:rPr>
        <w:t>申报和初审</w:t>
      </w:r>
      <w:r>
        <w:rPr>
          <w:rFonts w:hint="eastAsia" w:ascii="仿宋_GB2312" w:eastAsia="仿宋_GB2312" w:cs="Times New Roman"/>
          <w:color w:val="auto"/>
          <w:sz w:val="32"/>
          <w:szCs w:val="32"/>
          <w:highlight w:val="none"/>
          <w:lang w:val="en-US" w:eastAsia="zh-CN"/>
        </w:rPr>
        <w:t>工作，</w:t>
      </w:r>
      <w:r>
        <w:rPr>
          <w:rFonts w:hint="eastAsia" w:ascii="仿宋_GB2312" w:hAnsi="Times New Roman" w:eastAsia="仿宋_GB2312" w:cs="Times New Roman"/>
          <w:color w:val="auto"/>
          <w:sz w:val="32"/>
          <w:szCs w:val="32"/>
          <w:highlight w:val="none"/>
          <w:lang w:val="en-US" w:eastAsia="zh-CN"/>
        </w:rPr>
        <w:t>县级渔业主管部门</w:t>
      </w:r>
      <w:r>
        <w:rPr>
          <w:rFonts w:hint="eastAsia" w:ascii="仿宋_GB2312" w:eastAsia="仿宋_GB2312" w:cs="Times New Roman"/>
          <w:color w:val="auto"/>
          <w:sz w:val="32"/>
          <w:szCs w:val="32"/>
          <w:highlight w:val="none"/>
          <w:lang w:val="en-US" w:eastAsia="zh-CN"/>
        </w:rPr>
        <w:t>负责</w:t>
      </w:r>
      <w:r>
        <w:rPr>
          <w:rFonts w:hint="eastAsia" w:ascii="仿宋_GB2312" w:hAnsi="Times New Roman" w:eastAsia="仿宋_GB2312" w:cs="Times New Roman"/>
          <w:color w:val="auto"/>
          <w:sz w:val="32"/>
          <w:szCs w:val="32"/>
          <w:highlight w:val="none"/>
          <w:lang w:val="en-US" w:eastAsia="zh-CN"/>
        </w:rPr>
        <w:t>复核</w:t>
      </w:r>
      <w:r>
        <w:rPr>
          <w:rFonts w:hint="eastAsia" w:ascii="仿宋_GB2312" w:eastAsia="仿宋_GB2312" w:cs="Times New Roman"/>
          <w:color w:val="auto"/>
          <w:sz w:val="32"/>
          <w:szCs w:val="32"/>
          <w:highlight w:val="none"/>
          <w:lang w:val="en-US" w:eastAsia="zh-CN"/>
        </w:rPr>
        <w:t>确认</w:t>
      </w:r>
      <w:r>
        <w:rPr>
          <w:rFonts w:hint="eastAsia" w:ascii="仿宋_GB2312" w:hAnsi="Times New Roman" w:eastAsia="仿宋_GB2312" w:cs="Times New Roman"/>
          <w:color w:val="auto"/>
          <w:sz w:val="32"/>
          <w:szCs w:val="32"/>
          <w:highlight w:val="none"/>
          <w:lang w:val="en-US" w:eastAsia="zh-CN"/>
        </w:rPr>
        <w:t>工作</w:t>
      </w:r>
      <w:r>
        <w:rPr>
          <w:rFonts w:hint="eastAsia" w:ascii="仿宋_GB2312" w:eastAsia="仿宋_GB2312" w:cs="Times New Roman"/>
          <w:color w:val="auto"/>
          <w:sz w:val="32"/>
          <w:szCs w:val="32"/>
          <w:highlight w:val="none"/>
          <w:lang w:val="en-US" w:eastAsia="zh-CN"/>
        </w:rPr>
        <w:t>，县级财政部门负责资金发放工作，达到分解权力、相互监督的效果。</w:t>
      </w:r>
    </w:p>
    <w:p>
      <w:pPr>
        <w:pStyle w:val="3"/>
        <w:keepNext/>
        <w:keepLines/>
        <w:pageBreakBefore w:val="0"/>
        <w:widowControl w:val="0"/>
        <w:numPr>
          <w:ilvl w:val="0"/>
          <w:numId w:val="0"/>
        </w:numPr>
        <w:kinsoku/>
        <w:wordWrap/>
        <w:overflowPunct/>
        <w:topLinePunct w:val="0"/>
        <w:autoSpaceDE/>
        <w:autoSpaceDN/>
        <w:bidi w:val="0"/>
        <w:adjustRightInd/>
        <w:snapToGrid/>
        <w:spacing w:before="0" w:after="0" w:line="360" w:lineRule="auto"/>
        <w:ind w:firstLine="642" w:firstLineChars="200"/>
        <w:textAlignment w:val="auto"/>
        <w:outlineLvl w:val="1"/>
        <w:rPr>
          <w:rFonts w:hint="eastAsia" w:ascii="Calibri" w:hAnsi="宋体" w:eastAsia="楷体_GB2312" w:cs="Times New Roman"/>
          <w:b/>
          <w:bCs/>
          <w:color w:val="auto"/>
          <w:kern w:val="44"/>
          <w:sz w:val="32"/>
          <w:szCs w:val="44"/>
          <w:lang w:val="en-US" w:eastAsia="zh-CN" w:bidi="ar-SA"/>
        </w:rPr>
      </w:pPr>
      <w:bookmarkStart w:id="64" w:name="_Toc24361"/>
      <w:bookmarkStart w:id="65" w:name="_Toc21011"/>
      <w:r>
        <w:rPr>
          <w:rFonts w:hint="eastAsia" w:ascii="Calibri" w:hAnsi="宋体" w:eastAsia="楷体_GB2312" w:cs="Times New Roman"/>
          <w:b/>
          <w:bCs/>
          <w:color w:val="auto"/>
          <w:kern w:val="44"/>
          <w:sz w:val="32"/>
          <w:szCs w:val="44"/>
          <w:lang w:val="en-US" w:eastAsia="zh-CN" w:bidi="ar-SA"/>
        </w:rPr>
        <w:t>（三）</w:t>
      </w:r>
      <w:bookmarkStart w:id="66" w:name="_Toc42021449"/>
      <w:r>
        <w:rPr>
          <w:rFonts w:hint="eastAsia" w:ascii="Calibri" w:hAnsi="宋体" w:eastAsia="楷体_GB2312" w:cs="Times New Roman"/>
          <w:b/>
          <w:bCs/>
          <w:color w:val="auto"/>
          <w:kern w:val="44"/>
          <w:sz w:val="32"/>
          <w:szCs w:val="44"/>
          <w:lang w:val="en-US" w:eastAsia="zh-CN" w:bidi="ar-SA"/>
        </w:rPr>
        <w:t>专项资金使用绩效存在的问题</w:t>
      </w:r>
      <w:bookmarkEnd w:id="64"/>
      <w:bookmarkEnd w:id="65"/>
      <w:bookmarkEnd w:id="66"/>
    </w:p>
    <w:p>
      <w:pPr>
        <w:pStyle w:val="13"/>
        <w:ind w:left="0" w:leftChars="0" w:firstLine="642" w:firstLineChars="200"/>
        <w:rPr>
          <w:rFonts w:hint="eastAsia" w:ascii="仿宋_GB2312" w:hAnsi="Times New Roman" w:eastAsia="仿宋_GB2312" w:cs="Times New Roman"/>
          <w:b/>
          <w:bCs/>
          <w:color w:val="auto"/>
          <w:kern w:val="2"/>
          <w:sz w:val="32"/>
          <w:szCs w:val="32"/>
          <w:lang w:val="en-US" w:eastAsia="zh-CN" w:bidi="ar-SA"/>
        </w:rPr>
      </w:pPr>
      <w:r>
        <w:rPr>
          <w:rFonts w:hint="eastAsia" w:ascii="仿宋_GB2312" w:hAnsi="Times New Roman" w:eastAsia="仿宋_GB2312" w:cs="Times New Roman"/>
          <w:b/>
          <w:bCs/>
          <w:color w:val="auto"/>
          <w:kern w:val="2"/>
          <w:sz w:val="32"/>
          <w:szCs w:val="32"/>
          <w:lang w:val="en-US" w:eastAsia="zh-CN" w:bidi="ar-SA"/>
        </w:rPr>
        <w:t>1.绩效目标设置完整性、合理性和可衡量性不足，实施成效的衡量标准较难统一。</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color w:val="auto"/>
          <w:sz w:val="32"/>
          <w:szCs w:val="32"/>
          <w:highlight w:val="none"/>
        </w:rPr>
        <w:t>绩效目标一方面对项目实施具有导向性作用，是项目实施绩效监控的重要依据。另一方面是项目实施结果的考核标准，欠缺明确的项目预算绩效目标，将导致难以准确衡量项目的实施成效。</w:t>
      </w:r>
      <w:r>
        <w:rPr>
          <w:rFonts w:hint="eastAsia" w:ascii="仿宋_GB2312" w:eastAsia="仿宋_GB2312" w:cs="Times New Roman"/>
          <w:sz w:val="32"/>
          <w:szCs w:val="32"/>
          <w:highlight w:val="none"/>
          <w:lang w:val="en-US" w:eastAsia="zh-CN"/>
        </w:rPr>
        <w:t>休（禁）渔渔民生产生活补助资金</w:t>
      </w:r>
      <w:r>
        <w:rPr>
          <w:rFonts w:hint="eastAsia" w:ascii="仿宋_GB2312" w:eastAsia="仿宋_GB2312"/>
          <w:color w:val="auto"/>
          <w:sz w:val="32"/>
          <w:szCs w:val="32"/>
          <w:highlight w:val="none"/>
        </w:rPr>
        <w:t>虽设置</w:t>
      </w:r>
      <w:r>
        <w:rPr>
          <w:rFonts w:hint="eastAsia" w:ascii="仿宋_GB2312" w:eastAsia="仿宋_GB2312"/>
          <w:color w:val="auto"/>
          <w:sz w:val="32"/>
          <w:szCs w:val="32"/>
          <w:highlight w:val="none"/>
          <w:lang w:eastAsia="zh-CN"/>
        </w:rPr>
        <w:t>了</w:t>
      </w:r>
      <w:r>
        <w:rPr>
          <w:rFonts w:hint="eastAsia" w:ascii="仿宋_GB2312" w:eastAsia="仿宋_GB2312"/>
          <w:color w:val="auto"/>
          <w:sz w:val="32"/>
          <w:szCs w:val="32"/>
          <w:highlight w:val="none"/>
        </w:rPr>
        <w:t>绩效目标，但</w:t>
      </w:r>
      <w:r>
        <w:rPr>
          <w:rFonts w:hint="eastAsia" w:ascii="仿宋_GB2312" w:eastAsia="仿宋_GB2312"/>
          <w:color w:val="auto"/>
          <w:sz w:val="32"/>
          <w:szCs w:val="32"/>
          <w:highlight w:val="none"/>
          <w:lang w:val="en-US" w:eastAsia="zh-CN"/>
        </w:rPr>
        <w:t>仍存在完善的空间：一是绩效目标完整性不足，</w:t>
      </w:r>
      <w:r>
        <w:rPr>
          <w:rFonts w:hint="eastAsia" w:ascii="仿宋_GB2312" w:eastAsia="仿宋_GB2312"/>
          <w:color w:val="auto"/>
          <w:sz w:val="32"/>
          <w:szCs w:val="32"/>
          <w:highlight w:val="none"/>
        </w:rPr>
        <w:t>产出数量、质量、成本指标、预期达到的效果性指标等</w:t>
      </w:r>
      <w:r>
        <w:rPr>
          <w:rFonts w:hint="eastAsia" w:ascii="仿宋_GB2312" w:eastAsia="仿宋_GB2312"/>
          <w:color w:val="auto"/>
          <w:sz w:val="32"/>
          <w:szCs w:val="32"/>
          <w:highlight w:val="none"/>
          <w:lang w:eastAsia="zh-CN"/>
        </w:rPr>
        <w:t>不够</w:t>
      </w:r>
      <w:r>
        <w:rPr>
          <w:rFonts w:hint="eastAsia" w:ascii="仿宋_GB2312" w:eastAsia="仿宋_GB2312"/>
          <w:color w:val="auto"/>
          <w:sz w:val="32"/>
          <w:szCs w:val="32"/>
          <w:highlight w:val="none"/>
        </w:rPr>
        <w:t>明确</w:t>
      </w:r>
      <w:r>
        <w:rPr>
          <w:rFonts w:hint="eastAsia" w:ascii="仿宋_GB2312" w:eastAsia="仿宋_GB2312"/>
          <w:color w:val="auto"/>
          <w:sz w:val="32"/>
          <w:szCs w:val="32"/>
          <w:highlight w:val="none"/>
          <w:lang w:val="en-US" w:eastAsia="zh-CN"/>
        </w:rPr>
        <w:t>；二是绩效目标量化不足，</w:t>
      </w:r>
      <w:r>
        <w:rPr>
          <w:rFonts w:hint="eastAsia" w:ascii="仿宋_GB2312" w:eastAsia="仿宋_GB2312"/>
          <w:color w:val="auto"/>
          <w:sz w:val="32"/>
          <w:szCs w:val="32"/>
          <w:highlight w:val="none"/>
        </w:rPr>
        <w:t>绩效目标定性成分较多，在“可衡量性”方面</w:t>
      </w:r>
      <w:r>
        <w:rPr>
          <w:rFonts w:hint="eastAsia" w:ascii="仿宋_GB2312" w:eastAsia="仿宋_GB2312"/>
          <w:color w:val="auto"/>
          <w:sz w:val="32"/>
          <w:szCs w:val="32"/>
          <w:highlight w:val="none"/>
          <w:lang w:eastAsia="zh-CN"/>
        </w:rPr>
        <w:t>存在缺失</w:t>
      </w:r>
      <w:r>
        <w:rPr>
          <w:rFonts w:hint="eastAsia" w:ascii="仿宋_GB2312" w:eastAsia="仿宋_GB2312"/>
          <w:color w:val="auto"/>
          <w:sz w:val="32"/>
          <w:szCs w:val="32"/>
          <w:highlight w:val="none"/>
        </w:rPr>
        <w:t>，对专项资金实施成效的衡量标准难以统一。</w:t>
      </w:r>
    </w:p>
    <w:p>
      <w:pPr>
        <w:pStyle w:val="13"/>
        <w:ind w:left="0" w:leftChars="0" w:firstLine="642" w:firstLineChars="200"/>
        <w:rPr>
          <w:rFonts w:hint="default" w:ascii="仿宋_GB2312" w:hAnsi="Times New Roman" w:eastAsia="仿宋_GB2312" w:cs="Times New Roman"/>
          <w:b/>
          <w:bCs/>
          <w:color w:val="auto"/>
          <w:kern w:val="2"/>
          <w:sz w:val="32"/>
          <w:szCs w:val="32"/>
          <w:lang w:val="en-US" w:eastAsia="zh-CN" w:bidi="ar-SA"/>
        </w:rPr>
      </w:pPr>
      <w:r>
        <w:rPr>
          <w:rFonts w:hint="eastAsia" w:ascii="仿宋_GB2312" w:hAnsi="Times New Roman" w:eastAsia="仿宋_GB2312" w:cs="Times New Roman"/>
          <w:b/>
          <w:bCs/>
          <w:color w:val="auto"/>
          <w:kern w:val="2"/>
          <w:sz w:val="32"/>
          <w:szCs w:val="32"/>
          <w:lang w:val="en-US" w:eastAsia="zh-CN" w:bidi="ar-SA"/>
        </w:rPr>
        <w:t>2.项目推进效率不理想，专项资金管理的可操作性、规范性有待增强。</w:t>
      </w:r>
    </w:p>
    <w:p>
      <w:pPr>
        <w:snapToGrid w:val="0"/>
        <w:spacing w:line="360" w:lineRule="auto"/>
        <w:ind w:firstLine="640" w:firstLineChars="200"/>
        <w:rPr>
          <w:rFonts w:hint="eastAsia" w:ascii="黑体" w:eastAsia="黑体"/>
          <w:color w:val="auto"/>
          <w:sz w:val="32"/>
          <w:szCs w:val="32"/>
        </w:rPr>
      </w:pPr>
      <w:r>
        <w:rPr>
          <w:rFonts w:hint="eastAsia" w:ascii="仿宋_GB2312" w:eastAsia="仿宋_GB2312" w:cs="Times New Roman"/>
          <w:sz w:val="32"/>
          <w:szCs w:val="32"/>
          <w:highlight w:val="none"/>
          <w:lang w:val="en-US" w:eastAsia="zh-CN"/>
        </w:rPr>
        <w:t>休（禁）渔渔民生产生活补助</w:t>
      </w:r>
      <w:r>
        <w:rPr>
          <w:rFonts w:hint="eastAsia" w:ascii="仿宋_GB2312" w:eastAsia="仿宋_GB2312"/>
          <w:color w:val="auto"/>
          <w:sz w:val="32"/>
          <w:szCs w:val="32"/>
          <w:highlight w:val="none"/>
        </w:rPr>
        <w:t>资金使用管理对象人多</w:t>
      </w:r>
      <w:r>
        <w:rPr>
          <w:rFonts w:ascii="仿宋_GB2312" w:eastAsia="仿宋_GB2312"/>
          <w:color w:val="auto"/>
          <w:sz w:val="32"/>
          <w:szCs w:val="32"/>
          <w:highlight w:val="none"/>
        </w:rPr>
        <w:t>,资金链条长</w:t>
      </w:r>
      <w:r>
        <w:rPr>
          <w:rFonts w:hint="eastAsia" w:ascii="仿宋_GB2312" w:eastAsia="仿宋_GB2312"/>
          <w:color w:val="auto"/>
          <w:sz w:val="32"/>
          <w:szCs w:val="32"/>
          <w:highlight w:val="none"/>
          <w:lang w:eastAsia="zh-CN"/>
        </w:rPr>
        <w:t>，</w:t>
      </w:r>
      <w:r>
        <w:rPr>
          <w:rFonts w:ascii="仿宋_GB2312" w:eastAsia="仿宋_GB2312"/>
          <w:color w:val="auto"/>
          <w:sz w:val="32"/>
          <w:szCs w:val="32"/>
          <w:highlight w:val="none"/>
        </w:rPr>
        <w:t>要达到规范使用管理难度较大。</w:t>
      </w:r>
      <w:r>
        <w:rPr>
          <w:rFonts w:hint="eastAsia" w:ascii="仿宋_GB2312" w:eastAsia="仿宋_GB2312"/>
          <w:color w:val="auto"/>
          <w:sz w:val="32"/>
          <w:szCs w:val="32"/>
          <w:highlight w:val="none"/>
          <w:lang w:val="en-US" w:eastAsia="zh-CN"/>
        </w:rPr>
        <w:t>一方面，</w:t>
      </w:r>
      <w:r>
        <w:rPr>
          <w:rFonts w:hint="eastAsia" w:ascii="仿宋_GB2312" w:eastAsia="仿宋_GB2312"/>
          <w:sz w:val="32"/>
          <w:szCs w:val="32"/>
          <w:lang w:val="en-US" w:eastAsia="zh-CN"/>
        </w:rPr>
        <w:t>乡镇（街道）工作人员流动较大，部分工作人员在开展初步受理、审核工作时业务不熟，</w:t>
      </w:r>
      <w:r>
        <w:rPr>
          <w:rFonts w:hint="eastAsia" w:ascii="仿宋_GB2312" w:eastAsia="仿宋_GB2312"/>
          <w:color w:val="auto"/>
          <w:sz w:val="32"/>
          <w:szCs w:val="32"/>
          <w:highlight w:val="none"/>
        </w:rPr>
        <w:t>对于相关资金分配政策、资金绩效管理政策的理解不够深入，</w:t>
      </w:r>
      <w:r>
        <w:rPr>
          <w:rFonts w:hint="eastAsia" w:ascii="仿宋_GB2312" w:eastAsia="仿宋_GB2312"/>
          <w:sz w:val="32"/>
          <w:szCs w:val="32"/>
          <w:lang w:val="en-US" w:eastAsia="zh-CN"/>
        </w:rPr>
        <w:t>导致项目推进效率不理想。另一方面，由于机构改革，部分县级渔业主管部门发生人事变动、职能变更，存在政策、程序和系统操作不熟练等问题，</w:t>
      </w:r>
      <w:r>
        <w:rPr>
          <w:rFonts w:hint="eastAsia" w:ascii="仿宋_GB2312" w:eastAsia="仿宋_GB2312"/>
          <w:color w:val="auto"/>
          <w:sz w:val="32"/>
          <w:szCs w:val="32"/>
          <w:highlight w:val="none"/>
        </w:rPr>
        <w:t>工作执行过程的可操作性和规范性有待增强</w:t>
      </w:r>
      <w:r>
        <w:rPr>
          <w:rFonts w:hint="eastAsia" w:ascii="仿宋_GB2312" w:eastAsia="仿宋_GB2312"/>
          <w:sz w:val="32"/>
          <w:szCs w:val="32"/>
          <w:lang w:val="en-US" w:eastAsia="zh-CN"/>
        </w:rPr>
        <w:t>。</w:t>
      </w:r>
    </w:p>
    <w:p>
      <w:pPr>
        <w:snapToGrid w:val="0"/>
        <w:spacing w:line="360" w:lineRule="auto"/>
        <w:ind w:firstLine="640" w:firstLineChars="200"/>
        <w:outlineLvl w:val="0"/>
        <w:rPr>
          <w:rFonts w:hint="eastAsia" w:ascii="仿宋_GB2312" w:eastAsia="仿宋_GB2312"/>
          <w:color w:val="auto"/>
          <w:sz w:val="32"/>
          <w:szCs w:val="32"/>
        </w:rPr>
      </w:pPr>
      <w:bookmarkStart w:id="67" w:name="_Toc12941"/>
      <w:bookmarkStart w:id="68" w:name="_Toc12755"/>
      <w:r>
        <w:rPr>
          <w:rFonts w:hint="eastAsia" w:ascii="黑体" w:eastAsia="黑体"/>
          <w:color w:val="auto"/>
          <w:sz w:val="32"/>
          <w:szCs w:val="32"/>
          <w:lang w:val="en-US" w:eastAsia="zh-CN"/>
        </w:rPr>
        <w:t>三、</w:t>
      </w:r>
      <w:r>
        <w:rPr>
          <w:rFonts w:hint="eastAsia" w:ascii="黑体" w:eastAsia="黑体"/>
          <w:color w:val="auto"/>
          <w:sz w:val="32"/>
          <w:szCs w:val="32"/>
        </w:rPr>
        <w:t>改进意见</w:t>
      </w:r>
      <w:r>
        <w:rPr>
          <w:rFonts w:hint="eastAsia" w:ascii="黑体" w:eastAsia="黑体"/>
          <w:color w:val="auto"/>
          <w:sz w:val="32"/>
          <w:szCs w:val="32"/>
          <w:lang w:eastAsia="zh-CN"/>
        </w:rPr>
        <w:t>和建议</w:t>
      </w:r>
      <w:bookmarkEnd w:id="67"/>
      <w:bookmarkEnd w:id="68"/>
    </w:p>
    <w:p>
      <w:pPr>
        <w:pStyle w:val="3"/>
        <w:keepNext/>
        <w:keepLines/>
        <w:pageBreakBefore w:val="0"/>
        <w:widowControl w:val="0"/>
        <w:numPr>
          <w:ilvl w:val="0"/>
          <w:numId w:val="0"/>
        </w:numPr>
        <w:kinsoku/>
        <w:wordWrap/>
        <w:overflowPunct/>
        <w:topLinePunct w:val="0"/>
        <w:autoSpaceDE/>
        <w:autoSpaceDN/>
        <w:bidi w:val="0"/>
        <w:adjustRightInd/>
        <w:snapToGrid/>
        <w:spacing w:before="0" w:after="0" w:line="360" w:lineRule="auto"/>
        <w:ind w:firstLine="642" w:firstLineChars="200"/>
        <w:textAlignment w:val="auto"/>
        <w:outlineLvl w:val="1"/>
        <w:rPr>
          <w:rFonts w:hint="eastAsia" w:ascii="Calibri" w:hAnsi="宋体" w:eastAsia="楷体_GB2312" w:cs="Times New Roman"/>
          <w:b/>
          <w:bCs/>
          <w:color w:val="auto"/>
          <w:kern w:val="44"/>
          <w:sz w:val="32"/>
          <w:szCs w:val="44"/>
          <w:lang w:val="en-US" w:eastAsia="zh-CN" w:bidi="ar-SA"/>
        </w:rPr>
      </w:pPr>
      <w:bookmarkStart w:id="69" w:name="_Toc24767"/>
      <w:bookmarkStart w:id="70" w:name="_Toc16629"/>
      <w:r>
        <w:rPr>
          <w:rFonts w:hint="eastAsia" w:ascii="Calibri" w:hAnsi="宋体" w:eastAsia="楷体_GB2312" w:cs="Times New Roman"/>
          <w:b/>
          <w:bCs/>
          <w:color w:val="auto"/>
          <w:kern w:val="44"/>
          <w:sz w:val="32"/>
          <w:szCs w:val="44"/>
          <w:lang w:val="en-US" w:eastAsia="zh-CN" w:bidi="ar-SA"/>
        </w:rPr>
        <w:t>（一）</w:t>
      </w:r>
      <w:bookmarkEnd w:id="69"/>
      <w:bookmarkEnd w:id="70"/>
      <w:bookmarkStart w:id="71" w:name="_Toc13122"/>
      <w:r>
        <w:rPr>
          <w:rFonts w:hint="eastAsia" w:ascii="Calibri" w:hAnsi="宋体" w:eastAsia="楷体_GB2312" w:cs="Times New Roman"/>
          <w:b/>
          <w:bCs/>
          <w:color w:val="auto"/>
          <w:kern w:val="44"/>
          <w:sz w:val="32"/>
          <w:szCs w:val="44"/>
          <w:lang w:val="en-US" w:eastAsia="zh-CN" w:bidi="ar-SA"/>
        </w:rPr>
        <w:t>完善绩效</w:t>
      </w:r>
      <w:r>
        <w:rPr>
          <w:rFonts w:hint="eastAsia" w:ascii="Calibri" w:hAnsi="宋体" w:cs="Times New Roman"/>
          <w:b/>
          <w:bCs/>
          <w:color w:val="auto"/>
          <w:kern w:val="44"/>
          <w:sz w:val="32"/>
          <w:szCs w:val="44"/>
          <w:lang w:val="en-US" w:eastAsia="zh-CN" w:bidi="ar-SA"/>
        </w:rPr>
        <w:t>管理</w:t>
      </w:r>
      <w:r>
        <w:rPr>
          <w:rFonts w:hint="eastAsia" w:ascii="Calibri" w:hAnsi="宋体" w:eastAsia="楷体_GB2312" w:cs="Times New Roman"/>
          <w:b/>
          <w:bCs/>
          <w:color w:val="auto"/>
          <w:kern w:val="44"/>
          <w:sz w:val="32"/>
          <w:szCs w:val="44"/>
          <w:lang w:val="en-US" w:eastAsia="zh-CN" w:bidi="ar-SA"/>
        </w:rPr>
        <w:t>机制，建立完整合理可衡量的绩效指标体系</w:t>
      </w:r>
      <w:bookmarkEnd w:id="71"/>
    </w:p>
    <w:p>
      <w:pPr>
        <w:snapToGrid w:val="0"/>
        <w:spacing w:line="360" w:lineRule="auto"/>
        <w:ind w:firstLine="640" w:firstLineChars="200"/>
        <w:rPr>
          <w:rFonts w:hint="eastAsia" w:ascii="仿宋_GB2312" w:hAnsi="Times New Roman" w:eastAsia="仿宋_GB2312" w:cs="Times New Roman"/>
          <w:color w:val="auto"/>
          <w:sz w:val="32"/>
          <w:szCs w:val="32"/>
          <w:lang w:val="en-US" w:eastAsia="zh-CN"/>
        </w:rPr>
      </w:pPr>
      <w:r>
        <w:rPr>
          <w:rFonts w:hint="eastAsia" w:ascii="仿宋_GB2312" w:eastAsia="仿宋_GB2312"/>
          <w:color w:val="auto"/>
          <w:sz w:val="32"/>
          <w:szCs w:val="32"/>
          <w:highlight w:val="none"/>
          <w:lang w:eastAsia="zh-CN"/>
        </w:rPr>
        <w:t>建立</w:t>
      </w:r>
      <w:r>
        <w:rPr>
          <w:rFonts w:hint="eastAsia" w:ascii="仿宋_GB2312" w:eastAsia="仿宋_GB2312"/>
          <w:color w:val="auto"/>
          <w:sz w:val="32"/>
          <w:szCs w:val="32"/>
          <w:highlight w:val="none"/>
        </w:rPr>
        <w:t>和</w:t>
      </w:r>
      <w:r>
        <w:rPr>
          <w:rFonts w:hint="eastAsia" w:ascii="仿宋_GB2312" w:eastAsia="仿宋_GB2312"/>
          <w:color w:val="auto"/>
          <w:sz w:val="32"/>
          <w:szCs w:val="32"/>
          <w:highlight w:val="none"/>
          <w:lang w:eastAsia="zh-CN"/>
        </w:rPr>
        <w:t>完善</w:t>
      </w:r>
      <w:r>
        <w:rPr>
          <w:rFonts w:hint="eastAsia" w:ascii="仿宋_GB2312" w:eastAsia="仿宋_GB2312"/>
          <w:color w:val="auto"/>
          <w:sz w:val="32"/>
          <w:szCs w:val="32"/>
          <w:highlight w:val="none"/>
        </w:rPr>
        <w:t>一套与预算管理相结合、多渠道应用评价结果的有效机制，着力提高绩效意识和财政资金使用效益。</w:t>
      </w:r>
      <w:r>
        <w:rPr>
          <w:rFonts w:hint="eastAsia" w:ascii="仿宋_GB2312" w:eastAsia="仿宋_GB2312"/>
          <w:color w:val="auto"/>
          <w:sz w:val="32"/>
          <w:szCs w:val="32"/>
          <w:highlight w:val="none"/>
          <w:lang w:eastAsia="zh-CN"/>
        </w:rPr>
        <w:t>按</w:t>
      </w:r>
      <w:r>
        <w:rPr>
          <w:rFonts w:hint="eastAsia" w:ascii="仿宋_GB2312" w:eastAsia="仿宋_GB2312"/>
          <w:color w:val="auto"/>
          <w:sz w:val="32"/>
          <w:szCs w:val="32"/>
          <w:highlight w:val="none"/>
        </w:rPr>
        <w:t>照《广东省省级财政预算绩效目标管理办法（试行）》（粤财绩〔</w:t>
      </w:r>
      <w:r>
        <w:rPr>
          <w:rFonts w:ascii="仿宋_GB2312" w:eastAsia="仿宋_GB2312"/>
          <w:color w:val="auto"/>
          <w:sz w:val="32"/>
          <w:szCs w:val="32"/>
          <w:highlight w:val="none"/>
        </w:rPr>
        <w:t>2019〕11号）有关规定设置</w:t>
      </w:r>
      <w:r>
        <w:rPr>
          <w:rFonts w:hint="eastAsia" w:ascii="仿宋_GB2312" w:eastAsia="仿宋_GB2312"/>
          <w:color w:val="auto"/>
          <w:sz w:val="32"/>
          <w:szCs w:val="32"/>
          <w:highlight w:val="none"/>
          <w:lang w:eastAsia="zh-CN"/>
        </w:rPr>
        <w:t>和完善</w:t>
      </w:r>
      <w:r>
        <w:rPr>
          <w:rFonts w:ascii="仿宋_GB2312" w:eastAsia="仿宋_GB2312"/>
          <w:color w:val="auto"/>
          <w:sz w:val="32"/>
          <w:szCs w:val="32"/>
          <w:highlight w:val="none"/>
        </w:rPr>
        <w:t>项目支出绩效目标。</w:t>
      </w:r>
      <w:r>
        <w:rPr>
          <w:rFonts w:hint="eastAsia" w:ascii="仿宋_GB2312" w:eastAsia="仿宋_GB2312"/>
          <w:color w:val="auto"/>
          <w:sz w:val="32"/>
          <w:szCs w:val="32"/>
          <w:highlight w:val="none"/>
          <w:lang w:val="en-US" w:eastAsia="zh-CN"/>
        </w:rPr>
        <w:t>设置可衡量的绩效指标，</w:t>
      </w:r>
      <w:r>
        <w:rPr>
          <w:rFonts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产出和效益</w:t>
      </w:r>
      <w:r>
        <w:rPr>
          <w:rFonts w:ascii="仿宋_GB2312" w:eastAsia="仿宋_GB2312"/>
          <w:color w:val="auto"/>
          <w:sz w:val="32"/>
          <w:szCs w:val="32"/>
          <w:highlight w:val="none"/>
        </w:rPr>
        <w:t>方面的量化指标，如</w:t>
      </w:r>
      <w:r>
        <w:rPr>
          <w:rFonts w:hint="eastAsia" w:ascii="仿宋_GB2312" w:eastAsia="仿宋_GB2312"/>
          <w:color w:val="auto"/>
          <w:sz w:val="32"/>
          <w:szCs w:val="32"/>
          <w:highlight w:val="none"/>
          <w:lang w:val="en-US" w:eastAsia="zh-CN"/>
        </w:rPr>
        <w:t>成本指标财政投入比，数量指标补助发放人数，质量指标补助发放准确率，时效指标补助发放完成时间等。科学编报用款计划并严格执行，</w:t>
      </w:r>
      <w:r>
        <w:rPr>
          <w:rFonts w:hint="eastAsia" w:ascii="仿宋_GB2312" w:eastAsia="仿宋_GB2312"/>
          <w:color w:val="auto"/>
          <w:sz w:val="32"/>
          <w:szCs w:val="32"/>
          <w:highlight w:val="none"/>
        </w:rPr>
        <w:t>完善对专项资金使用绩效</w:t>
      </w:r>
      <w:r>
        <w:rPr>
          <w:rFonts w:hint="eastAsia" w:ascii="仿宋_GB2312" w:eastAsia="仿宋_GB2312"/>
          <w:color w:val="auto"/>
          <w:sz w:val="32"/>
          <w:szCs w:val="32"/>
          <w:highlight w:val="none"/>
          <w:lang w:eastAsia="zh-CN"/>
        </w:rPr>
        <w:t>的</w:t>
      </w:r>
      <w:r>
        <w:rPr>
          <w:rFonts w:hint="eastAsia" w:ascii="仿宋_GB2312" w:eastAsia="仿宋_GB2312"/>
          <w:color w:val="auto"/>
          <w:sz w:val="32"/>
          <w:szCs w:val="32"/>
          <w:highlight w:val="none"/>
        </w:rPr>
        <w:t>考</w:t>
      </w:r>
      <w:r>
        <w:rPr>
          <w:rFonts w:hint="eastAsia" w:ascii="仿宋_GB2312" w:eastAsia="仿宋_GB2312"/>
          <w:color w:val="auto"/>
          <w:sz w:val="32"/>
          <w:szCs w:val="32"/>
          <w:highlight w:val="none"/>
          <w:lang w:eastAsia="zh-CN"/>
        </w:rPr>
        <w:t>核</w:t>
      </w:r>
      <w:r>
        <w:rPr>
          <w:rFonts w:hint="eastAsia" w:ascii="仿宋_GB2312" w:eastAsia="仿宋_GB2312"/>
          <w:color w:val="auto"/>
          <w:sz w:val="32"/>
          <w:szCs w:val="32"/>
          <w:highlight w:val="none"/>
        </w:rPr>
        <w:t>评</w:t>
      </w:r>
      <w:r>
        <w:rPr>
          <w:rFonts w:hint="eastAsia" w:ascii="仿宋_GB2312" w:eastAsia="仿宋_GB2312"/>
          <w:color w:val="auto"/>
          <w:sz w:val="32"/>
          <w:szCs w:val="32"/>
          <w:highlight w:val="none"/>
          <w:lang w:eastAsia="zh-CN"/>
        </w:rPr>
        <w:t>估机制</w:t>
      </w:r>
      <w:r>
        <w:rPr>
          <w:rFonts w:hint="eastAsia" w:ascii="仿宋_GB2312" w:eastAsia="仿宋_GB2312"/>
          <w:color w:val="auto"/>
          <w:sz w:val="32"/>
          <w:szCs w:val="32"/>
          <w:highlight w:val="none"/>
        </w:rPr>
        <w:t>。</w:t>
      </w:r>
    </w:p>
    <w:p>
      <w:pPr>
        <w:pStyle w:val="3"/>
        <w:keepNext/>
        <w:keepLines/>
        <w:pageBreakBefore w:val="0"/>
        <w:widowControl w:val="0"/>
        <w:numPr>
          <w:ilvl w:val="0"/>
          <w:numId w:val="0"/>
        </w:numPr>
        <w:kinsoku/>
        <w:wordWrap/>
        <w:overflowPunct/>
        <w:topLinePunct w:val="0"/>
        <w:autoSpaceDE/>
        <w:autoSpaceDN/>
        <w:bidi w:val="0"/>
        <w:adjustRightInd/>
        <w:snapToGrid/>
        <w:spacing w:before="0" w:after="0" w:line="360" w:lineRule="auto"/>
        <w:ind w:firstLine="642" w:firstLineChars="200"/>
        <w:textAlignment w:val="auto"/>
        <w:outlineLvl w:val="1"/>
        <w:rPr>
          <w:rFonts w:hint="eastAsia" w:ascii="Calibri" w:hAnsi="宋体" w:eastAsia="楷体_GB2312" w:cs="Times New Roman"/>
          <w:b/>
          <w:bCs/>
          <w:color w:val="auto"/>
          <w:kern w:val="44"/>
          <w:sz w:val="32"/>
          <w:szCs w:val="44"/>
          <w:lang w:val="en-US" w:eastAsia="zh-CN" w:bidi="ar-SA"/>
        </w:rPr>
      </w:pPr>
      <w:bookmarkStart w:id="72" w:name="_Toc4892"/>
      <w:bookmarkStart w:id="73" w:name="_Toc17079"/>
      <w:r>
        <w:rPr>
          <w:rFonts w:hint="eastAsia" w:ascii="Calibri" w:hAnsi="宋体" w:eastAsia="楷体_GB2312" w:cs="Times New Roman"/>
          <w:b/>
          <w:bCs/>
          <w:color w:val="auto"/>
          <w:kern w:val="44"/>
          <w:sz w:val="32"/>
          <w:szCs w:val="44"/>
          <w:lang w:val="en-US" w:eastAsia="zh-CN" w:bidi="ar-SA"/>
        </w:rPr>
        <w:t>（二）强化主管部门责任，落实专项资金管理细则</w:t>
      </w:r>
      <w:bookmarkEnd w:id="72"/>
      <w:bookmarkEnd w:id="73"/>
    </w:p>
    <w:p>
      <w:pPr>
        <w:snapToGrid w:val="0"/>
        <w:spacing w:line="360" w:lineRule="auto"/>
        <w:ind w:firstLine="640" w:firstLineChars="200"/>
        <w:rPr>
          <w:rFonts w:hint="eastAsia" w:ascii="仿宋_GB2312" w:hAnsi="Times New Roman" w:eastAsia="仿宋_GB2312" w:cs="Times New Roman"/>
          <w:color w:val="auto"/>
          <w:sz w:val="32"/>
          <w:szCs w:val="32"/>
          <w:lang w:val="en-US" w:eastAsia="zh-CN"/>
        </w:rPr>
      </w:pPr>
      <w:r>
        <w:rPr>
          <w:rFonts w:hint="eastAsia" w:ascii="仿宋_GB2312" w:hAnsi="Times New Roman" w:eastAsia="仿宋_GB2312" w:cs="Times New Roman"/>
          <w:color w:val="auto"/>
          <w:sz w:val="32"/>
          <w:szCs w:val="32"/>
          <w:lang w:val="en-US" w:eastAsia="zh-CN"/>
        </w:rPr>
        <w:t>一是</w:t>
      </w:r>
      <w:r>
        <w:rPr>
          <w:rFonts w:hint="eastAsia" w:ascii="仿宋_GB2312" w:eastAsia="仿宋_GB2312" w:cs="Times New Roman"/>
          <w:color w:val="auto"/>
          <w:sz w:val="32"/>
          <w:szCs w:val="32"/>
          <w:lang w:val="en-US" w:eastAsia="zh-CN"/>
        </w:rPr>
        <w:t>认真</w:t>
      </w:r>
      <w:r>
        <w:rPr>
          <w:rFonts w:hint="eastAsia" w:ascii="仿宋_GB2312" w:hAnsi="Times New Roman" w:eastAsia="仿宋_GB2312" w:cs="Times New Roman"/>
          <w:color w:val="auto"/>
          <w:sz w:val="32"/>
          <w:szCs w:val="32"/>
          <w:lang w:val="en-US" w:eastAsia="zh-CN"/>
        </w:rPr>
        <w:t>贯彻落实</w:t>
      </w:r>
      <w:r>
        <w:rPr>
          <w:rFonts w:hint="eastAsia" w:ascii="仿宋_GB2312" w:hAnsi="仿宋" w:eastAsia="仿宋_GB2312"/>
          <w:color w:val="auto"/>
          <w:sz w:val="32"/>
          <w:szCs w:val="32"/>
          <w:highlight w:val="none"/>
        </w:rPr>
        <w:t>《关于印发</w:t>
      </w:r>
      <w:r>
        <w:rPr>
          <w:rFonts w:hint="eastAsia" w:ascii="仿宋_GB2312" w:eastAsia="仿宋_GB2312"/>
          <w:color w:val="auto"/>
          <w:sz w:val="32"/>
          <w:highlight w:val="none"/>
        </w:rPr>
        <w:t>〈</w:t>
      </w:r>
      <w:r>
        <w:rPr>
          <w:rFonts w:hint="eastAsia" w:ascii="仿宋_GB2312" w:hAnsi="仿宋" w:eastAsia="仿宋_GB2312"/>
          <w:color w:val="auto"/>
          <w:sz w:val="32"/>
          <w:szCs w:val="32"/>
          <w:highlight w:val="none"/>
        </w:rPr>
        <w:t>广东省省级财政专项资金管理办法（试行）</w:t>
      </w:r>
      <w:r>
        <w:rPr>
          <w:rFonts w:hint="eastAsia" w:ascii="仿宋_GB2312" w:eastAsia="仿宋_GB2312"/>
          <w:color w:val="auto"/>
          <w:sz w:val="32"/>
          <w:highlight w:val="none"/>
        </w:rPr>
        <w:t>〉</w:t>
      </w:r>
      <w:r>
        <w:rPr>
          <w:rFonts w:hint="eastAsia" w:ascii="仿宋_GB2312" w:hAnsi="仿宋" w:eastAsia="仿宋_GB2312"/>
          <w:color w:val="auto"/>
          <w:sz w:val="32"/>
          <w:szCs w:val="32"/>
          <w:highlight w:val="none"/>
        </w:rPr>
        <w:t>的通知》</w:t>
      </w:r>
      <w:r>
        <w:rPr>
          <w:rFonts w:hint="eastAsia" w:ascii="仿宋_GB2312" w:eastAsia="仿宋_GB2312"/>
          <w:color w:val="auto"/>
          <w:sz w:val="32"/>
          <w:highlight w:val="none"/>
        </w:rPr>
        <w:t>《关于印发〈广东省农业农村厅财政专项资金管理办法（试行）〉等管理制度的通知》</w:t>
      </w:r>
      <w:r>
        <w:rPr>
          <w:rFonts w:hint="eastAsia" w:ascii="仿宋_GB2312" w:eastAsia="仿宋_GB2312"/>
          <w:color w:val="auto"/>
          <w:sz w:val="32"/>
          <w:highlight w:val="none"/>
          <w:lang w:eastAsia="zh-CN"/>
        </w:rPr>
        <w:t>《关于印发</w:t>
      </w:r>
      <w:r>
        <w:rPr>
          <w:rFonts w:hint="eastAsia" w:ascii="仿宋_GB2312" w:eastAsia="仿宋_GB2312"/>
          <w:color w:val="auto"/>
          <w:sz w:val="32"/>
          <w:highlight w:val="none"/>
        </w:rPr>
        <w:t>〈</w:t>
      </w:r>
      <w:r>
        <w:rPr>
          <w:rFonts w:hint="eastAsia" w:ascii="仿宋_GB2312" w:eastAsia="仿宋_GB2312"/>
          <w:color w:val="auto"/>
          <w:sz w:val="32"/>
          <w:highlight w:val="none"/>
          <w:lang w:eastAsia="zh-CN"/>
        </w:rPr>
        <w:t>广东省休（禁）渔渔民生产生活补助发放实施方案</w:t>
      </w:r>
      <w:r>
        <w:rPr>
          <w:rFonts w:hint="eastAsia" w:ascii="仿宋_GB2312" w:eastAsia="仿宋_GB2312"/>
          <w:color w:val="auto"/>
          <w:sz w:val="32"/>
          <w:highlight w:val="none"/>
        </w:rPr>
        <w:t>〉</w:t>
      </w:r>
      <w:r>
        <w:rPr>
          <w:rFonts w:hint="eastAsia" w:ascii="仿宋_GB2312" w:eastAsia="仿宋_GB2312"/>
          <w:color w:val="auto"/>
          <w:sz w:val="32"/>
          <w:highlight w:val="none"/>
          <w:lang w:eastAsia="zh-CN"/>
        </w:rPr>
        <w:t>的通知》</w:t>
      </w:r>
      <w:r>
        <w:rPr>
          <w:rFonts w:hint="eastAsia" w:ascii="仿宋_GB2312" w:eastAsia="仿宋_GB2312"/>
          <w:color w:val="auto"/>
          <w:sz w:val="32"/>
          <w:highlight w:val="none"/>
          <w:lang w:val="en-US" w:eastAsia="zh-CN"/>
        </w:rPr>
        <w:t>等相关制度，按要求落实好</w:t>
      </w:r>
      <w:r>
        <w:rPr>
          <w:rFonts w:hint="eastAsia" w:ascii="仿宋_GB2312" w:eastAsia="仿宋_GB2312" w:cs="Times New Roman"/>
          <w:color w:val="auto"/>
          <w:sz w:val="32"/>
          <w:szCs w:val="32"/>
          <w:highlight w:val="none"/>
          <w:lang w:val="en-US" w:eastAsia="zh-CN"/>
        </w:rPr>
        <w:t>休（禁）渔渔民生产生活补助政策。二是督促市县</w:t>
      </w:r>
      <w:r>
        <w:rPr>
          <w:rFonts w:hint="eastAsia" w:ascii="仿宋_GB2312" w:hAnsi="Times New Roman" w:eastAsia="仿宋_GB2312" w:cs="Times New Roman"/>
          <w:color w:val="auto"/>
          <w:sz w:val="32"/>
          <w:szCs w:val="32"/>
          <w:lang w:val="en-US" w:eastAsia="zh-CN"/>
        </w:rPr>
        <w:t>项目主管部门加强管理，</w:t>
      </w:r>
      <w:r>
        <w:rPr>
          <w:rFonts w:hint="eastAsia" w:ascii="仿宋_GB2312" w:eastAsia="仿宋_GB2312" w:cs="Times New Roman"/>
          <w:color w:val="auto"/>
          <w:sz w:val="32"/>
          <w:szCs w:val="32"/>
          <w:lang w:val="en-US" w:eastAsia="zh-CN"/>
        </w:rPr>
        <w:t>指导</w:t>
      </w:r>
      <w:r>
        <w:rPr>
          <w:rFonts w:hint="eastAsia" w:ascii="仿宋_GB2312" w:eastAsia="仿宋_GB2312"/>
          <w:color w:val="auto"/>
          <w:sz w:val="32"/>
          <w:szCs w:val="32"/>
          <w:lang w:val="en-US" w:eastAsia="zh-CN"/>
        </w:rPr>
        <w:t>乡镇（街道）有关工作人员和县级渔业主管部门工作人员</w:t>
      </w:r>
      <w:r>
        <w:rPr>
          <w:rFonts w:hint="eastAsia" w:ascii="仿宋_GB2312" w:eastAsia="仿宋_GB2312" w:cs="Times New Roman"/>
          <w:color w:val="auto"/>
          <w:sz w:val="32"/>
          <w:szCs w:val="32"/>
          <w:lang w:val="en-US" w:eastAsia="zh-CN"/>
        </w:rPr>
        <w:t>按规定优</w:t>
      </w:r>
      <w:r>
        <w:rPr>
          <w:rFonts w:hint="eastAsia" w:ascii="仿宋_GB2312" w:hAnsi="Times New Roman" w:eastAsia="仿宋_GB2312" w:cs="Times New Roman"/>
          <w:color w:val="auto"/>
          <w:sz w:val="32"/>
          <w:szCs w:val="32"/>
          <w:lang w:val="en-US" w:eastAsia="zh-CN"/>
        </w:rPr>
        <w:t>化工作流程，</w:t>
      </w:r>
      <w:r>
        <w:rPr>
          <w:rFonts w:hint="eastAsia" w:ascii="仿宋_GB2312" w:eastAsia="仿宋_GB2312"/>
          <w:color w:val="auto"/>
          <w:sz w:val="32"/>
          <w:szCs w:val="32"/>
          <w:lang w:val="en-US" w:eastAsia="zh-CN"/>
        </w:rPr>
        <w:t>提高材料审核、复审等工作环节效率。三是加快资金发放进度，</w:t>
      </w:r>
      <w:r>
        <w:rPr>
          <w:rFonts w:hint="eastAsia" w:ascii="仿宋_GB2312" w:hAnsi="Times New Roman" w:eastAsia="仿宋_GB2312" w:cs="Times New Roman"/>
          <w:color w:val="auto"/>
          <w:sz w:val="32"/>
          <w:szCs w:val="32"/>
          <w:lang w:val="en-US" w:eastAsia="zh-CN"/>
        </w:rPr>
        <w:t>加强沟通衔接，及时掌握</w:t>
      </w:r>
      <w:r>
        <w:rPr>
          <w:rFonts w:hint="eastAsia" w:ascii="仿宋_GB2312" w:eastAsia="仿宋_GB2312" w:cs="Times New Roman"/>
          <w:color w:val="auto"/>
          <w:sz w:val="32"/>
          <w:szCs w:val="32"/>
          <w:highlight w:val="none"/>
          <w:lang w:val="en-US" w:eastAsia="zh-CN"/>
        </w:rPr>
        <w:t>休（禁）渔渔民生产生活补助</w:t>
      </w:r>
      <w:r>
        <w:rPr>
          <w:rFonts w:hint="eastAsia" w:ascii="仿宋_GB2312" w:hAnsi="Times New Roman" w:eastAsia="仿宋_GB2312" w:cs="Times New Roman"/>
          <w:color w:val="auto"/>
          <w:sz w:val="32"/>
          <w:szCs w:val="32"/>
          <w:lang w:val="en-US" w:eastAsia="zh-CN"/>
        </w:rPr>
        <w:t>资金安排情况，加快预算下达和资金拨付。</w:t>
      </w:r>
    </w:p>
    <w:sectPr>
      <w:footerReference r:id="rId4" w:type="default"/>
      <w:pgSz w:w="11906" w:h="16838"/>
      <w:pgMar w:top="2041" w:right="1417" w:bottom="1417" w:left="1531"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altName w:val="楷体"/>
    <w:panose1 w:val="02010609030101010101"/>
    <w:charset w:val="86"/>
    <w:family w:val="modern"/>
    <w:pitch w:val="default"/>
    <w:sig w:usb0="00000000" w:usb1="00000000" w:usb2="00000000" w:usb3="00000000" w:csb0="00040000" w:csb1="00000000"/>
  </w:font>
  <w:font w:name="等线 Light">
    <w:altName w:val="汉仪中圆B5"/>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altName w:val="汉仪中圆B5"/>
    <w:panose1 w:val="02010600030101010101"/>
    <w:charset w:val="86"/>
    <w:family w:val="auto"/>
    <w:pitch w:val="default"/>
    <w:sig w:usb0="00000000" w:usb1="00000000" w:usb2="00000016" w:usb3="00000000" w:csb0="0004000F" w:csb1="00000000"/>
  </w:font>
  <w:font w:name="Cambria">
    <w:altName w:val="FreeSerif"/>
    <w:panose1 w:val="02040503050406030204"/>
    <w:charset w:val="00"/>
    <w:family w:val="roman"/>
    <w:pitch w:val="default"/>
    <w:sig w:usb0="00000000" w:usb1="00000000" w:usb2="00000000" w:usb3="00000000" w:csb0="2000019F"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 w:name="汉仪仿宋S">
    <w:panose1 w:val="00020600040101000101"/>
    <w:charset w:val="86"/>
    <w:family w:val="auto"/>
    <w:pitch w:val="default"/>
    <w:sig w:usb0="A00002BF" w:usb1="38CF7CFA" w:usb2="00000016" w:usb3="00000000" w:csb0="0004009F" w:csb1="00000000"/>
  </w:font>
  <w:font w:name="Liberation Serif">
    <w:panose1 w:val="02020603050405020304"/>
    <w:charset w:val="00"/>
    <w:family w:val="auto"/>
    <w:pitch w:val="default"/>
    <w:sig w:usb0="A00002AF" w:usb1="500078FB" w:usb2="00000000" w:usb3="00000000" w:csb0="6000009F" w:csb1="DFD70000"/>
  </w:font>
  <w:font w:name="楷体">
    <w:panose1 w:val="02010609060101010101"/>
    <w:charset w:val="86"/>
    <w:family w:val="auto"/>
    <w:pitch w:val="default"/>
    <w:sig w:usb0="800002BF" w:usb1="38CF7CFA" w:usb2="00000016" w:usb3="00000000" w:csb0="00040001" w:csb1="00000000"/>
  </w:font>
  <w:font w:name="FreeSerif">
    <w:panose1 w:val="02020603050405020304"/>
    <w:charset w:val="00"/>
    <w:family w:val="auto"/>
    <w:pitch w:val="default"/>
    <w:sig w:usb0="E59FAFFF" w:usb1="C200FDFF" w:usb2="43501B29" w:usb3="04000043" w:csb0="600101FF" w:csb1="FFFF0000"/>
  </w:font>
  <w:font w:name="方正宋体S-超大字符集">
    <w:panose1 w:val="02000000000000000000"/>
    <w:charset w:val="86"/>
    <w:family w:val="auto"/>
    <w:pitch w:val="default"/>
    <w:sig w:usb0="00000001" w:usb1="08000000" w:usb2="00000000" w:usb3="00000000" w:csb0="00040000" w:csb1="00000000"/>
  </w:font>
  <w:font w:name="汉仪中圆B5">
    <w:panose1 w:val="02010600000101010101"/>
    <w:charset w:val="88"/>
    <w:family w:val="auto"/>
    <w:pitch w:val="default"/>
    <w:sig w:usb0="00000001" w:usb1="080E0800" w:usb2="00000002" w:usb3="00000000" w:csb0="00100000" w:csb1="00000000"/>
  </w:font>
  <w:font w:name="等线 Light">
    <w:altName w:val="汉仪仿宋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jc w:val="cente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- 1 -</w:t>
                          </w:r>
                          <w:r>
                            <w:rPr>
                              <w:rFonts w:hint="eastAsia" w:ascii="仿宋" w:hAnsi="仿宋" w:eastAsia="仿宋" w:cs="仿宋"/>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F7rpKxYCAAAZBAAADgAAAAAAAAABACAAAAA1AQAAZHJzL2Uyb0RvYy54bWxQSwUGAAAAAAYA&#10;BgBZAQAAvQUAAAAA&#10;">
              <v:fill on="f" focussize="0,0"/>
              <v:stroke on="f" weight="0.5pt"/>
              <v:imagedata o:title=""/>
              <o:lock v:ext="edit" aspectratio="f"/>
              <v:textbox inset="0mm,0mm,0mm,0mm" style="mso-fit-shape-to-text:t;">
                <w:txbxContent>
                  <w:p>
                    <w:pPr>
                      <w:pStyle w:val="9"/>
                      <w:jc w:val="cente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- 1 -</w:t>
                    </w:r>
                    <w:r>
                      <w:rPr>
                        <w:rFonts w:hint="eastAsia" w:ascii="仿宋" w:hAnsi="仿宋" w:eastAsia="仿宋" w:cs="仿宋"/>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6F25B1"/>
    <w:multiLevelType w:val="singleLevel"/>
    <w:tmpl w:val="A46F25B1"/>
    <w:lvl w:ilvl="0" w:tentative="0">
      <w:start w:val="1"/>
      <w:numFmt w:val="decimal"/>
      <w:suff w:val="nothing"/>
      <w:lvlText w:val="%1．"/>
      <w:lvlJc w:val="left"/>
    </w:lvl>
  </w:abstractNum>
  <w:abstractNum w:abstractNumId="1">
    <w:nsid w:val="B38DC075"/>
    <w:multiLevelType w:val="singleLevel"/>
    <w:tmpl w:val="B38DC075"/>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NotDisplayPageBoundaries w:val="true"/>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1D0"/>
    <w:rsid w:val="00007C1C"/>
    <w:rsid w:val="00024539"/>
    <w:rsid w:val="00041063"/>
    <w:rsid w:val="00062AC8"/>
    <w:rsid w:val="00077799"/>
    <w:rsid w:val="000A7DF1"/>
    <w:rsid w:val="000B5C8C"/>
    <w:rsid w:val="000C38BD"/>
    <w:rsid w:val="000D6714"/>
    <w:rsid w:val="001077D4"/>
    <w:rsid w:val="001405D4"/>
    <w:rsid w:val="00152B67"/>
    <w:rsid w:val="00152C65"/>
    <w:rsid w:val="00155962"/>
    <w:rsid w:val="00156E6F"/>
    <w:rsid w:val="00175145"/>
    <w:rsid w:val="001D10EA"/>
    <w:rsid w:val="001D5A64"/>
    <w:rsid w:val="001E064D"/>
    <w:rsid w:val="001F1426"/>
    <w:rsid w:val="0021570B"/>
    <w:rsid w:val="00215CAF"/>
    <w:rsid w:val="0029042F"/>
    <w:rsid w:val="003138A7"/>
    <w:rsid w:val="00316B5A"/>
    <w:rsid w:val="003221D0"/>
    <w:rsid w:val="003364A6"/>
    <w:rsid w:val="00345D75"/>
    <w:rsid w:val="0035018B"/>
    <w:rsid w:val="00357D7D"/>
    <w:rsid w:val="00362AEC"/>
    <w:rsid w:val="0037437B"/>
    <w:rsid w:val="0039133F"/>
    <w:rsid w:val="003B748E"/>
    <w:rsid w:val="003D7939"/>
    <w:rsid w:val="003E3DC4"/>
    <w:rsid w:val="004269BE"/>
    <w:rsid w:val="00453821"/>
    <w:rsid w:val="0045687C"/>
    <w:rsid w:val="00487168"/>
    <w:rsid w:val="00490666"/>
    <w:rsid w:val="00497A3F"/>
    <w:rsid w:val="004B3401"/>
    <w:rsid w:val="004D7A4A"/>
    <w:rsid w:val="004E2F46"/>
    <w:rsid w:val="00504CD1"/>
    <w:rsid w:val="005174F1"/>
    <w:rsid w:val="00523683"/>
    <w:rsid w:val="005410E6"/>
    <w:rsid w:val="0058684A"/>
    <w:rsid w:val="00593C61"/>
    <w:rsid w:val="005B1699"/>
    <w:rsid w:val="005B2A60"/>
    <w:rsid w:val="005D7252"/>
    <w:rsid w:val="005F65B7"/>
    <w:rsid w:val="006258D1"/>
    <w:rsid w:val="00651E73"/>
    <w:rsid w:val="00652306"/>
    <w:rsid w:val="00674B42"/>
    <w:rsid w:val="006B162A"/>
    <w:rsid w:val="006B2426"/>
    <w:rsid w:val="006B7C4F"/>
    <w:rsid w:val="006F4782"/>
    <w:rsid w:val="0071275A"/>
    <w:rsid w:val="007448F8"/>
    <w:rsid w:val="00745F9C"/>
    <w:rsid w:val="007463AC"/>
    <w:rsid w:val="00751C20"/>
    <w:rsid w:val="00774B5E"/>
    <w:rsid w:val="00793C1E"/>
    <w:rsid w:val="007B228A"/>
    <w:rsid w:val="007B2BA6"/>
    <w:rsid w:val="007D5CA2"/>
    <w:rsid w:val="007F3FFF"/>
    <w:rsid w:val="007F6541"/>
    <w:rsid w:val="00850A26"/>
    <w:rsid w:val="008A481B"/>
    <w:rsid w:val="008D45AB"/>
    <w:rsid w:val="008E5456"/>
    <w:rsid w:val="008F123E"/>
    <w:rsid w:val="008F1E2D"/>
    <w:rsid w:val="008F1E5E"/>
    <w:rsid w:val="008F6122"/>
    <w:rsid w:val="009006A6"/>
    <w:rsid w:val="00904413"/>
    <w:rsid w:val="00912EFE"/>
    <w:rsid w:val="00947553"/>
    <w:rsid w:val="00963A95"/>
    <w:rsid w:val="00965840"/>
    <w:rsid w:val="00975DE8"/>
    <w:rsid w:val="009A76BF"/>
    <w:rsid w:val="009B381C"/>
    <w:rsid w:val="009C185D"/>
    <w:rsid w:val="009D387C"/>
    <w:rsid w:val="009F365C"/>
    <w:rsid w:val="009F38E3"/>
    <w:rsid w:val="00A15BDD"/>
    <w:rsid w:val="00A42722"/>
    <w:rsid w:val="00A562D2"/>
    <w:rsid w:val="00AA6FD0"/>
    <w:rsid w:val="00AB42D9"/>
    <w:rsid w:val="00AC355E"/>
    <w:rsid w:val="00AC4792"/>
    <w:rsid w:val="00AE1C03"/>
    <w:rsid w:val="00AF2BA8"/>
    <w:rsid w:val="00B81707"/>
    <w:rsid w:val="00B97B3C"/>
    <w:rsid w:val="00BD2451"/>
    <w:rsid w:val="00BD61DF"/>
    <w:rsid w:val="00BE358B"/>
    <w:rsid w:val="00C02459"/>
    <w:rsid w:val="00C4222E"/>
    <w:rsid w:val="00C666BA"/>
    <w:rsid w:val="00C731CD"/>
    <w:rsid w:val="00C77F18"/>
    <w:rsid w:val="00C81F0F"/>
    <w:rsid w:val="00CC6A27"/>
    <w:rsid w:val="00CD2355"/>
    <w:rsid w:val="00CD36CE"/>
    <w:rsid w:val="00CF1750"/>
    <w:rsid w:val="00D60F67"/>
    <w:rsid w:val="00D943CE"/>
    <w:rsid w:val="00DE799A"/>
    <w:rsid w:val="00E05F81"/>
    <w:rsid w:val="00E16108"/>
    <w:rsid w:val="00E33F3C"/>
    <w:rsid w:val="00E8376A"/>
    <w:rsid w:val="00E94B36"/>
    <w:rsid w:val="00EA19CC"/>
    <w:rsid w:val="00EB1F1E"/>
    <w:rsid w:val="00F01828"/>
    <w:rsid w:val="00F12244"/>
    <w:rsid w:val="00F67C07"/>
    <w:rsid w:val="00F801C8"/>
    <w:rsid w:val="00FB6015"/>
    <w:rsid w:val="00FC03E5"/>
    <w:rsid w:val="00FE7094"/>
    <w:rsid w:val="010C3DEF"/>
    <w:rsid w:val="011B3E2D"/>
    <w:rsid w:val="01627210"/>
    <w:rsid w:val="0171095C"/>
    <w:rsid w:val="017B2084"/>
    <w:rsid w:val="018D7851"/>
    <w:rsid w:val="01A21D74"/>
    <w:rsid w:val="01AB01A5"/>
    <w:rsid w:val="01EC6FE6"/>
    <w:rsid w:val="01F525CE"/>
    <w:rsid w:val="02296AAC"/>
    <w:rsid w:val="023F5CB3"/>
    <w:rsid w:val="025C086D"/>
    <w:rsid w:val="02651338"/>
    <w:rsid w:val="02792BEA"/>
    <w:rsid w:val="027F7101"/>
    <w:rsid w:val="02877425"/>
    <w:rsid w:val="0293741E"/>
    <w:rsid w:val="02C46E62"/>
    <w:rsid w:val="036F56DC"/>
    <w:rsid w:val="0378149E"/>
    <w:rsid w:val="0397336C"/>
    <w:rsid w:val="03F4187F"/>
    <w:rsid w:val="041F5E98"/>
    <w:rsid w:val="04325BFC"/>
    <w:rsid w:val="043C5883"/>
    <w:rsid w:val="04742A5B"/>
    <w:rsid w:val="04896D7D"/>
    <w:rsid w:val="049411A1"/>
    <w:rsid w:val="04A81DBC"/>
    <w:rsid w:val="04AA161D"/>
    <w:rsid w:val="04AF3747"/>
    <w:rsid w:val="04D35F3E"/>
    <w:rsid w:val="04E1731F"/>
    <w:rsid w:val="04E51356"/>
    <w:rsid w:val="04F330CD"/>
    <w:rsid w:val="04F600BB"/>
    <w:rsid w:val="04F77FB2"/>
    <w:rsid w:val="051B26EE"/>
    <w:rsid w:val="057633A2"/>
    <w:rsid w:val="065A63C9"/>
    <w:rsid w:val="067C2B08"/>
    <w:rsid w:val="06825279"/>
    <w:rsid w:val="06AD336D"/>
    <w:rsid w:val="06B43FED"/>
    <w:rsid w:val="06DD3DEA"/>
    <w:rsid w:val="06EE6530"/>
    <w:rsid w:val="06F43BCC"/>
    <w:rsid w:val="07072B3D"/>
    <w:rsid w:val="072B4A54"/>
    <w:rsid w:val="073C5697"/>
    <w:rsid w:val="074B3A16"/>
    <w:rsid w:val="076F2ECD"/>
    <w:rsid w:val="07B246D1"/>
    <w:rsid w:val="07BC4290"/>
    <w:rsid w:val="07BD60E0"/>
    <w:rsid w:val="07DE5686"/>
    <w:rsid w:val="082358E2"/>
    <w:rsid w:val="083A4841"/>
    <w:rsid w:val="08465D5A"/>
    <w:rsid w:val="08620CB8"/>
    <w:rsid w:val="088F1FB5"/>
    <w:rsid w:val="08D7729F"/>
    <w:rsid w:val="08FA655B"/>
    <w:rsid w:val="091D6427"/>
    <w:rsid w:val="09FC19D9"/>
    <w:rsid w:val="0A681E96"/>
    <w:rsid w:val="0B193E08"/>
    <w:rsid w:val="0B390286"/>
    <w:rsid w:val="0B411B58"/>
    <w:rsid w:val="0B90674A"/>
    <w:rsid w:val="0BC43B14"/>
    <w:rsid w:val="0BD3517F"/>
    <w:rsid w:val="0BDB6102"/>
    <w:rsid w:val="0C2942B6"/>
    <w:rsid w:val="0C697BC1"/>
    <w:rsid w:val="0CA4455C"/>
    <w:rsid w:val="0CBC71FC"/>
    <w:rsid w:val="0CE551DA"/>
    <w:rsid w:val="0D535AC4"/>
    <w:rsid w:val="0D545315"/>
    <w:rsid w:val="0D65079D"/>
    <w:rsid w:val="0D807AB3"/>
    <w:rsid w:val="0DCA3E55"/>
    <w:rsid w:val="0E773AB4"/>
    <w:rsid w:val="0EAC20A6"/>
    <w:rsid w:val="0EC10CAD"/>
    <w:rsid w:val="0F7A7C39"/>
    <w:rsid w:val="0F9A1334"/>
    <w:rsid w:val="0FAC6B08"/>
    <w:rsid w:val="0FC740E3"/>
    <w:rsid w:val="0FD41694"/>
    <w:rsid w:val="0FDB0895"/>
    <w:rsid w:val="0FE64B75"/>
    <w:rsid w:val="1025078F"/>
    <w:rsid w:val="105F083F"/>
    <w:rsid w:val="10813B7B"/>
    <w:rsid w:val="10A57D1A"/>
    <w:rsid w:val="10FD05CA"/>
    <w:rsid w:val="1119786B"/>
    <w:rsid w:val="113A15B2"/>
    <w:rsid w:val="115D27D4"/>
    <w:rsid w:val="11D74F0A"/>
    <w:rsid w:val="11F50BAB"/>
    <w:rsid w:val="11FC253D"/>
    <w:rsid w:val="12152210"/>
    <w:rsid w:val="12152F0D"/>
    <w:rsid w:val="121D5ECA"/>
    <w:rsid w:val="12304866"/>
    <w:rsid w:val="12640487"/>
    <w:rsid w:val="12BF1CCA"/>
    <w:rsid w:val="12E1125E"/>
    <w:rsid w:val="12F82822"/>
    <w:rsid w:val="13554D0D"/>
    <w:rsid w:val="13632992"/>
    <w:rsid w:val="13773B6E"/>
    <w:rsid w:val="13822027"/>
    <w:rsid w:val="13917638"/>
    <w:rsid w:val="13A51F52"/>
    <w:rsid w:val="13C604CB"/>
    <w:rsid w:val="13D91A60"/>
    <w:rsid w:val="13F07F40"/>
    <w:rsid w:val="13FB73A7"/>
    <w:rsid w:val="14125EB6"/>
    <w:rsid w:val="14180C5D"/>
    <w:rsid w:val="141A2D37"/>
    <w:rsid w:val="141F532D"/>
    <w:rsid w:val="142563D6"/>
    <w:rsid w:val="14636EE2"/>
    <w:rsid w:val="14B41373"/>
    <w:rsid w:val="14C86408"/>
    <w:rsid w:val="15123642"/>
    <w:rsid w:val="151C4D63"/>
    <w:rsid w:val="152D7AB0"/>
    <w:rsid w:val="1589255F"/>
    <w:rsid w:val="15A60BEE"/>
    <w:rsid w:val="15D73B5E"/>
    <w:rsid w:val="15D92A75"/>
    <w:rsid w:val="161E32D2"/>
    <w:rsid w:val="16716FA4"/>
    <w:rsid w:val="16AA48EA"/>
    <w:rsid w:val="16DF75C9"/>
    <w:rsid w:val="16FA2DF7"/>
    <w:rsid w:val="17072E0B"/>
    <w:rsid w:val="170A5BDD"/>
    <w:rsid w:val="17235D0D"/>
    <w:rsid w:val="17300188"/>
    <w:rsid w:val="175D717B"/>
    <w:rsid w:val="1788578F"/>
    <w:rsid w:val="180C6EEA"/>
    <w:rsid w:val="181D68DE"/>
    <w:rsid w:val="18295A65"/>
    <w:rsid w:val="18357721"/>
    <w:rsid w:val="18401465"/>
    <w:rsid w:val="18AE757C"/>
    <w:rsid w:val="18B1753E"/>
    <w:rsid w:val="18BB66A4"/>
    <w:rsid w:val="18C11A9C"/>
    <w:rsid w:val="18ED5D88"/>
    <w:rsid w:val="19173FA3"/>
    <w:rsid w:val="1938714C"/>
    <w:rsid w:val="19421E45"/>
    <w:rsid w:val="197C437C"/>
    <w:rsid w:val="198E23BD"/>
    <w:rsid w:val="19997DB6"/>
    <w:rsid w:val="19C64E27"/>
    <w:rsid w:val="19E40BB6"/>
    <w:rsid w:val="19F97BBC"/>
    <w:rsid w:val="1A0003E6"/>
    <w:rsid w:val="1A062B69"/>
    <w:rsid w:val="1A181932"/>
    <w:rsid w:val="1A1E464B"/>
    <w:rsid w:val="1A3721FE"/>
    <w:rsid w:val="1A4C3B8C"/>
    <w:rsid w:val="1A6311B0"/>
    <w:rsid w:val="1A6C354D"/>
    <w:rsid w:val="1A757977"/>
    <w:rsid w:val="1A8515E3"/>
    <w:rsid w:val="1A932028"/>
    <w:rsid w:val="1A9349CF"/>
    <w:rsid w:val="1A98752E"/>
    <w:rsid w:val="1A9C0900"/>
    <w:rsid w:val="1A9D29EF"/>
    <w:rsid w:val="1AA62EEA"/>
    <w:rsid w:val="1ABF03F9"/>
    <w:rsid w:val="1AC2509B"/>
    <w:rsid w:val="1AFF5A14"/>
    <w:rsid w:val="1B0B5181"/>
    <w:rsid w:val="1B30425F"/>
    <w:rsid w:val="1B886D96"/>
    <w:rsid w:val="1BB51801"/>
    <w:rsid w:val="1C026A0B"/>
    <w:rsid w:val="1C5D7847"/>
    <w:rsid w:val="1C8F7C2B"/>
    <w:rsid w:val="1C9E4BCD"/>
    <w:rsid w:val="1CA11FF8"/>
    <w:rsid w:val="1CBC6798"/>
    <w:rsid w:val="1D277A67"/>
    <w:rsid w:val="1D505A3B"/>
    <w:rsid w:val="1D795CBF"/>
    <w:rsid w:val="1D8001CF"/>
    <w:rsid w:val="1DA05FD2"/>
    <w:rsid w:val="1DEC200E"/>
    <w:rsid w:val="1DEC768B"/>
    <w:rsid w:val="1DEF79DF"/>
    <w:rsid w:val="1DF970B3"/>
    <w:rsid w:val="1E006219"/>
    <w:rsid w:val="1E024C20"/>
    <w:rsid w:val="1E2B5FD7"/>
    <w:rsid w:val="1E377AF7"/>
    <w:rsid w:val="1E43742A"/>
    <w:rsid w:val="1E633573"/>
    <w:rsid w:val="1F08402C"/>
    <w:rsid w:val="1F0D0CB8"/>
    <w:rsid w:val="1F3F3924"/>
    <w:rsid w:val="1F456580"/>
    <w:rsid w:val="1F647B16"/>
    <w:rsid w:val="1F705D0A"/>
    <w:rsid w:val="1F890903"/>
    <w:rsid w:val="1F974213"/>
    <w:rsid w:val="1FAE44A7"/>
    <w:rsid w:val="202A39BE"/>
    <w:rsid w:val="20350D2A"/>
    <w:rsid w:val="206D1D81"/>
    <w:rsid w:val="20DF2DB0"/>
    <w:rsid w:val="20FD68B8"/>
    <w:rsid w:val="21433C1B"/>
    <w:rsid w:val="215F5BE1"/>
    <w:rsid w:val="21640C0A"/>
    <w:rsid w:val="2165149E"/>
    <w:rsid w:val="21725522"/>
    <w:rsid w:val="217B0B0F"/>
    <w:rsid w:val="217C78EF"/>
    <w:rsid w:val="21B40EDE"/>
    <w:rsid w:val="21E76B7D"/>
    <w:rsid w:val="220E301C"/>
    <w:rsid w:val="22690E35"/>
    <w:rsid w:val="22987546"/>
    <w:rsid w:val="22A653F8"/>
    <w:rsid w:val="22BE77E2"/>
    <w:rsid w:val="22F62509"/>
    <w:rsid w:val="230C646B"/>
    <w:rsid w:val="231A086C"/>
    <w:rsid w:val="235924C7"/>
    <w:rsid w:val="23702EDD"/>
    <w:rsid w:val="23776E8B"/>
    <w:rsid w:val="23853B19"/>
    <w:rsid w:val="238E5E2D"/>
    <w:rsid w:val="23A03644"/>
    <w:rsid w:val="23E13761"/>
    <w:rsid w:val="242108ED"/>
    <w:rsid w:val="249C5B04"/>
    <w:rsid w:val="24A23D4C"/>
    <w:rsid w:val="24CB0C86"/>
    <w:rsid w:val="24DA0B4C"/>
    <w:rsid w:val="24E50E2F"/>
    <w:rsid w:val="251A461B"/>
    <w:rsid w:val="257A0CB0"/>
    <w:rsid w:val="259B628F"/>
    <w:rsid w:val="25BF2E34"/>
    <w:rsid w:val="25F71E07"/>
    <w:rsid w:val="262D631C"/>
    <w:rsid w:val="26470278"/>
    <w:rsid w:val="265A16A0"/>
    <w:rsid w:val="2668128F"/>
    <w:rsid w:val="26982C97"/>
    <w:rsid w:val="26AB6AB9"/>
    <w:rsid w:val="26BF32CB"/>
    <w:rsid w:val="26C338E2"/>
    <w:rsid w:val="26CC1896"/>
    <w:rsid w:val="270A6B48"/>
    <w:rsid w:val="276E0050"/>
    <w:rsid w:val="27B11977"/>
    <w:rsid w:val="283B2DC7"/>
    <w:rsid w:val="28574095"/>
    <w:rsid w:val="28615C27"/>
    <w:rsid w:val="2888071D"/>
    <w:rsid w:val="28A222F8"/>
    <w:rsid w:val="28ED019C"/>
    <w:rsid w:val="28F85AB7"/>
    <w:rsid w:val="292306AD"/>
    <w:rsid w:val="293A3C0F"/>
    <w:rsid w:val="29937C68"/>
    <w:rsid w:val="29943A04"/>
    <w:rsid w:val="29984352"/>
    <w:rsid w:val="29BB5E34"/>
    <w:rsid w:val="29E544E7"/>
    <w:rsid w:val="29E64A91"/>
    <w:rsid w:val="2A2065FF"/>
    <w:rsid w:val="2A215464"/>
    <w:rsid w:val="2A282E44"/>
    <w:rsid w:val="2A735E13"/>
    <w:rsid w:val="2A8A1F00"/>
    <w:rsid w:val="2AB7137A"/>
    <w:rsid w:val="2ADC699A"/>
    <w:rsid w:val="2B03110E"/>
    <w:rsid w:val="2B0C5FAC"/>
    <w:rsid w:val="2B1D2653"/>
    <w:rsid w:val="2B4E0F5E"/>
    <w:rsid w:val="2BA063FA"/>
    <w:rsid w:val="2BC44E2A"/>
    <w:rsid w:val="2BEF25B7"/>
    <w:rsid w:val="2C026983"/>
    <w:rsid w:val="2C045177"/>
    <w:rsid w:val="2CC578D1"/>
    <w:rsid w:val="2CCC2AC0"/>
    <w:rsid w:val="2CF268CC"/>
    <w:rsid w:val="2CF34BD4"/>
    <w:rsid w:val="2CFA1DDA"/>
    <w:rsid w:val="2D191EBA"/>
    <w:rsid w:val="2D306B61"/>
    <w:rsid w:val="2D341991"/>
    <w:rsid w:val="2D61555D"/>
    <w:rsid w:val="2D8522DC"/>
    <w:rsid w:val="2DB6680D"/>
    <w:rsid w:val="2DC234A9"/>
    <w:rsid w:val="2E103E50"/>
    <w:rsid w:val="2E104919"/>
    <w:rsid w:val="2E5E5779"/>
    <w:rsid w:val="2E7F7EB2"/>
    <w:rsid w:val="2EC54FFE"/>
    <w:rsid w:val="2EDE33AB"/>
    <w:rsid w:val="2F0156EA"/>
    <w:rsid w:val="2F156F34"/>
    <w:rsid w:val="2F8B6E46"/>
    <w:rsid w:val="2FA637BB"/>
    <w:rsid w:val="2FE57AEC"/>
    <w:rsid w:val="2FEFC6E7"/>
    <w:rsid w:val="30055ACB"/>
    <w:rsid w:val="30090103"/>
    <w:rsid w:val="3050095B"/>
    <w:rsid w:val="307B7C54"/>
    <w:rsid w:val="309836C0"/>
    <w:rsid w:val="30E613D5"/>
    <w:rsid w:val="30FC7FB5"/>
    <w:rsid w:val="31066357"/>
    <w:rsid w:val="310D6A0C"/>
    <w:rsid w:val="32007CB3"/>
    <w:rsid w:val="322D2025"/>
    <w:rsid w:val="323C737B"/>
    <w:rsid w:val="324A4BBD"/>
    <w:rsid w:val="32505226"/>
    <w:rsid w:val="328726C9"/>
    <w:rsid w:val="328F4B4C"/>
    <w:rsid w:val="32990C61"/>
    <w:rsid w:val="329B1B53"/>
    <w:rsid w:val="32B6153E"/>
    <w:rsid w:val="335D3069"/>
    <w:rsid w:val="33713689"/>
    <w:rsid w:val="339A2F61"/>
    <w:rsid w:val="33BA34F4"/>
    <w:rsid w:val="34384578"/>
    <w:rsid w:val="34505616"/>
    <w:rsid w:val="3481653F"/>
    <w:rsid w:val="34B63A98"/>
    <w:rsid w:val="34D273D8"/>
    <w:rsid w:val="34F313C3"/>
    <w:rsid w:val="352B3CEA"/>
    <w:rsid w:val="356979AE"/>
    <w:rsid w:val="356E0774"/>
    <w:rsid w:val="35B95099"/>
    <w:rsid w:val="35C61DC8"/>
    <w:rsid w:val="35DA47E8"/>
    <w:rsid w:val="35E02176"/>
    <w:rsid w:val="35EB0C0B"/>
    <w:rsid w:val="36253076"/>
    <w:rsid w:val="362B66F7"/>
    <w:rsid w:val="365264A3"/>
    <w:rsid w:val="365551C6"/>
    <w:rsid w:val="36633EA0"/>
    <w:rsid w:val="366505C0"/>
    <w:rsid w:val="36931F4E"/>
    <w:rsid w:val="36A47D9E"/>
    <w:rsid w:val="36D202EE"/>
    <w:rsid w:val="36D80B7F"/>
    <w:rsid w:val="36DB4345"/>
    <w:rsid w:val="36EC58E0"/>
    <w:rsid w:val="36F01248"/>
    <w:rsid w:val="37117734"/>
    <w:rsid w:val="37286BFC"/>
    <w:rsid w:val="373C710A"/>
    <w:rsid w:val="375F1A54"/>
    <w:rsid w:val="37EC0F0D"/>
    <w:rsid w:val="37F3463A"/>
    <w:rsid w:val="381456D7"/>
    <w:rsid w:val="38263DA0"/>
    <w:rsid w:val="386C1915"/>
    <w:rsid w:val="38742402"/>
    <w:rsid w:val="38915C50"/>
    <w:rsid w:val="39055C49"/>
    <w:rsid w:val="391653CE"/>
    <w:rsid w:val="39876C41"/>
    <w:rsid w:val="399D4DF5"/>
    <w:rsid w:val="39DC57EE"/>
    <w:rsid w:val="3A120531"/>
    <w:rsid w:val="3A2B180B"/>
    <w:rsid w:val="3A4A4F03"/>
    <w:rsid w:val="3A6406C3"/>
    <w:rsid w:val="3A672E20"/>
    <w:rsid w:val="3ADA3776"/>
    <w:rsid w:val="3B055E84"/>
    <w:rsid w:val="3B4D5FE3"/>
    <w:rsid w:val="3B4E4088"/>
    <w:rsid w:val="3B614791"/>
    <w:rsid w:val="3B825CC6"/>
    <w:rsid w:val="3B9552C2"/>
    <w:rsid w:val="3B97203E"/>
    <w:rsid w:val="3BDD6EFB"/>
    <w:rsid w:val="3BEB6F06"/>
    <w:rsid w:val="3BF34CA2"/>
    <w:rsid w:val="3C0A3C01"/>
    <w:rsid w:val="3C221152"/>
    <w:rsid w:val="3C3B7D69"/>
    <w:rsid w:val="3C906486"/>
    <w:rsid w:val="3C95225F"/>
    <w:rsid w:val="3CB80DA5"/>
    <w:rsid w:val="3CCB705B"/>
    <w:rsid w:val="3CE50D05"/>
    <w:rsid w:val="3D20116D"/>
    <w:rsid w:val="3D4536DB"/>
    <w:rsid w:val="3D544521"/>
    <w:rsid w:val="3D8375CF"/>
    <w:rsid w:val="3DB251DC"/>
    <w:rsid w:val="3DFC6F2A"/>
    <w:rsid w:val="3E1A48CE"/>
    <w:rsid w:val="3E65491C"/>
    <w:rsid w:val="3E9F214D"/>
    <w:rsid w:val="3EAB664F"/>
    <w:rsid w:val="3EB70E11"/>
    <w:rsid w:val="3ECC3D62"/>
    <w:rsid w:val="3EDE5957"/>
    <w:rsid w:val="3F335274"/>
    <w:rsid w:val="3F3868E1"/>
    <w:rsid w:val="3F4C4AAC"/>
    <w:rsid w:val="3F977E9D"/>
    <w:rsid w:val="3FA353D1"/>
    <w:rsid w:val="3FAF3C5A"/>
    <w:rsid w:val="3FC24CFF"/>
    <w:rsid w:val="3FFC3EE0"/>
    <w:rsid w:val="40285734"/>
    <w:rsid w:val="404606C5"/>
    <w:rsid w:val="40C33E8C"/>
    <w:rsid w:val="40C50C06"/>
    <w:rsid w:val="40CF0E2E"/>
    <w:rsid w:val="40D375B3"/>
    <w:rsid w:val="40DC0547"/>
    <w:rsid w:val="40F22086"/>
    <w:rsid w:val="411A496E"/>
    <w:rsid w:val="418F116A"/>
    <w:rsid w:val="41985742"/>
    <w:rsid w:val="41A767BA"/>
    <w:rsid w:val="41AD21E7"/>
    <w:rsid w:val="42030EFA"/>
    <w:rsid w:val="420600B5"/>
    <w:rsid w:val="42137E49"/>
    <w:rsid w:val="423B491C"/>
    <w:rsid w:val="423E34FC"/>
    <w:rsid w:val="427E23AB"/>
    <w:rsid w:val="42AD30F5"/>
    <w:rsid w:val="42FF280A"/>
    <w:rsid w:val="430F4A3C"/>
    <w:rsid w:val="435D7F7A"/>
    <w:rsid w:val="436B059C"/>
    <w:rsid w:val="438117CF"/>
    <w:rsid w:val="43997839"/>
    <w:rsid w:val="441B73DB"/>
    <w:rsid w:val="44B10EE9"/>
    <w:rsid w:val="44C74BFE"/>
    <w:rsid w:val="452E78DD"/>
    <w:rsid w:val="45325EA8"/>
    <w:rsid w:val="45457A93"/>
    <w:rsid w:val="456D228A"/>
    <w:rsid w:val="458213CB"/>
    <w:rsid w:val="45937DDF"/>
    <w:rsid w:val="45CA39D1"/>
    <w:rsid w:val="45D67A09"/>
    <w:rsid w:val="45F12942"/>
    <w:rsid w:val="462A31A3"/>
    <w:rsid w:val="46692CE5"/>
    <w:rsid w:val="466A6B0C"/>
    <w:rsid w:val="46A67EFA"/>
    <w:rsid w:val="46A9234A"/>
    <w:rsid w:val="46BE4002"/>
    <w:rsid w:val="46C37154"/>
    <w:rsid w:val="47093A0D"/>
    <w:rsid w:val="470D05B5"/>
    <w:rsid w:val="47597694"/>
    <w:rsid w:val="475C5B96"/>
    <w:rsid w:val="476E292E"/>
    <w:rsid w:val="47924636"/>
    <w:rsid w:val="47B55C38"/>
    <w:rsid w:val="47D07023"/>
    <w:rsid w:val="47E04B82"/>
    <w:rsid w:val="47FB6B81"/>
    <w:rsid w:val="480B4E1D"/>
    <w:rsid w:val="4837659A"/>
    <w:rsid w:val="487C730B"/>
    <w:rsid w:val="48912283"/>
    <w:rsid w:val="492A5696"/>
    <w:rsid w:val="492B0560"/>
    <w:rsid w:val="49522CB2"/>
    <w:rsid w:val="496013F6"/>
    <w:rsid w:val="49891431"/>
    <w:rsid w:val="49924968"/>
    <w:rsid w:val="499571A6"/>
    <w:rsid w:val="49A31940"/>
    <w:rsid w:val="49A54E81"/>
    <w:rsid w:val="49AA5DF0"/>
    <w:rsid w:val="49AD4D58"/>
    <w:rsid w:val="49B72CF1"/>
    <w:rsid w:val="49BFE897"/>
    <w:rsid w:val="49C52FB5"/>
    <w:rsid w:val="49E51357"/>
    <w:rsid w:val="4A3FB5D5"/>
    <w:rsid w:val="4A4973CB"/>
    <w:rsid w:val="4A5E7304"/>
    <w:rsid w:val="4A650CB7"/>
    <w:rsid w:val="4ACF253B"/>
    <w:rsid w:val="4AEE4E55"/>
    <w:rsid w:val="4B2E1F51"/>
    <w:rsid w:val="4B4675A6"/>
    <w:rsid w:val="4B655078"/>
    <w:rsid w:val="4B790B54"/>
    <w:rsid w:val="4B9750EA"/>
    <w:rsid w:val="4BB44E59"/>
    <w:rsid w:val="4BB67126"/>
    <w:rsid w:val="4BCD10AB"/>
    <w:rsid w:val="4BDB0CF0"/>
    <w:rsid w:val="4BFC7E29"/>
    <w:rsid w:val="4C082092"/>
    <w:rsid w:val="4C0D3FA4"/>
    <w:rsid w:val="4C1314B6"/>
    <w:rsid w:val="4C7873AB"/>
    <w:rsid w:val="4C7B348D"/>
    <w:rsid w:val="4C82561F"/>
    <w:rsid w:val="4D307D5D"/>
    <w:rsid w:val="4D433C85"/>
    <w:rsid w:val="4D4914C0"/>
    <w:rsid w:val="4D71452F"/>
    <w:rsid w:val="4D971D71"/>
    <w:rsid w:val="4DB4008D"/>
    <w:rsid w:val="4DC1358A"/>
    <w:rsid w:val="4DED3AAA"/>
    <w:rsid w:val="4E074DBD"/>
    <w:rsid w:val="4E3D13BA"/>
    <w:rsid w:val="4F412423"/>
    <w:rsid w:val="4F70137C"/>
    <w:rsid w:val="4F7218A2"/>
    <w:rsid w:val="4F7E235F"/>
    <w:rsid w:val="4FC74609"/>
    <w:rsid w:val="4FCC461D"/>
    <w:rsid w:val="500348AB"/>
    <w:rsid w:val="502D3DD0"/>
    <w:rsid w:val="504D4F4C"/>
    <w:rsid w:val="505E354A"/>
    <w:rsid w:val="50666CEF"/>
    <w:rsid w:val="50F31337"/>
    <w:rsid w:val="50F63917"/>
    <w:rsid w:val="510A7086"/>
    <w:rsid w:val="511D1383"/>
    <w:rsid w:val="51686DE0"/>
    <w:rsid w:val="516E18F6"/>
    <w:rsid w:val="51813954"/>
    <w:rsid w:val="519A0115"/>
    <w:rsid w:val="51CB79AB"/>
    <w:rsid w:val="51CE7A1A"/>
    <w:rsid w:val="51D64A0D"/>
    <w:rsid w:val="51EE45F7"/>
    <w:rsid w:val="52A32873"/>
    <w:rsid w:val="52A4714D"/>
    <w:rsid w:val="52D5405B"/>
    <w:rsid w:val="532F5ECE"/>
    <w:rsid w:val="537C620E"/>
    <w:rsid w:val="53B353C4"/>
    <w:rsid w:val="53DF592B"/>
    <w:rsid w:val="53E12686"/>
    <w:rsid w:val="542E2387"/>
    <w:rsid w:val="54375765"/>
    <w:rsid w:val="547D0220"/>
    <w:rsid w:val="54AE0E21"/>
    <w:rsid w:val="54B11BF7"/>
    <w:rsid w:val="54BC6BC2"/>
    <w:rsid w:val="54E32795"/>
    <w:rsid w:val="54F3455C"/>
    <w:rsid w:val="552B495D"/>
    <w:rsid w:val="55521606"/>
    <w:rsid w:val="55632CF6"/>
    <w:rsid w:val="559C3B78"/>
    <w:rsid w:val="55B50024"/>
    <w:rsid w:val="55B9087C"/>
    <w:rsid w:val="562B6930"/>
    <w:rsid w:val="56604132"/>
    <w:rsid w:val="56631897"/>
    <w:rsid w:val="568825B9"/>
    <w:rsid w:val="56966DA2"/>
    <w:rsid w:val="56DB2751"/>
    <w:rsid w:val="571D7AD2"/>
    <w:rsid w:val="574F51F7"/>
    <w:rsid w:val="575148EA"/>
    <w:rsid w:val="576E797B"/>
    <w:rsid w:val="57A42E69"/>
    <w:rsid w:val="57B761DB"/>
    <w:rsid w:val="57E74426"/>
    <w:rsid w:val="582A3956"/>
    <w:rsid w:val="583527FE"/>
    <w:rsid w:val="58493639"/>
    <w:rsid w:val="584C6011"/>
    <w:rsid w:val="589301F4"/>
    <w:rsid w:val="589E5684"/>
    <w:rsid w:val="58B026DF"/>
    <w:rsid w:val="590809DA"/>
    <w:rsid w:val="595D3982"/>
    <w:rsid w:val="595E7566"/>
    <w:rsid w:val="598C3A79"/>
    <w:rsid w:val="599812E5"/>
    <w:rsid w:val="59CC4EE0"/>
    <w:rsid w:val="5A1079E8"/>
    <w:rsid w:val="5A337429"/>
    <w:rsid w:val="5A606BFC"/>
    <w:rsid w:val="5A7536F8"/>
    <w:rsid w:val="5A921A6F"/>
    <w:rsid w:val="5AA14217"/>
    <w:rsid w:val="5AED246F"/>
    <w:rsid w:val="5B0A5189"/>
    <w:rsid w:val="5B1415A4"/>
    <w:rsid w:val="5B2C5C96"/>
    <w:rsid w:val="5B345F67"/>
    <w:rsid w:val="5B6B386E"/>
    <w:rsid w:val="5B866C12"/>
    <w:rsid w:val="5BA86B79"/>
    <w:rsid w:val="5BAB57F8"/>
    <w:rsid w:val="5BE54158"/>
    <w:rsid w:val="5BF11894"/>
    <w:rsid w:val="5C092B88"/>
    <w:rsid w:val="5C6A0C6B"/>
    <w:rsid w:val="5C7240D4"/>
    <w:rsid w:val="5C8B2909"/>
    <w:rsid w:val="5CBA6764"/>
    <w:rsid w:val="5CC0312F"/>
    <w:rsid w:val="5CCB2156"/>
    <w:rsid w:val="5CCF6F29"/>
    <w:rsid w:val="5CF90314"/>
    <w:rsid w:val="5D396AF3"/>
    <w:rsid w:val="5D651C60"/>
    <w:rsid w:val="5D77084D"/>
    <w:rsid w:val="5D981475"/>
    <w:rsid w:val="5DB07601"/>
    <w:rsid w:val="5DF80830"/>
    <w:rsid w:val="5E2C47BA"/>
    <w:rsid w:val="5E3509FD"/>
    <w:rsid w:val="5E6205CA"/>
    <w:rsid w:val="5E666C1C"/>
    <w:rsid w:val="5E830070"/>
    <w:rsid w:val="5E89337E"/>
    <w:rsid w:val="5ECE6832"/>
    <w:rsid w:val="5EDC74F1"/>
    <w:rsid w:val="5EF76AF1"/>
    <w:rsid w:val="5F0E466E"/>
    <w:rsid w:val="5F493F95"/>
    <w:rsid w:val="5F7712B3"/>
    <w:rsid w:val="5F891558"/>
    <w:rsid w:val="5F990C37"/>
    <w:rsid w:val="5F9E0AB5"/>
    <w:rsid w:val="5FCB6FB1"/>
    <w:rsid w:val="6005415B"/>
    <w:rsid w:val="6035649E"/>
    <w:rsid w:val="603776DA"/>
    <w:rsid w:val="607950A7"/>
    <w:rsid w:val="60797ECD"/>
    <w:rsid w:val="609D6CD6"/>
    <w:rsid w:val="60A924A6"/>
    <w:rsid w:val="60B10A58"/>
    <w:rsid w:val="60F5036B"/>
    <w:rsid w:val="61106A90"/>
    <w:rsid w:val="612B548C"/>
    <w:rsid w:val="6133160F"/>
    <w:rsid w:val="61603285"/>
    <w:rsid w:val="617C6B62"/>
    <w:rsid w:val="61816211"/>
    <w:rsid w:val="619D34BB"/>
    <w:rsid w:val="61AB51D0"/>
    <w:rsid w:val="61AF19C8"/>
    <w:rsid w:val="61B25CAB"/>
    <w:rsid w:val="61D14080"/>
    <w:rsid w:val="61DA138A"/>
    <w:rsid w:val="61E80FE9"/>
    <w:rsid w:val="622B1C40"/>
    <w:rsid w:val="6236544E"/>
    <w:rsid w:val="62616390"/>
    <w:rsid w:val="62661BC0"/>
    <w:rsid w:val="62B74455"/>
    <w:rsid w:val="633544AB"/>
    <w:rsid w:val="63354671"/>
    <w:rsid w:val="633767A9"/>
    <w:rsid w:val="63800F4A"/>
    <w:rsid w:val="639015A1"/>
    <w:rsid w:val="64180CD3"/>
    <w:rsid w:val="64354802"/>
    <w:rsid w:val="643826C6"/>
    <w:rsid w:val="643F3E94"/>
    <w:rsid w:val="644E3011"/>
    <w:rsid w:val="64A833F4"/>
    <w:rsid w:val="64B840C6"/>
    <w:rsid w:val="64CD28AC"/>
    <w:rsid w:val="64EC4522"/>
    <w:rsid w:val="65416457"/>
    <w:rsid w:val="656C4491"/>
    <w:rsid w:val="65716BAE"/>
    <w:rsid w:val="65833513"/>
    <w:rsid w:val="658D7852"/>
    <w:rsid w:val="65B2515C"/>
    <w:rsid w:val="65B7046E"/>
    <w:rsid w:val="65FF7928"/>
    <w:rsid w:val="66025E2A"/>
    <w:rsid w:val="660F47D1"/>
    <w:rsid w:val="662C1AAA"/>
    <w:rsid w:val="667B55C0"/>
    <w:rsid w:val="66822F5F"/>
    <w:rsid w:val="668E0DF8"/>
    <w:rsid w:val="66A81885"/>
    <w:rsid w:val="670A0C0D"/>
    <w:rsid w:val="670B3AD6"/>
    <w:rsid w:val="670E24A3"/>
    <w:rsid w:val="67114B39"/>
    <w:rsid w:val="671E5B21"/>
    <w:rsid w:val="67222372"/>
    <w:rsid w:val="67254A0C"/>
    <w:rsid w:val="67815F3D"/>
    <w:rsid w:val="678D73DA"/>
    <w:rsid w:val="679D29F1"/>
    <w:rsid w:val="67B832CD"/>
    <w:rsid w:val="67BA4FAF"/>
    <w:rsid w:val="67D04888"/>
    <w:rsid w:val="67D70D69"/>
    <w:rsid w:val="67D976D5"/>
    <w:rsid w:val="67F8351F"/>
    <w:rsid w:val="67F911EE"/>
    <w:rsid w:val="680F122E"/>
    <w:rsid w:val="6826548A"/>
    <w:rsid w:val="683F30FE"/>
    <w:rsid w:val="68683080"/>
    <w:rsid w:val="68B42E16"/>
    <w:rsid w:val="69054E81"/>
    <w:rsid w:val="691201AE"/>
    <w:rsid w:val="69313B09"/>
    <w:rsid w:val="69616FE6"/>
    <w:rsid w:val="699B5FBE"/>
    <w:rsid w:val="6A0C1E3A"/>
    <w:rsid w:val="6A2477ED"/>
    <w:rsid w:val="6A496B74"/>
    <w:rsid w:val="6ABE1033"/>
    <w:rsid w:val="6B695969"/>
    <w:rsid w:val="6B750D8C"/>
    <w:rsid w:val="6B975345"/>
    <w:rsid w:val="6BAE722A"/>
    <w:rsid w:val="6BE3540D"/>
    <w:rsid w:val="6C3F7978"/>
    <w:rsid w:val="6C435C2F"/>
    <w:rsid w:val="6C772A2C"/>
    <w:rsid w:val="6C7B2A50"/>
    <w:rsid w:val="6CF45DAC"/>
    <w:rsid w:val="6D4F1DCF"/>
    <w:rsid w:val="6D707D7F"/>
    <w:rsid w:val="6D8D6201"/>
    <w:rsid w:val="6DAB3ED9"/>
    <w:rsid w:val="6DB34A63"/>
    <w:rsid w:val="6DC1145A"/>
    <w:rsid w:val="6DEA759D"/>
    <w:rsid w:val="6DF84EE3"/>
    <w:rsid w:val="6E034E25"/>
    <w:rsid w:val="6E042361"/>
    <w:rsid w:val="6E152A45"/>
    <w:rsid w:val="6E3A1CA5"/>
    <w:rsid w:val="6E8D61CD"/>
    <w:rsid w:val="6F102712"/>
    <w:rsid w:val="6F850CE8"/>
    <w:rsid w:val="6F8651C6"/>
    <w:rsid w:val="6FD03C8D"/>
    <w:rsid w:val="700A299D"/>
    <w:rsid w:val="700D6C59"/>
    <w:rsid w:val="708745A7"/>
    <w:rsid w:val="70975C2C"/>
    <w:rsid w:val="70C42741"/>
    <w:rsid w:val="70C648F6"/>
    <w:rsid w:val="70C94DC9"/>
    <w:rsid w:val="70F63163"/>
    <w:rsid w:val="70F92CD6"/>
    <w:rsid w:val="710B6121"/>
    <w:rsid w:val="713D372A"/>
    <w:rsid w:val="7144719B"/>
    <w:rsid w:val="71561E5E"/>
    <w:rsid w:val="71B72F62"/>
    <w:rsid w:val="72251F03"/>
    <w:rsid w:val="724849E6"/>
    <w:rsid w:val="7271745F"/>
    <w:rsid w:val="728656FE"/>
    <w:rsid w:val="730F64FC"/>
    <w:rsid w:val="734E1139"/>
    <w:rsid w:val="737557C4"/>
    <w:rsid w:val="73A33BD5"/>
    <w:rsid w:val="73BC07AA"/>
    <w:rsid w:val="73E96659"/>
    <w:rsid w:val="74354EF5"/>
    <w:rsid w:val="74471E9E"/>
    <w:rsid w:val="745A2085"/>
    <w:rsid w:val="74750647"/>
    <w:rsid w:val="748F15B9"/>
    <w:rsid w:val="74BC372A"/>
    <w:rsid w:val="74E03E87"/>
    <w:rsid w:val="755556EE"/>
    <w:rsid w:val="75D10B11"/>
    <w:rsid w:val="75E77A01"/>
    <w:rsid w:val="75EB5152"/>
    <w:rsid w:val="75FF5CAF"/>
    <w:rsid w:val="762509F4"/>
    <w:rsid w:val="763B0E48"/>
    <w:rsid w:val="76461C08"/>
    <w:rsid w:val="76824755"/>
    <w:rsid w:val="76B37BD3"/>
    <w:rsid w:val="76C37968"/>
    <w:rsid w:val="76C62B85"/>
    <w:rsid w:val="76E74145"/>
    <w:rsid w:val="76FE0E6C"/>
    <w:rsid w:val="77241935"/>
    <w:rsid w:val="77317359"/>
    <w:rsid w:val="77957DD1"/>
    <w:rsid w:val="77D342D3"/>
    <w:rsid w:val="77D753A4"/>
    <w:rsid w:val="77E26A99"/>
    <w:rsid w:val="781B4757"/>
    <w:rsid w:val="78282F82"/>
    <w:rsid w:val="78B57E1B"/>
    <w:rsid w:val="78EA1606"/>
    <w:rsid w:val="790602AE"/>
    <w:rsid w:val="793E4DEB"/>
    <w:rsid w:val="79771051"/>
    <w:rsid w:val="79964D9E"/>
    <w:rsid w:val="79A23B15"/>
    <w:rsid w:val="79CC256C"/>
    <w:rsid w:val="79FC78F7"/>
    <w:rsid w:val="7A447204"/>
    <w:rsid w:val="7A6F307E"/>
    <w:rsid w:val="7A721CF6"/>
    <w:rsid w:val="7A7C1790"/>
    <w:rsid w:val="7ABE5DB5"/>
    <w:rsid w:val="7AD179AB"/>
    <w:rsid w:val="7AEA2D29"/>
    <w:rsid w:val="7B003860"/>
    <w:rsid w:val="7B86775B"/>
    <w:rsid w:val="7B8C2F50"/>
    <w:rsid w:val="7BD00AC7"/>
    <w:rsid w:val="7BD81357"/>
    <w:rsid w:val="7BD87F3B"/>
    <w:rsid w:val="7C315AAD"/>
    <w:rsid w:val="7C362596"/>
    <w:rsid w:val="7C5A7C6C"/>
    <w:rsid w:val="7C8D009F"/>
    <w:rsid w:val="7C950A0B"/>
    <w:rsid w:val="7CA707A4"/>
    <w:rsid w:val="7CEE2E9A"/>
    <w:rsid w:val="7D1018D4"/>
    <w:rsid w:val="7D2A29F1"/>
    <w:rsid w:val="7D3E71B2"/>
    <w:rsid w:val="7D3F4E53"/>
    <w:rsid w:val="7D4520AD"/>
    <w:rsid w:val="7D7C4568"/>
    <w:rsid w:val="7D8B57B4"/>
    <w:rsid w:val="7D994587"/>
    <w:rsid w:val="7D9C5C1D"/>
    <w:rsid w:val="7DB55EDE"/>
    <w:rsid w:val="7DCE7A21"/>
    <w:rsid w:val="7DD055D2"/>
    <w:rsid w:val="7DF67C77"/>
    <w:rsid w:val="7E4436DC"/>
    <w:rsid w:val="7E522C7B"/>
    <w:rsid w:val="7E53540F"/>
    <w:rsid w:val="7E725FD3"/>
    <w:rsid w:val="7E89234E"/>
    <w:rsid w:val="7E8C0973"/>
    <w:rsid w:val="7E8D17CB"/>
    <w:rsid w:val="7EFF5F5E"/>
    <w:rsid w:val="7F2A7062"/>
    <w:rsid w:val="7F4169A9"/>
    <w:rsid w:val="7F8C1F93"/>
    <w:rsid w:val="7F923D51"/>
    <w:rsid w:val="7FA47FBD"/>
    <w:rsid w:val="BEFCF47A"/>
    <w:rsid w:val="E6ADA0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6"/>
    <w:qFormat/>
    <w:uiPriority w:val="9"/>
    <w:pPr>
      <w:keepNext/>
      <w:keepLines/>
      <w:spacing w:before="340" w:after="330" w:line="578" w:lineRule="auto"/>
      <w:outlineLvl w:val="0"/>
    </w:pPr>
    <w:rPr>
      <w:rFonts w:eastAsia="楷体_GB2312"/>
      <w:b/>
      <w:bCs/>
      <w:kern w:val="44"/>
      <w:sz w:val="32"/>
      <w:szCs w:val="44"/>
    </w:rPr>
  </w:style>
  <w:style w:type="paragraph" w:styleId="4">
    <w:name w:val="heading 2"/>
    <w:basedOn w:val="1"/>
    <w:next w:val="1"/>
    <w:link w:val="24"/>
    <w:qFormat/>
    <w:uiPriority w:val="9"/>
    <w:pPr>
      <w:keepNext/>
      <w:keepLines/>
      <w:spacing w:before="260" w:after="260" w:line="416" w:lineRule="auto"/>
      <w:outlineLvl w:val="1"/>
    </w:pPr>
    <w:rPr>
      <w:rFonts w:ascii="等线 Light" w:hAnsi="等线 Light" w:eastAsia="楷体_GB2312"/>
      <w:b/>
      <w:bCs/>
      <w:kern w:val="0"/>
      <w:sz w:val="32"/>
      <w:szCs w:val="32"/>
    </w:rPr>
  </w:style>
  <w:style w:type="paragraph" w:styleId="5">
    <w:name w:val="heading 3"/>
    <w:basedOn w:val="1"/>
    <w:next w:val="1"/>
    <w:link w:val="20"/>
    <w:unhideWhenUsed/>
    <w:qFormat/>
    <w:uiPriority w:val="9"/>
    <w:pPr>
      <w:keepNext/>
      <w:keepLines/>
      <w:spacing w:before="260" w:after="260" w:line="415" w:lineRule="auto"/>
      <w:ind w:left="200" w:leftChars="200"/>
      <w:outlineLvl w:val="2"/>
      <w:pPrChange w:id="0" w:author="XIE XIN" w:date="2020-06-02T20:01:00Z">
        <w:pPr>
          <w:keepNext/>
          <w:keepLines/>
          <w:widowControl w:val="0"/>
          <w:spacing w:before="260" w:after="260" w:line="416" w:lineRule="auto"/>
          <w:jc w:val="both"/>
          <w:outlineLvl w:val="2"/>
        </w:pPr>
      </w:pPrChange>
    </w:pPr>
    <w:rPr>
      <w:rFonts w:eastAsia="仿宋_GB2312"/>
      <w:b/>
      <w:bCs/>
      <w:sz w:val="32"/>
      <w:szCs w:val="32"/>
      <w:rPrChange w:id="1" w:author="XIE XIN" w:date="2020-06-02T20:01:00Z">
        <w:rPr>
          <w:rFonts w:eastAsia="仿宋_GB2312"/>
          <w:bCs/>
          <w:kern w:val="2"/>
          <w:sz w:val="32"/>
          <w:szCs w:val="32"/>
          <w:lang w:val="en-US" w:eastAsia="zh-CN" w:bidi="ar-SA"/>
        </w:rPr>
      </w:rPrChange>
    </w:rPr>
  </w:style>
  <w:style w:type="character" w:default="1" w:styleId="16">
    <w:name w:val="Default Paragraph Font"/>
    <w:unhideWhenUsed/>
    <w:qFormat/>
    <w:uiPriority w:val="1"/>
  </w:style>
  <w:style w:type="table" w:default="1" w:styleId="15">
    <w:name w:val="Normal Table"/>
    <w:unhideWhenUsed/>
    <w:qFormat/>
    <w:uiPriority w:val="99"/>
    <w:tblPr>
      <w:tblCellMar>
        <w:top w:w="0" w:type="dxa"/>
        <w:left w:w="108" w:type="dxa"/>
        <w:bottom w:w="0" w:type="dxa"/>
        <w:right w:w="108" w:type="dxa"/>
      </w:tblCellMar>
    </w:tblPr>
  </w:style>
  <w:style w:type="paragraph" w:styleId="2">
    <w:name w:val="Body Text"/>
    <w:basedOn w:val="1"/>
    <w:qFormat/>
    <w:uiPriority w:val="0"/>
  </w:style>
  <w:style w:type="paragraph" w:styleId="6">
    <w:name w:val="annotation text"/>
    <w:basedOn w:val="1"/>
    <w:unhideWhenUsed/>
    <w:qFormat/>
    <w:uiPriority w:val="99"/>
    <w:pPr>
      <w:jc w:val="left"/>
    </w:pPr>
  </w:style>
  <w:style w:type="paragraph" w:styleId="7">
    <w:name w:val="toc 3"/>
    <w:basedOn w:val="1"/>
    <w:next w:val="1"/>
    <w:unhideWhenUsed/>
    <w:qFormat/>
    <w:uiPriority w:val="39"/>
    <w:pPr>
      <w:widowControl/>
      <w:spacing w:after="100" w:line="259" w:lineRule="auto"/>
      <w:ind w:left="440"/>
      <w:jc w:val="left"/>
    </w:pPr>
    <w:rPr>
      <w:rFonts w:asciiTheme="minorHAnsi" w:hAnsiTheme="minorHAnsi" w:eastAsiaTheme="minorEastAsia"/>
      <w:kern w:val="0"/>
      <w:sz w:val="22"/>
      <w:szCs w:val="22"/>
    </w:rPr>
  </w:style>
  <w:style w:type="paragraph" w:styleId="8">
    <w:name w:val="Balloon Text"/>
    <w:basedOn w:val="1"/>
    <w:link w:val="21"/>
    <w:unhideWhenUsed/>
    <w:qFormat/>
    <w:uiPriority w:val="99"/>
    <w:rPr>
      <w:sz w:val="18"/>
      <w:szCs w:val="18"/>
    </w:rPr>
  </w:style>
  <w:style w:type="paragraph" w:styleId="9">
    <w:name w:val="footer"/>
    <w:basedOn w:val="1"/>
    <w:link w:val="29"/>
    <w:unhideWhenUsed/>
    <w:qFormat/>
    <w:uiPriority w:val="99"/>
    <w:pPr>
      <w:tabs>
        <w:tab w:val="center" w:pos="4153"/>
        <w:tab w:val="right" w:pos="8306"/>
      </w:tabs>
      <w:snapToGrid w:val="0"/>
      <w:jc w:val="left"/>
    </w:pPr>
    <w:rPr>
      <w:sz w:val="18"/>
      <w:szCs w:val="18"/>
    </w:rPr>
  </w:style>
  <w:style w:type="paragraph" w:styleId="10">
    <w:name w:val="header"/>
    <w:basedOn w:val="1"/>
    <w:link w:val="28"/>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2">
    <w:name w:val="Subtitle"/>
    <w:basedOn w:val="1"/>
    <w:next w:val="1"/>
    <w:link w:val="22"/>
    <w:qFormat/>
    <w:uiPriority w:val="11"/>
    <w:pPr>
      <w:spacing w:before="240" w:after="60" w:line="312" w:lineRule="auto"/>
      <w:jc w:val="center"/>
      <w:outlineLvl w:val="1"/>
    </w:pPr>
    <w:rPr>
      <w:rFonts w:ascii="等线 Light" w:hAnsi="等线 Light"/>
      <w:b/>
      <w:bCs/>
      <w:kern w:val="28"/>
      <w:sz w:val="32"/>
      <w:szCs w:val="32"/>
    </w:rPr>
  </w:style>
  <w:style w:type="paragraph" w:styleId="13">
    <w:name w:val="toc 2"/>
    <w:basedOn w:val="1"/>
    <w:next w:val="1"/>
    <w:unhideWhenUsed/>
    <w:qFormat/>
    <w:uiPriority w:val="39"/>
    <w:pPr>
      <w:spacing w:line="360" w:lineRule="auto"/>
      <w:ind w:left="420" w:leftChars="200"/>
    </w:pPr>
    <w:rPr>
      <w:rFonts w:ascii="Calibri" w:hAnsi="Calibri"/>
      <w:kern w:val="0"/>
      <w:szCs w:val="32"/>
    </w:rPr>
  </w:style>
  <w:style w:type="paragraph" w:styleId="14">
    <w:name w:val="Title"/>
    <w:basedOn w:val="3"/>
    <w:next w:val="1"/>
    <w:link w:val="25"/>
    <w:qFormat/>
    <w:uiPriority w:val="0"/>
    <w:pPr>
      <w:spacing w:line="360" w:lineRule="auto"/>
      <w:ind w:firstLine="880" w:firstLineChars="200"/>
      <w:jc w:val="left"/>
    </w:pPr>
    <w:rPr>
      <w:rFonts w:ascii="Cambria" w:hAnsi="Cambria" w:eastAsia="黑体"/>
      <w:b w:val="0"/>
      <w:bCs w:val="0"/>
      <w:kern w:val="2"/>
    </w:rPr>
  </w:style>
  <w:style w:type="character" w:styleId="17">
    <w:name w:val="Hyperlink"/>
    <w:basedOn w:val="16"/>
    <w:unhideWhenUsed/>
    <w:qFormat/>
    <w:uiPriority w:val="99"/>
    <w:rPr>
      <w:color w:val="0563C1" w:themeColor="hyperlink"/>
      <w:u w:val="single"/>
      <w14:textFill>
        <w14:solidFill>
          <w14:schemeClr w14:val="hlink"/>
        </w14:solidFill>
      </w14:textFill>
    </w:rPr>
  </w:style>
  <w:style w:type="character" w:styleId="18">
    <w:name w:val="annotation reference"/>
    <w:basedOn w:val="16"/>
    <w:unhideWhenUsed/>
    <w:qFormat/>
    <w:uiPriority w:val="99"/>
    <w:rPr>
      <w:sz w:val="21"/>
      <w:szCs w:val="21"/>
    </w:rPr>
  </w:style>
  <w:style w:type="paragraph" w:customStyle="1" w:styleId="19">
    <w:name w:val="样式1"/>
    <w:basedOn w:val="5"/>
    <w:next w:val="1"/>
    <w:qFormat/>
    <w:uiPriority w:val="0"/>
    <w:pPr>
      <w:keepNext w:val="0"/>
      <w:keepLines w:val="0"/>
      <w:widowControl/>
      <w:spacing w:before="100" w:beforeAutospacing="1" w:after="100" w:afterAutospacing="1" w:line="360" w:lineRule="auto"/>
      <w:ind w:firstLine="880" w:firstLineChars="200"/>
      <w:jc w:val="left"/>
    </w:pPr>
    <w:rPr>
      <w:rFonts w:ascii="Arial" w:hAnsi="Arial"/>
      <w:b w:val="0"/>
      <w:kern w:val="0"/>
      <w:szCs w:val="27"/>
    </w:rPr>
  </w:style>
  <w:style w:type="character" w:customStyle="1" w:styleId="20">
    <w:name w:val="标题 3 字符"/>
    <w:basedOn w:val="16"/>
    <w:link w:val="5"/>
    <w:qFormat/>
    <w:uiPriority w:val="9"/>
    <w:rPr>
      <w:rFonts w:eastAsia="仿宋_GB2312"/>
      <w:b/>
      <w:bCs/>
      <w:kern w:val="2"/>
      <w:sz w:val="32"/>
      <w:szCs w:val="32"/>
    </w:rPr>
  </w:style>
  <w:style w:type="character" w:customStyle="1" w:styleId="21">
    <w:name w:val="批注框文本 字符"/>
    <w:basedOn w:val="16"/>
    <w:link w:val="8"/>
    <w:semiHidden/>
    <w:qFormat/>
    <w:uiPriority w:val="99"/>
    <w:rPr>
      <w:rFonts w:ascii="Times New Roman" w:hAnsi="Times New Roman" w:eastAsia="宋体" w:cs="Times New Roman"/>
      <w:sz w:val="18"/>
      <w:szCs w:val="18"/>
    </w:rPr>
  </w:style>
  <w:style w:type="character" w:customStyle="1" w:styleId="22">
    <w:name w:val="副标题 字符"/>
    <w:basedOn w:val="16"/>
    <w:link w:val="12"/>
    <w:qFormat/>
    <w:uiPriority w:val="11"/>
    <w:rPr>
      <w:rFonts w:ascii="等线 Light" w:hAnsi="等线 Light" w:eastAsia="宋体" w:cs="Times New Roman"/>
      <w:b/>
      <w:bCs/>
      <w:kern w:val="28"/>
      <w:sz w:val="32"/>
      <w:szCs w:val="32"/>
    </w:rPr>
  </w:style>
  <w:style w:type="paragraph" w:customStyle="1" w:styleId="23">
    <w:name w:val="1."/>
    <w:basedOn w:val="5"/>
    <w:qFormat/>
    <w:uiPriority w:val="0"/>
    <w:pPr>
      <w:keepNext w:val="0"/>
      <w:keepLines w:val="0"/>
      <w:widowControl/>
      <w:spacing w:before="100" w:beforeAutospacing="1" w:after="100" w:afterAutospacing="1" w:line="360" w:lineRule="auto"/>
      <w:ind w:firstLine="880" w:firstLineChars="200"/>
      <w:jc w:val="left"/>
    </w:pPr>
    <w:rPr>
      <w:rFonts w:ascii="宋体" w:hAnsi="宋体"/>
      <w:kern w:val="0"/>
      <w:szCs w:val="27"/>
    </w:rPr>
  </w:style>
  <w:style w:type="character" w:customStyle="1" w:styleId="24">
    <w:name w:val="标题 2 字符"/>
    <w:basedOn w:val="16"/>
    <w:link w:val="4"/>
    <w:qFormat/>
    <w:uiPriority w:val="9"/>
    <w:rPr>
      <w:rFonts w:ascii="等线 Light" w:hAnsi="等线 Light" w:eastAsia="楷体_GB2312"/>
      <w:b/>
      <w:bCs/>
      <w:sz w:val="32"/>
      <w:szCs w:val="32"/>
    </w:rPr>
  </w:style>
  <w:style w:type="character" w:customStyle="1" w:styleId="25">
    <w:name w:val="标题 字符"/>
    <w:basedOn w:val="16"/>
    <w:link w:val="14"/>
    <w:qFormat/>
    <w:uiPriority w:val="0"/>
    <w:rPr>
      <w:rFonts w:ascii="Cambria" w:hAnsi="Cambria" w:eastAsia="黑体" w:cs="Times New Roman"/>
      <w:sz w:val="32"/>
      <w:szCs w:val="44"/>
    </w:rPr>
  </w:style>
  <w:style w:type="character" w:customStyle="1" w:styleId="26">
    <w:name w:val="标题 1 字符"/>
    <w:basedOn w:val="16"/>
    <w:link w:val="3"/>
    <w:qFormat/>
    <w:uiPriority w:val="9"/>
    <w:rPr>
      <w:rFonts w:eastAsia="楷体_GB2312"/>
      <w:b/>
      <w:bCs/>
      <w:kern w:val="44"/>
      <w:sz w:val="32"/>
      <w:szCs w:val="44"/>
    </w:rPr>
  </w:style>
  <w:style w:type="paragraph" w:customStyle="1" w:styleId="27">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Cs w:val="32"/>
    </w:rPr>
  </w:style>
  <w:style w:type="character" w:customStyle="1" w:styleId="28">
    <w:name w:val="页眉 字符"/>
    <w:basedOn w:val="16"/>
    <w:link w:val="10"/>
    <w:qFormat/>
    <w:uiPriority w:val="99"/>
    <w:rPr>
      <w:rFonts w:ascii="Times New Roman" w:hAnsi="Times New Roman" w:eastAsia="宋体" w:cs="Times New Roman"/>
      <w:sz w:val="18"/>
      <w:szCs w:val="18"/>
    </w:rPr>
  </w:style>
  <w:style w:type="character" w:customStyle="1" w:styleId="29">
    <w:name w:val="页脚 字符"/>
    <w:basedOn w:val="16"/>
    <w:link w:val="9"/>
    <w:qFormat/>
    <w:uiPriority w:val="99"/>
    <w:rPr>
      <w:rFonts w:ascii="Times New Roman" w:hAnsi="Times New Roman" w:eastAsia="宋体" w:cs="Times New Roman"/>
      <w:sz w:val="18"/>
      <w:szCs w:val="18"/>
    </w:rPr>
  </w:style>
  <w:style w:type="paragraph" w:customStyle="1" w:styleId="30">
    <w:name w:val="（一）"/>
    <w:basedOn w:val="4"/>
    <w:next w:val="1"/>
    <w:qFormat/>
    <w:uiPriority w:val="0"/>
    <w:pPr>
      <w:spacing w:line="360" w:lineRule="auto"/>
    </w:pPr>
    <w:rPr>
      <w:rFonts w:eastAsia="楷体_GB2312"/>
      <w:b w:val="0"/>
    </w:rPr>
  </w:style>
  <w:style w:type="paragraph" w:customStyle="1" w:styleId="31">
    <w:name w:val="_Style 1"/>
    <w:basedOn w:val="1"/>
    <w:qFormat/>
    <w:uiPriority w:val="0"/>
    <w:pPr>
      <w:ind w:firstLine="420"/>
    </w:pPr>
  </w:style>
  <w:style w:type="character" w:customStyle="1" w:styleId="32">
    <w:name w:val="font51"/>
    <w:basedOn w:val="16"/>
    <w:qFormat/>
    <w:uiPriority w:val="0"/>
    <w:rPr>
      <w:rFonts w:ascii="宋体" w:hAnsi="宋体" w:eastAsia="宋体" w:cs="宋体"/>
      <w:b/>
      <w:color w:val="000000"/>
      <w:sz w:val="24"/>
      <w:szCs w:val="24"/>
      <w:u w:val="none"/>
    </w:rPr>
  </w:style>
  <w:style w:type="character" w:customStyle="1" w:styleId="33">
    <w:name w:val="NormalCharacter"/>
    <w:link w:val="34"/>
    <w:semiHidden/>
    <w:qFormat/>
    <w:uiPriority w:val="0"/>
    <w:rPr>
      <w:rFonts w:ascii="Times New Roman" w:hAnsi="Times New Roman" w:eastAsia="宋体" w:cs="Times New Roman"/>
      <w:kern w:val="2"/>
      <w:sz w:val="21"/>
      <w:szCs w:val="24"/>
      <w:lang w:val="en-US" w:eastAsia="zh-CN" w:bidi="ar-SA"/>
    </w:rPr>
  </w:style>
  <w:style w:type="paragraph" w:customStyle="1" w:styleId="34">
    <w:name w:val="UserStyle_2"/>
    <w:basedOn w:val="1"/>
    <w:link w:val="33"/>
    <w:qFormat/>
    <w:uiPriority w:val="0"/>
    <w:pPr>
      <w:tabs>
        <w:tab w:val="center" w:pos="360"/>
      </w:tabs>
      <w:spacing w:line="240" w:lineRule="auto"/>
      <w:jc w:val="both"/>
    </w:pPr>
    <w:rPr>
      <w:rFonts w:ascii="Times New Roman" w:hAnsi="Times New Roman" w:eastAsia="宋体" w:cs="Times New Roman"/>
      <w:kern w:val="2"/>
      <w:sz w:val="21"/>
      <w:szCs w:val="24"/>
      <w:lang w:val="en-US" w:eastAsia="zh-CN" w:bidi="ar-SA"/>
    </w:rPr>
  </w:style>
  <w:style w:type="paragraph" w:customStyle="1" w:styleId="35">
    <w:name w:val="WPSOffice手动目录 1"/>
    <w:qFormat/>
    <w:uiPriority w:val="0"/>
    <w:pPr>
      <w:ind w:leftChars="0"/>
    </w:pPr>
    <w:rPr>
      <w:rFonts w:ascii="Times New Roman" w:hAnsi="Times New Roman" w:eastAsia="宋体" w:cs="Times New Roman"/>
      <w:sz w:val="20"/>
      <w:szCs w:val="20"/>
    </w:rPr>
  </w:style>
  <w:style w:type="paragraph" w:customStyle="1" w:styleId="3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1738</Words>
  <Characters>9911</Characters>
  <Lines>82</Lines>
  <Paragraphs>23</Paragraphs>
  <TotalTime>2</TotalTime>
  <ScaleCrop>false</ScaleCrop>
  <LinksUpToDate>false</LinksUpToDate>
  <CharactersWithSpaces>11626</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2020-05-23T08:44:00Z</dcterms:created>
  <dc:creator>XIE XIN</dc:creator>
  <cp:lastModifiedBy>user</cp:lastModifiedBy>
  <cp:lastPrinted>2020-06-25T06:33:00Z</cp:lastPrinted>
  <dcterms:modified xsi:type="dcterms:W3CDTF">2021-10-18T09:53:48Z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ribbonExt">
    <vt:lpwstr>{"WPSExtOfficeTab":{"OnGetEnabled":false,"OnGetVisible":false}}</vt:lpwstr>
  </property>
  <property fmtid="{D5CDD505-2E9C-101B-9397-08002B2CF9AE}" pid="4" name="ICV">
    <vt:lpwstr>11DB9F9B24FC46F09371DFF239DA6939</vt:lpwstr>
  </property>
</Properties>
</file>