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6"/>
        <w:pageBreakBefore w:val="0"/>
        <w:kinsoku/>
        <w:wordWrap/>
        <w:overflowPunct/>
        <w:topLinePunct w:val="0"/>
        <w:bidi w:val="0"/>
        <w:spacing w:line="360" w:lineRule="auto"/>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 xml:space="preserve">   </w:t>
      </w:r>
    </w:p>
    <w:p>
      <w:pPr>
        <w:pageBreakBefore w:val="0"/>
        <w:kinsoku/>
        <w:wordWrap/>
        <w:overflowPunct/>
        <w:topLinePunct w:val="0"/>
        <w:bidi w:val="0"/>
        <w:spacing w:line="360" w:lineRule="auto"/>
        <w:ind w:firstLine="0" w:firstLineChars="0"/>
        <w:jc w:val="center"/>
        <w:rPr>
          <w:rFonts w:hint="eastAsia" w:ascii="方正小标宋简体" w:hAnsi="方正小标宋简体" w:eastAsia="方正小标宋简体" w:cs="方正小标宋简体"/>
          <w:color w:val="auto"/>
          <w:sz w:val="44"/>
          <w:szCs w:val="44"/>
          <w:highlight w:val="none"/>
          <w:lang w:val="en-US" w:eastAsia="zh-CN"/>
        </w:rPr>
      </w:pPr>
    </w:p>
    <w:p>
      <w:pPr>
        <w:pageBreakBefore w:val="0"/>
        <w:kinsoku/>
        <w:wordWrap/>
        <w:overflowPunct/>
        <w:topLinePunct w:val="0"/>
        <w:bidi w:val="0"/>
        <w:spacing w:line="360" w:lineRule="auto"/>
        <w:ind w:firstLine="0" w:firstLineChars="0"/>
        <w:jc w:val="center"/>
        <w:rPr>
          <w:rFonts w:hint="eastAsia" w:ascii="仿宋_GB2312" w:eastAsia="仿宋_GB2312"/>
          <w:color w:val="auto"/>
          <w:sz w:val="44"/>
          <w:szCs w:val="44"/>
          <w:highlight w:val="none"/>
        </w:rPr>
      </w:pPr>
      <w:r>
        <w:rPr>
          <w:rFonts w:hint="eastAsia" w:ascii="方正小标宋简体" w:hAnsi="方正小标宋简体" w:eastAsia="方正小标宋简体" w:cs="方正小标宋简体"/>
          <w:color w:val="auto"/>
          <w:sz w:val="44"/>
          <w:szCs w:val="44"/>
          <w:highlight w:val="none"/>
          <w:lang w:val="en-US" w:eastAsia="zh-CN"/>
        </w:rPr>
        <w:t>项目</w:t>
      </w:r>
      <w:r>
        <w:rPr>
          <w:rFonts w:hint="eastAsia" w:ascii="方正小标宋简体" w:hAnsi="方正小标宋简体" w:eastAsia="方正小标宋简体" w:cs="方正小标宋简体"/>
          <w:color w:val="auto"/>
          <w:sz w:val="44"/>
          <w:szCs w:val="44"/>
          <w:highlight w:val="none"/>
        </w:rPr>
        <w:t>绩效自评报告</w:t>
      </w:r>
    </w:p>
    <w:p>
      <w:pPr>
        <w:pageBreakBefore w:val="0"/>
        <w:kinsoku/>
        <w:wordWrap/>
        <w:overflowPunct/>
        <w:topLinePunct w:val="0"/>
        <w:bidi w:val="0"/>
        <w:spacing w:line="360" w:lineRule="auto"/>
        <w:ind w:firstLine="450" w:firstLineChars="150"/>
        <w:rPr>
          <w:rFonts w:hint="eastAsia" w:ascii="仿宋_GB2312" w:eastAsia="仿宋_GB2312"/>
          <w:color w:val="auto"/>
          <w:sz w:val="30"/>
          <w:szCs w:val="30"/>
          <w:highlight w:val="none"/>
        </w:rPr>
      </w:pPr>
    </w:p>
    <w:p>
      <w:pPr>
        <w:pageBreakBefore w:val="0"/>
        <w:kinsoku/>
        <w:wordWrap/>
        <w:overflowPunct/>
        <w:topLinePunct w:val="0"/>
        <w:bidi w:val="0"/>
        <w:spacing w:line="360" w:lineRule="auto"/>
        <w:ind w:firstLine="450" w:firstLineChars="150"/>
        <w:rPr>
          <w:rFonts w:hint="eastAsia" w:ascii="仿宋_GB2312" w:eastAsia="仿宋_GB2312"/>
          <w:color w:val="auto"/>
          <w:sz w:val="30"/>
          <w:szCs w:val="30"/>
          <w:highlight w:val="none"/>
        </w:rPr>
      </w:pPr>
    </w:p>
    <w:p>
      <w:pPr>
        <w:pageBreakBefore w:val="0"/>
        <w:kinsoku/>
        <w:wordWrap/>
        <w:overflowPunct/>
        <w:topLinePunct w:val="0"/>
        <w:bidi w:val="0"/>
        <w:spacing w:line="360" w:lineRule="auto"/>
        <w:ind w:firstLine="450" w:firstLineChars="150"/>
        <w:rPr>
          <w:rFonts w:hint="eastAsia" w:ascii="仿宋_GB2312" w:eastAsia="仿宋_GB2312"/>
          <w:color w:val="auto"/>
          <w:sz w:val="30"/>
          <w:szCs w:val="30"/>
          <w:highlight w:val="none"/>
        </w:rPr>
      </w:pPr>
    </w:p>
    <w:p>
      <w:pPr>
        <w:pageBreakBefore w:val="0"/>
        <w:kinsoku/>
        <w:wordWrap/>
        <w:overflowPunct/>
        <w:topLinePunct w:val="0"/>
        <w:bidi w:val="0"/>
        <w:spacing w:line="360" w:lineRule="auto"/>
        <w:ind w:firstLine="450" w:firstLineChars="150"/>
        <w:rPr>
          <w:rFonts w:hint="eastAsia" w:ascii="仿宋_GB2312" w:eastAsia="仿宋_GB2312"/>
          <w:color w:val="auto"/>
          <w:sz w:val="30"/>
          <w:szCs w:val="30"/>
          <w:highlight w:val="none"/>
        </w:rPr>
      </w:pPr>
    </w:p>
    <w:p>
      <w:pPr>
        <w:pageBreakBefore w:val="0"/>
        <w:kinsoku/>
        <w:wordWrap/>
        <w:overflowPunct/>
        <w:topLinePunct w:val="0"/>
        <w:bidi w:val="0"/>
        <w:spacing w:line="360" w:lineRule="auto"/>
        <w:ind w:firstLine="450" w:firstLineChars="150"/>
        <w:rPr>
          <w:rFonts w:hint="eastAsia" w:ascii="仿宋_GB2312" w:eastAsia="仿宋_GB2312"/>
          <w:color w:val="auto"/>
          <w:sz w:val="30"/>
          <w:szCs w:val="30"/>
          <w:highlight w:val="none"/>
        </w:rPr>
      </w:pPr>
    </w:p>
    <w:p>
      <w:pPr>
        <w:pageBreakBefore w:val="0"/>
        <w:kinsoku/>
        <w:wordWrap/>
        <w:overflowPunct/>
        <w:topLinePunct w:val="0"/>
        <w:bidi w:val="0"/>
        <w:spacing w:line="360" w:lineRule="auto"/>
        <w:ind w:firstLine="450" w:firstLineChars="150"/>
        <w:rPr>
          <w:rFonts w:hint="eastAsia" w:ascii="仿宋_GB2312" w:eastAsia="仿宋_GB2312"/>
          <w:color w:val="auto"/>
          <w:sz w:val="30"/>
          <w:szCs w:val="30"/>
          <w:highlight w:val="none"/>
        </w:rPr>
      </w:pPr>
    </w:p>
    <w:p>
      <w:pPr>
        <w:keepNext w:val="0"/>
        <w:keepLines w:val="0"/>
        <w:pageBreakBefore w:val="0"/>
        <w:widowControl w:val="0"/>
        <w:kinsoku/>
        <w:wordWrap/>
        <w:overflowPunct/>
        <w:topLinePunct w:val="0"/>
        <w:autoSpaceDE/>
        <w:autoSpaceDN/>
        <w:bidi w:val="0"/>
        <w:adjustRightInd/>
        <w:snapToGrid w:val="0"/>
        <w:spacing w:beforeLines="0" w:afterLines="0" w:line="36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专项资金</w:t>
      </w:r>
      <w:r>
        <w:rPr>
          <w:rFonts w:hint="eastAsia" w:ascii="仿宋_GB2312" w:eastAsia="仿宋_GB2312"/>
          <w:color w:val="auto"/>
          <w:sz w:val="32"/>
          <w:szCs w:val="32"/>
          <w:highlight w:val="none"/>
          <w:lang w:eastAsia="zh-CN"/>
        </w:rPr>
        <w:t>“财政事权”</w:t>
      </w:r>
      <w:r>
        <w:rPr>
          <w:rFonts w:hint="eastAsia" w:ascii="仿宋_GB2312" w:eastAsia="仿宋_GB2312"/>
          <w:color w:val="auto"/>
          <w:sz w:val="32"/>
          <w:szCs w:val="32"/>
          <w:highlight w:val="none"/>
        </w:rPr>
        <w:t>名称：</w:t>
      </w:r>
      <w:r>
        <w:rPr>
          <w:rFonts w:hint="eastAsia" w:ascii="仿宋_GB2312" w:eastAsia="仿宋_GB2312"/>
          <w:color w:val="auto"/>
          <w:sz w:val="32"/>
          <w:szCs w:val="32"/>
          <w:highlight w:val="none"/>
          <w:lang w:val="en-US" w:eastAsia="zh-CN"/>
        </w:rPr>
        <w:t>救灾应急资金</w:t>
      </w:r>
    </w:p>
    <w:p>
      <w:pPr>
        <w:keepNext w:val="0"/>
        <w:keepLines w:val="0"/>
        <w:pageBreakBefore w:val="0"/>
        <w:widowControl w:val="0"/>
        <w:kinsoku/>
        <w:wordWrap/>
        <w:overflowPunct/>
        <w:topLinePunct w:val="0"/>
        <w:autoSpaceDE/>
        <w:autoSpaceDN/>
        <w:bidi w:val="0"/>
        <w:adjustRightInd/>
        <w:snapToGrid w:val="0"/>
        <w:spacing w:beforeLines="0" w:afterLines="0" w:line="360" w:lineRule="auto"/>
        <w:ind w:left="4158" w:leftChars="304" w:hanging="3520" w:hangingChars="11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对应“政策任务”数量：3项（家禽水产品及蔬菜瓜果应急收储奖补资金、红火蚁防控、应急种子储备及调拨）</w:t>
      </w:r>
    </w:p>
    <w:p>
      <w:pPr>
        <w:keepNext w:val="0"/>
        <w:keepLines w:val="0"/>
        <w:pageBreakBefore w:val="0"/>
        <w:widowControl w:val="0"/>
        <w:kinsoku/>
        <w:wordWrap/>
        <w:overflowPunct/>
        <w:topLinePunct w:val="0"/>
        <w:autoSpaceDE/>
        <w:autoSpaceDN/>
        <w:bidi w:val="0"/>
        <w:adjustRightInd/>
        <w:snapToGrid w:val="0"/>
        <w:spacing w:beforeLines="0" w:afterLines="0" w:line="36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省级预算部门：</w:t>
      </w:r>
      <w:r>
        <w:rPr>
          <w:rFonts w:hint="eastAsia" w:ascii="仿宋_GB2312" w:eastAsia="仿宋_GB2312"/>
          <w:color w:val="auto"/>
          <w:sz w:val="32"/>
          <w:szCs w:val="32"/>
          <w:highlight w:val="none"/>
          <w:lang w:eastAsia="zh-CN"/>
        </w:rPr>
        <w:t>广东省农业农村厅</w:t>
      </w:r>
    </w:p>
    <w:p>
      <w:pPr>
        <w:keepNext w:val="0"/>
        <w:keepLines w:val="0"/>
        <w:pageBreakBefore w:val="0"/>
        <w:widowControl w:val="0"/>
        <w:kinsoku/>
        <w:wordWrap/>
        <w:overflowPunct/>
        <w:topLinePunct w:val="0"/>
        <w:autoSpaceDE/>
        <w:autoSpaceDN/>
        <w:bidi w:val="0"/>
        <w:adjustRightInd/>
        <w:snapToGrid w:val="0"/>
        <w:spacing w:beforeLines="0" w:afterLines="0" w:line="360" w:lineRule="auto"/>
        <w:ind w:firstLine="640" w:firstLineChars="200"/>
        <w:textAlignment w:val="auto"/>
        <w:rPr>
          <w:rFonts w:hint="eastAsia" w:ascii="仿宋_GB2312" w:eastAsia="仿宋_GB2312"/>
          <w:color w:val="auto"/>
          <w:sz w:val="32"/>
          <w:szCs w:val="32"/>
          <w:highlight w:val="none"/>
          <w:lang w:val="en-US" w:eastAsia="zh-CN"/>
        </w:rPr>
      </w:pPr>
    </w:p>
    <w:p>
      <w:pPr>
        <w:pStyle w:val="2"/>
        <w:rPr>
          <w:rFonts w:hint="eastAsia" w:ascii="仿宋_GB2312" w:eastAsia="仿宋_GB2312"/>
          <w:color w:val="auto"/>
          <w:sz w:val="32"/>
          <w:szCs w:val="32"/>
          <w:highlight w:val="none"/>
          <w:lang w:val="en-US" w:eastAsia="zh-CN"/>
        </w:rPr>
      </w:pPr>
    </w:p>
    <w:p>
      <w:pPr>
        <w:rPr>
          <w:rFonts w:hint="eastAsia"/>
          <w:lang w:val="en-US" w:eastAsia="zh-CN"/>
        </w:rPr>
      </w:pPr>
    </w:p>
    <w:p>
      <w:pPr>
        <w:keepNext w:val="0"/>
        <w:keepLines w:val="0"/>
        <w:pageBreakBefore w:val="0"/>
        <w:widowControl w:val="0"/>
        <w:kinsoku/>
        <w:wordWrap/>
        <w:overflowPunct/>
        <w:topLinePunct w:val="0"/>
        <w:autoSpaceDE/>
        <w:autoSpaceDN/>
        <w:bidi w:val="0"/>
        <w:adjustRightInd/>
        <w:snapToGrid w:val="0"/>
        <w:spacing w:beforeLines="0" w:afterLines="0" w:line="360" w:lineRule="auto"/>
        <w:ind w:firstLine="640" w:firstLineChars="200"/>
        <w:jc w:val="center"/>
        <w:textAlignment w:val="auto"/>
        <w:rPr>
          <w:rFonts w:hint="eastAsia" w:ascii="仿宋_GB2312" w:eastAsia="仿宋_GB2312"/>
          <w:color w:val="auto"/>
          <w:sz w:val="32"/>
          <w:szCs w:val="32"/>
          <w:highlight w:val="none"/>
          <w:lang w:val="en-US" w:eastAsia="zh-CN"/>
        </w:rPr>
      </w:pPr>
      <w:bookmarkStart w:id="58" w:name="_GoBack"/>
      <w:bookmarkEnd w:id="58"/>
      <w:r>
        <w:rPr>
          <w:rFonts w:hint="eastAsia" w:ascii="仿宋_GB2312" w:eastAsia="仿宋_GB2312"/>
          <w:color w:val="auto"/>
          <w:sz w:val="32"/>
          <w:szCs w:val="32"/>
          <w:highlight w:val="none"/>
        </w:rPr>
        <w:t>填报日期：</w:t>
      </w:r>
      <w:r>
        <w:rPr>
          <w:rFonts w:hint="eastAsia" w:ascii="仿宋_GB2312" w:eastAsia="仿宋_GB2312"/>
          <w:color w:val="auto"/>
          <w:sz w:val="32"/>
          <w:szCs w:val="32"/>
          <w:highlight w:val="none"/>
          <w:lang w:val="en-US" w:eastAsia="zh-CN"/>
        </w:rPr>
        <w:t>2021年9月28日</w:t>
      </w:r>
    </w:p>
    <w:p>
      <w:pPr>
        <w:pStyle w:val="13"/>
        <w:pageBreakBefore w:val="0"/>
        <w:kinsoku/>
        <w:wordWrap/>
        <w:overflowPunct/>
        <w:topLinePunct w:val="0"/>
        <w:bidi w:val="0"/>
        <w:spacing w:before="0" w:after="0" w:line="360" w:lineRule="auto"/>
        <w:ind w:firstLine="640"/>
        <w:jc w:val="both"/>
        <w:outlineLvl w:val="9"/>
        <w:rPr>
          <w:rFonts w:hint="eastAsia" w:ascii="黑体" w:hAnsi="黑体"/>
          <w:bCs/>
          <w:color w:val="auto"/>
          <w:highlight w:val="none"/>
        </w:rPr>
      </w:pPr>
    </w:p>
    <w:p>
      <w:pPr>
        <w:rPr>
          <w:rFonts w:hint="eastAsia" w:ascii="黑体" w:hAnsi="黑体"/>
          <w:bCs/>
          <w:color w:val="auto"/>
          <w:highlight w:val="none"/>
        </w:rPr>
      </w:pPr>
    </w:p>
    <w:p>
      <w:pPr>
        <w:pStyle w:val="2"/>
        <w:rPr>
          <w:rFonts w:hint="eastAsia" w:ascii="黑体" w:hAnsi="黑体"/>
          <w:bCs/>
          <w:color w:val="auto"/>
          <w:highlight w:val="none"/>
        </w:rPr>
      </w:pPr>
    </w:p>
    <w:p>
      <w:pPr>
        <w:rPr>
          <w:rFonts w:hint="eastAsia" w:ascii="黑体" w:hAnsi="黑体"/>
          <w:bCs/>
          <w:color w:val="auto"/>
          <w:highlight w:val="none"/>
        </w:rPr>
      </w:pPr>
    </w:p>
    <w:p>
      <w:pPr>
        <w:rPr>
          <w:rFonts w:hint="eastAsia" w:ascii="仿宋_GB2312" w:eastAsia="仿宋_GB2312"/>
          <w:color w:val="auto"/>
          <w:sz w:val="32"/>
          <w:szCs w:val="32"/>
          <w:highlight w:val="none"/>
          <w:lang w:eastAsia="zh-CN"/>
        </w:rPr>
        <w:sectPr>
          <w:pgSz w:w="11906" w:h="16838"/>
          <w:pgMar w:top="2041" w:right="1417" w:bottom="1417" w:left="1531" w:header="851" w:footer="992" w:gutter="0"/>
          <w:pgNumType w:fmt="numberInDash"/>
          <w:cols w:space="720" w:num="1"/>
          <w:docGrid w:type="lines" w:linePitch="312" w:charSpace="0"/>
        </w:sectPr>
      </w:pPr>
    </w:p>
    <w:sdt>
      <w:sdtPr>
        <w:rPr>
          <w:rFonts w:ascii="宋体" w:hAnsi="宋体" w:eastAsia="宋体" w:cs="Times New Roman"/>
          <w:kern w:val="2"/>
          <w:sz w:val="21"/>
          <w:szCs w:val="24"/>
          <w:lang w:val="en-US" w:eastAsia="zh-CN" w:bidi="ar-SA"/>
        </w:rPr>
        <w:id w:val="200943089"/>
        <w:docPartObj>
          <w:docPartGallery w:val="Table of Contents"/>
          <w:docPartUnique/>
        </w:docPartObj>
      </w:sdtPr>
      <w:sdtEndPr>
        <w:rPr>
          <w:rFonts w:hint="eastAsia" w:ascii="黑体" w:hAnsi="黑体" w:eastAsia="黑体" w:cs="黑体"/>
          <w:b/>
          <w:bCs/>
          <w:kern w:val="2"/>
          <w:sz w:val="32"/>
          <w:szCs w:val="32"/>
          <w:lang w:val="en-US" w:eastAsia="zh-CN" w:bidi="ar-SA"/>
        </w:rPr>
      </w:sdtEndPr>
      <w:sdtContent>
        <w:p>
          <w:pPr>
            <w:spacing w:before="0" w:beforeLines="0" w:after="0" w:afterLines="0" w:line="240" w:lineRule="auto"/>
            <w:ind w:left="0" w:leftChars="0" w:right="0" w:rightChars="0" w:firstLine="0" w:firstLineChars="0"/>
            <w:jc w:val="center"/>
            <w:rPr>
              <w:rFonts w:hint="eastAsia" w:ascii="黑体" w:hAnsi="黑体" w:eastAsia="黑体" w:cs="黑体"/>
              <w:sz w:val="36"/>
              <w:szCs w:val="36"/>
            </w:rPr>
          </w:pPr>
          <w:bookmarkStart w:id="0" w:name="_Toc894549025_WPSOffice_Type2"/>
          <w:r>
            <w:rPr>
              <w:rFonts w:hint="eastAsia" w:ascii="黑体" w:hAnsi="黑体" w:eastAsia="黑体" w:cs="黑体"/>
              <w:sz w:val="36"/>
              <w:szCs w:val="36"/>
            </w:rPr>
            <w:t>目</w:t>
          </w:r>
          <w:r>
            <w:rPr>
              <w:rFonts w:hint="eastAsia" w:ascii="黑体" w:hAnsi="黑体" w:eastAsia="黑体" w:cs="黑体"/>
              <w:sz w:val="36"/>
              <w:szCs w:val="36"/>
              <w:lang w:val="en-US" w:eastAsia="zh-CN"/>
            </w:rPr>
            <w:t xml:space="preserve"> </w:t>
          </w:r>
          <w:r>
            <w:rPr>
              <w:rFonts w:hint="eastAsia" w:ascii="黑体" w:hAnsi="黑体" w:eastAsia="黑体" w:cs="黑体"/>
              <w:sz w:val="36"/>
              <w:szCs w:val="36"/>
            </w:rPr>
            <w:t>录</w:t>
          </w:r>
        </w:p>
        <w:p>
          <w:pPr>
            <w:pStyle w:val="60"/>
            <w:tabs>
              <w:tab w:val="right" w:leader="dot" w:pos="8958"/>
            </w:tabs>
            <w:rPr>
              <w:rFonts w:hint="eastAsia" w:ascii="黑体" w:hAnsi="黑体" w:eastAsia="黑体" w:cs="黑体"/>
              <w:sz w:val="32"/>
              <w:szCs w:val="32"/>
            </w:rPr>
          </w:pPr>
          <w:r>
            <w:rPr>
              <w:rFonts w:hint="eastAsia" w:ascii="黑体" w:hAnsi="黑体" w:eastAsia="黑体" w:cs="黑体"/>
              <w:b/>
              <w:bCs/>
              <w:sz w:val="32"/>
              <w:szCs w:val="32"/>
            </w:rPr>
            <w:fldChar w:fldCharType="begin"/>
          </w:r>
          <w:r>
            <w:rPr>
              <w:rFonts w:hint="eastAsia" w:ascii="黑体" w:hAnsi="黑体" w:eastAsia="黑体" w:cs="黑体"/>
              <w:sz w:val="32"/>
              <w:szCs w:val="32"/>
            </w:rPr>
            <w:instrText xml:space="preserve"> HYPERLINK \l _Toc1350573793_WPSOffice_Level1 </w:instrText>
          </w:r>
          <w:r>
            <w:rPr>
              <w:rFonts w:hint="eastAsia" w:ascii="黑体" w:hAnsi="黑体" w:eastAsia="黑体" w:cs="黑体"/>
              <w:b/>
              <w:bCs/>
              <w:sz w:val="32"/>
              <w:szCs w:val="32"/>
            </w:rPr>
            <w:fldChar w:fldCharType="separate"/>
          </w:r>
          <w:sdt>
            <w:sdtPr>
              <w:rPr>
                <w:rFonts w:hint="eastAsia" w:ascii="黑体" w:hAnsi="黑体" w:eastAsia="黑体" w:cs="黑体"/>
                <w:b/>
                <w:bCs/>
                <w:kern w:val="2"/>
                <w:sz w:val="32"/>
                <w:szCs w:val="32"/>
                <w:lang w:val="en-US" w:eastAsia="zh-CN" w:bidi="ar-SA"/>
              </w:rPr>
              <w:id w:val="200943089"/>
              <w:placeholder>
                <w:docPart w:val="{615eff18-0139-4ed9-9b29-4d2521d75bcf}"/>
              </w:placeholder>
            </w:sdtPr>
            <w:sdtEndPr>
              <w:rPr>
                <w:rFonts w:hint="eastAsia" w:ascii="黑体" w:hAnsi="黑体" w:eastAsia="黑体" w:cs="黑体"/>
                <w:b/>
                <w:bCs/>
                <w:kern w:val="2"/>
                <w:sz w:val="32"/>
                <w:szCs w:val="32"/>
                <w:lang w:val="en-US" w:eastAsia="zh-CN" w:bidi="ar-SA"/>
              </w:rPr>
            </w:sdtEndPr>
            <w:sdtContent>
              <w:r>
                <w:rPr>
                  <w:rFonts w:hint="eastAsia" w:ascii="黑体" w:hAnsi="黑体" w:eastAsia="黑体" w:cs="黑体"/>
                  <w:b/>
                  <w:bCs/>
                  <w:sz w:val="32"/>
                  <w:szCs w:val="32"/>
                </w:rPr>
                <w:t>一、基本情况</w:t>
              </w:r>
            </w:sdtContent>
          </w:sdt>
          <w:r>
            <w:rPr>
              <w:rFonts w:hint="eastAsia" w:ascii="黑体" w:hAnsi="黑体" w:eastAsia="黑体" w:cs="黑体"/>
              <w:b/>
              <w:bCs/>
              <w:sz w:val="32"/>
              <w:szCs w:val="32"/>
            </w:rPr>
            <w:tab/>
          </w:r>
          <w:bookmarkStart w:id="1" w:name="_Toc1350573793_WPSOffice_Level1Page"/>
          <w:r>
            <w:rPr>
              <w:rFonts w:hint="eastAsia" w:ascii="黑体" w:hAnsi="黑体" w:eastAsia="黑体" w:cs="黑体"/>
              <w:b/>
              <w:bCs/>
              <w:sz w:val="32"/>
              <w:szCs w:val="32"/>
            </w:rPr>
            <w:t>1</w:t>
          </w:r>
          <w:bookmarkEnd w:id="1"/>
          <w:r>
            <w:rPr>
              <w:rFonts w:hint="eastAsia" w:ascii="黑体" w:hAnsi="黑体" w:eastAsia="黑体" w:cs="黑体"/>
              <w:b/>
              <w:bCs/>
              <w:sz w:val="32"/>
              <w:szCs w:val="32"/>
            </w:rPr>
            <w:fldChar w:fldCharType="end"/>
          </w:r>
        </w:p>
        <w:p>
          <w:pPr>
            <w:pStyle w:val="61"/>
            <w:tabs>
              <w:tab w:val="right" w:leader="dot" w:pos="8958"/>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_Toc894549025_WPSOffice_Level2 </w:instrText>
          </w:r>
          <w:r>
            <w:rPr>
              <w:rFonts w:hint="eastAsia" w:ascii="仿宋_GB2312" w:hAnsi="仿宋_GB2312" w:eastAsia="仿宋_GB2312" w:cs="仿宋_GB2312"/>
              <w:sz w:val="32"/>
              <w:szCs w:val="32"/>
            </w:rPr>
            <w:fldChar w:fldCharType="separate"/>
          </w:r>
          <w:sdt>
            <w:sdtPr>
              <w:rPr>
                <w:rFonts w:hint="eastAsia" w:ascii="仿宋_GB2312" w:hAnsi="仿宋_GB2312" w:eastAsia="仿宋_GB2312" w:cs="仿宋_GB2312"/>
                <w:kern w:val="2"/>
                <w:sz w:val="32"/>
                <w:szCs w:val="32"/>
                <w:lang w:val="en-US" w:eastAsia="zh-CN" w:bidi="ar-SA"/>
              </w:rPr>
              <w:id w:val="200943089"/>
              <w:placeholder>
                <w:docPart w:val="{a0b09983-77af-4e8f-9937-1087c59ada69}"/>
              </w:placeholder>
            </w:sdtPr>
            <w:sdtEndPr>
              <w:rPr>
                <w:rFonts w:hint="eastAsia" w:ascii="仿宋_GB2312" w:hAnsi="仿宋_GB2312" w:eastAsia="仿宋_GB2312" w:cs="仿宋_GB2312"/>
                <w:kern w:val="2"/>
                <w:sz w:val="32"/>
                <w:szCs w:val="32"/>
                <w:lang w:val="en-US" w:eastAsia="zh-CN" w:bidi="ar-SA"/>
              </w:rPr>
            </w:sdtEndPr>
            <w:sdtContent>
              <w:r>
                <w:rPr>
                  <w:rFonts w:hint="eastAsia" w:ascii="仿宋_GB2312" w:hAnsi="仿宋_GB2312" w:eastAsia="仿宋_GB2312" w:cs="仿宋_GB2312"/>
                  <w:sz w:val="32"/>
                  <w:szCs w:val="32"/>
                </w:rPr>
                <w:t>（一） 资金安排情况</w:t>
              </w:r>
            </w:sdtContent>
          </w:sdt>
          <w:r>
            <w:rPr>
              <w:rFonts w:hint="eastAsia" w:ascii="仿宋_GB2312" w:hAnsi="仿宋_GB2312" w:eastAsia="仿宋_GB2312" w:cs="仿宋_GB2312"/>
              <w:sz w:val="32"/>
              <w:szCs w:val="32"/>
            </w:rPr>
            <w:tab/>
          </w:r>
          <w:bookmarkStart w:id="2" w:name="_Toc894549025_WPSOffice_Level2Page"/>
          <w:r>
            <w:rPr>
              <w:rFonts w:hint="eastAsia" w:ascii="仿宋_GB2312" w:hAnsi="仿宋_GB2312" w:eastAsia="仿宋_GB2312" w:cs="仿宋_GB2312"/>
              <w:sz w:val="32"/>
              <w:szCs w:val="32"/>
            </w:rPr>
            <w:t>1</w:t>
          </w:r>
          <w:bookmarkEnd w:id="2"/>
          <w:r>
            <w:rPr>
              <w:rFonts w:hint="eastAsia" w:ascii="仿宋_GB2312" w:hAnsi="仿宋_GB2312" w:eastAsia="仿宋_GB2312" w:cs="仿宋_GB2312"/>
              <w:sz w:val="32"/>
              <w:szCs w:val="32"/>
            </w:rPr>
            <w:fldChar w:fldCharType="end"/>
          </w:r>
        </w:p>
        <w:p>
          <w:pPr>
            <w:pStyle w:val="61"/>
            <w:tabs>
              <w:tab w:val="right" w:leader="dot" w:pos="8958"/>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_Toc965134885_WPSOffice_Level2 </w:instrText>
          </w:r>
          <w:r>
            <w:rPr>
              <w:rFonts w:hint="eastAsia" w:ascii="仿宋_GB2312" w:hAnsi="仿宋_GB2312" w:eastAsia="仿宋_GB2312" w:cs="仿宋_GB2312"/>
              <w:sz w:val="32"/>
              <w:szCs w:val="32"/>
            </w:rPr>
            <w:fldChar w:fldCharType="separate"/>
          </w:r>
          <w:sdt>
            <w:sdtPr>
              <w:rPr>
                <w:rFonts w:hint="eastAsia" w:ascii="仿宋_GB2312" w:hAnsi="仿宋_GB2312" w:eastAsia="仿宋_GB2312" w:cs="仿宋_GB2312"/>
                <w:kern w:val="2"/>
                <w:sz w:val="32"/>
                <w:szCs w:val="32"/>
                <w:lang w:val="en-US" w:eastAsia="zh-CN" w:bidi="ar-SA"/>
              </w:rPr>
              <w:id w:val="200943089"/>
              <w:placeholder>
                <w:docPart w:val="{b9e9535c-5361-44f5-9fff-19d033476650}"/>
              </w:placeholder>
            </w:sdtPr>
            <w:sdtEndPr>
              <w:rPr>
                <w:rFonts w:hint="eastAsia" w:ascii="仿宋_GB2312" w:hAnsi="仿宋_GB2312" w:eastAsia="仿宋_GB2312" w:cs="仿宋_GB2312"/>
                <w:kern w:val="2"/>
                <w:sz w:val="32"/>
                <w:szCs w:val="32"/>
                <w:lang w:val="en-US" w:eastAsia="zh-CN" w:bidi="ar-SA"/>
              </w:rPr>
            </w:sdtEndPr>
            <w:sdtContent>
              <w:r>
                <w:rPr>
                  <w:rFonts w:hint="eastAsia" w:ascii="仿宋_GB2312" w:hAnsi="仿宋_GB2312" w:eastAsia="仿宋_GB2312" w:cs="仿宋_GB2312"/>
                  <w:sz w:val="32"/>
                  <w:szCs w:val="32"/>
                </w:rPr>
                <w:t>（二） 资金分配方式和实施程序</w:t>
              </w:r>
            </w:sdtContent>
          </w:sdt>
          <w:r>
            <w:rPr>
              <w:rFonts w:hint="eastAsia" w:ascii="仿宋_GB2312" w:hAnsi="仿宋_GB2312" w:eastAsia="仿宋_GB2312" w:cs="仿宋_GB2312"/>
              <w:sz w:val="32"/>
              <w:szCs w:val="32"/>
            </w:rPr>
            <w:tab/>
          </w:r>
          <w:bookmarkStart w:id="3" w:name="_Toc965134885_WPSOffice_Level2Page"/>
          <w:r>
            <w:rPr>
              <w:rFonts w:hint="eastAsia" w:ascii="仿宋_GB2312" w:hAnsi="仿宋_GB2312" w:eastAsia="仿宋_GB2312" w:cs="仿宋_GB2312"/>
              <w:sz w:val="32"/>
              <w:szCs w:val="32"/>
            </w:rPr>
            <w:t>6</w:t>
          </w:r>
          <w:bookmarkEnd w:id="3"/>
          <w:r>
            <w:rPr>
              <w:rFonts w:hint="eastAsia" w:ascii="仿宋_GB2312" w:hAnsi="仿宋_GB2312" w:eastAsia="仿宋_GB2312" w:cs="仿宋_GB2312"/>
              <w:sz w:val="32"/>
              <w:szCs w:val="32"/>
            </w:rPr>
            <w:fldChar w:fldCharType="end"/>
          </w:r>
        </w:p>
        <w:p>
          <w:pPr>
            <w:pStyle w:val="61"/>
            <w:tabs>
              <w:tab w:val="right" w:leader="dot" w:pos="8958"/>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_Toc1359522698_WPSOffice_Level2 </w:instrText>
          </w:r>
          <w:r>
            <w:rPr>
              <w:rFonts w:hint="eastAsia" w:ascii="仿宋_GB2312" w:hAnsi="仿宋_GB2312" w:eastAsia="仿宋_GB2312" w:cs="仿宋_GB2312"/>
              <w:sz w:val="32"/>
              <w:szCs w:val="32"/>
            </w:rPr>
            <w:fldChar w:fldCharType="separate"/>
          </w:r>
          <w:sdt>
            <w:sdtPr>
              <w:rPr>
                <w:rFonts w:hint="eastAsia" w:ascii="仿宋_GB2312" w:hAnsi="仿宋_GB2312" w:eastAsia="仿宋_GB2312" w:cs="仿宋_GB2312"/>
                <w:kern w:val="2"/>
                <w:sz w:val="32"/>
                <w:szCs w:val="32"/>
                <w:lang w:val="en-US" w:eastAsia="zh-CN" w:bidi="ar-SA"/>
              </w:rPr>
              <w:id w:val="200943089"/>
              <w:placeholder>
                <w:docPart w:val="{39c23b56-7fb6-40fa-a642-fb39dfbcf1cf}"/>
              </w:placeholder>
            </w:sdtPr>
            <w:sdtEndPr>
              <w:rPr>
                <w:rFonts w:hint="eastAsia" w:ascii="仿宋_GB2312" w:hAnsi="仿宋_GB2312" w:eastAsia="仿宋_GB2312" w:cs="仿宋_GB2312"/>
                <w:kern w:val="2"/>
                <w:sz w:val="32"/>
                <w:szCs w:val="32"/>
                <w:lang w:val="en-US" w:eastAsia="zh-CN" w:bidi="ar-SA"/>
              </w:rPr>
            </w:sdtEndPr>
            <w:sdtContent>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主要用途</w:t>
              </w:r>
            </w:sdtContent>
          </w:sdt>
          <w:r>
            <w:rPr>
              <w:rFonts w:hint="eastAsia" w:ascii="仿宋_GB2312" w:hAnsi="仿宋_GB2312" w:eastAsia="仿宋_GB2312" w:cs="仿宋_GB2312"/>
              <w:sz w:val="32"/>
              <w:szCs w:val="32"/>
            </w:rPr>
            <w:tab/>
          </w:r>
          <w:bookmarkStart w:id="4" w:name="_Toc1359522698_WPSOffice_Level2Page"/>
          <w:r>
            <w:rPr>
              <w:rFonts w:hint="eastAsia" w:ascii="仿宋_GB2312" w:hAnsi="仿宋_GB2312" w:eastAsia="仿宋_GB2312" w:cs="仿宋_GB2312"/>
              <w:sz w:val="32"/>
              <w:szCs w:val="32"/>
            </w:rPr>
            <w:t>9</w:t>
          </w:r>
          <w:bookmarkEnd w:id="4"/>
          <w:r>
            <w:rPr>
              <w:rFonts w:hint="eastAsia" w:ascii="仿宋_GB2312" w:hAnsi="仿宋_GB2312" w:eastAsia="仿宋_GB2312" w:cs="仿宋_GB2312"/>
              <w:sz w:val="32"/>
              <w:szCs w:val="32"/>
            </w:rPr>
            <w:fldChar w:fldCharType="end"/>
          </w:r>
        </w:p>
        <w:p>
          <w:pPr>
            <w:pStyle w:val="61"/>
            <w:tabs>
              <w:tab w:val="right" w:leader="dot" w:pos="8958"/>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_Toc1775064553_WPSOffice_Level2 </w:instrText>
          </w:r>
          <w:r>
            <w:rPr>
              <w:rFonts w:hint="eastAsia" w:ascii="仿宋_GB2312" w:hAnsi="仿宋_GB2312" w:eastAsia="仿宋_GB2312" w:cs="仿宋_GB2312"/>
              <w:sz w:val="32"/>
              <w:szCs w:val="32"/>
            </w:rPr>
            <w:fldChar w:fldCharType="separate"/>
          </w:r>
          <w:sdt>
            <w:sdtPr>
              <w:rPr>
                <w:rFonts w:hint="eastAsia" w:ascii="仿宋_GB2312" w:hAnsi="仿宋_GB2312" w:eastAsia="仿宋_GB2312" w:cs="仿宋_GB2312"/>
                <w:kern w:val="2"/>
                <w:sz w:val="32"/>
                <w:szCs w:val="32"/>
                <w:lang w:val="en-US" w:eastAsia="zh-CN" w:bidi="ar-SA"/>
              </w:rPr>
              <w:id w:val="200943089"/>
              <w:placeholder>
                <w:docPart w:val="{c04e0eaf-a3c7-4754-87db-171451ed28c7}"/>
              </w:placeholder>
            </w:sdtPr>
            <w:sdtEndPr>
              <w:rPr>
                <w:rFonts w:hint="eastAsia" w:ascii="仿宋_GB2312" w:hAnsi="仿宋_GB2312" w:eastAsia="仿宋_GB2312" w:cs="仿宋_GB2312"/>
                <w:kern w:val="2"/>
                <w:sz w:val="32"/>
                <w:szCs w:val="32"/>
                <w:lang w:val="en-US" w:eastAsia="zh-CN" w:bidi="ar-SA"/>
              </w:rPr>
            </w:sdtEndPr>
            <w:sdtContent>
              <w:r>
                <w:rPr>
                  <w:rFonts w:hint="eastAsia" w:ascii="仿宋_GB2312" w:hAnsi="仿宋_GB2312" w:eastAsia="仿宋_GB2312" w:cs="仿宋_GB2312"/>
                  <w:sz w:val="32"/>
                  <w:szCs w:val="32"/>
                </w:rPr>
                <w:t>（四） 绩效目标</w:t>
              </w:r>
            </w:sdtContent>
          </w:sdt>
          <w:r>
            <w:rPr>
              <w:rFonts w:hint="eastAsia" w:ascii="仿宋_GB2312" w:hAnsi="仿宋_GB2312" w:eastAsia="仿宋_GB2312" w:cs="仿宋_GB2312"/>
              <w:sz w:val="32"/>
              <w:szCs w:val="32"/>
            </w:rPr>
            <w:tab/>
          </w:r>
          <w:bookmarkStart w:id="5" w:name="_Toc1775064553_WPSOffice_Level2Page"/>
          <w:r>
            <w:rPr>
              <w:rFonts w:hint="eastAsia" w:ascii="仿宋_GB2312" w:hAnsi="仿宋_GB2312" w:eastAsia="仿宋_GB2312" w:cs="仿宋_GB2312"/>
              <w:sz w:val="32"/>
              <w:szCs w:val="32"/>
            </w:rPr>
            <w:t>9</w:t>
          </w:r>
          <w:bookmarkEnd w:id="5"/>
          <w:r>
            <w:rPr>
              <w:rFonts w:hint="eastAsia" w:ascii="仿宋_GB2312" w:hAnsi="仿宋_GB2312" w:eastAsia="仿宋_GB2312" w:cs="仿宋_GB2312"/>
              <w:sz w:val="32"/>
              <w:szCs w:val="32"/>
            </w:rPr>
            <w:fldChar w:fldCharType="end"/>
          </w:r>
        </w:p>
        <w:p>
          <w:pPr>
            <w:pStyle w:val="60"/>
            <w:tabs>
              <w:tab w:val="right" w:leader="dot" w:pos="8958"/>
            </w:tabs>
            <w:rPr>
              <w:rFonts w:hint="eastAsia" w:ascii="黑体" w:hAnsi="黑体" w:eastAsia="黑体" w:cs="黑体"/>
              <w:sz w:val="32"/>
              <w:szCs w:val="32"/>
            </w:rPr>
          </w:pPr>
          <w:r>
            <w:rPr>
              <w:rFonts w:hint="eastAsia" w:ascii="黑体" w:hAnsi="黑体" w:eastAsia="黑体" w:cs="黑体"/>
              <w:b/>
              <w:bCs/>
              <w:sz w:val="32"/>
              <w:szCs w:val="32"/>
            </w:rPr>
            <w:fldChar w:fldCharType="begin"/>
          </w:r>
          <w:r>
            <w:rPr>
              <w:rFonts w:hint="eastAsia" w:ascii="黑体" w:hAnsi="黑体" w:eastAsia="黑体" w:cs="黑体"/>
              <w:sz w:val="32"/>
              <w:szCs w:val="32"/>
            </w:rPr>
            <w:instrText xml:space="preserve"> HYPERLINK \l _Toc894549025_WPSOffice_Level1 </w:instrText>
          </w:r>
          <w:r>
            <w:rPr>
              <w:rFonts w:hint="eastAsia" w:ascii="黑体" w:hAnsi="黑体" w:eastAsia="黑体" w:cs="黑体"/>
              <w:b/>
              <w:bCs/>
              <w:sz w:val="32"/>
              <w:szCs w:val="32"/>
            </w:rPr>
            <w:fldChar w:fldCharType="separate"/>
          </w:r>
          <w:sdt>
            <w:sdtPr>
              <w:rPr>
                <w:rFonts w:hint="eastAsia" w:ascii="黑体" w:hAnsi="黑体" w:eastAsia="黑体" w:cs="黑体"/>
                <w:b/>
                <w:bCs/>
                <w:kern w:val="2"/>
                <w:sz w:val="32"/>
                <w:szCs w:val="32"/>
                <w:lang w:val="en-US" w:eastAsia="zh-CN" w:bidi="ar-SA"/>
              </w:rPr>
              <w:id w:val="200943089"/>
              <w:placeholder>
                <w:docPart w:val="{72b7a64a-e4ae-4fba-8b9d-c8133ceb0625}"/>
              </w:placeholder>
            </w:sdtPr>
            <w:sdtEndPr>
              <w:rPr>
                <w:rFonts w:hint="eastAsia" w:ascii="黑体" w:hAnsi="黑体" w:eastAsia="黑体" w:cs="黑体"/>
                <w:b/>
                <w:bCs/>
                <w:kern w:val="2"/>
                <w:sz w:val="32"/>
                <w:szCs w:val="32"/>
                <w:lang w:val="en-US" w:eastAsia="zh-CN" w:bidi="ar-SA"/>
              </w:rPr>
            </w:sdtEndPr>
            <w:sdtContent>
              <w:r>
                <w:rPr>
                  <w:rFonts w:hint="eastAsia" w:ascii="黑体" w:hAnsi="黑体" w:eastAsia="黑体" w:cs="黑体"/>
                  <w:b/>
                  <w:bCs/>
                  <w:sz w:val="32"/>
                  <w:szCs w:val="32"/>
                </w:rPr>
                <w:t>二、自评情况</w:t>
              </w:r>
            </w:sdtContent>
          </w:sdt>
          <w:r>
            <w:rPr>
              <w:rFonts w:hint="eastAsia" w:ascii="黑体" w:hAnsi="黑体" w:eastAsia="黑体" w:cs="黑体"/>
              <w:b/>
              <w:bCs/>
              <w:sz w:val="32"/>
              <w:szCs w:val="32"/>
            </w:rPr>
            <w:tab/>
          </w:r>
          <w:bookmarkStart w:id="6" w:name="_Toc894549025_WPSOffice_Level1Page"/>
          <w:r>
            <w:rPr>
              <w:rFonts w:hint="eastAsia" w:ascii="黑体" w:hAnsi="黑体" w:eastAsia="黑体" w:cs="黑体"/>
              <w:b/>
              <w:bCs/>
              <w:sz w:val="32"/>
              <w:szCs w:val="32"/>
            </w:rPr>
            <w:t>10</w:t>
          </w:r>
          <w:bookmarkEnd w:id="6"/>
          <w:r>
            <w:rPr>
              <w:rFonts w:hint="eastAsia" w:ascii="黑体" w:hAnsi="黑体" w:eastAsia="黑体" w:cs="黑体"/>
              <w:b/>
              <w:bCs/>
              <w:sz w:val="32"/>
              <w:szCs w:val="32"/>
            </w:rPr>
            <w:fldChar w:fldCharType="end"/>
          </w:r>
        </w:p>
        <w:p>
          <w:pPr>
            <w:pStyle w:val="61"/>
            <w:tabs>
              <w:tab w:val="right" w:leader="dot" w:pos="8958"/>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_Toc1166071381_WPSOffice_Level2 </w:instrText>
          </w:r>
          <w:r>
            <w:rPr>
              <w:rFonts w:hint="eastAsia" w:ascii="仿宋_GB2312" w:hAnsi="仿宋_GB2312" w:eastAsia="仿宋_GB2312" w:cs="仿宋_GB2312"/>
              <w:sz w:val="32"/>
              <w:szCs w:val="32"/>
            </w:rPr>
            <w:fldChar w:fldCharType="separate"/>
          </w:r>
          <w:sdt>
            <w:sdtPr>
              <w:rPr>
                <w:rFonts w:hint="eastAsia" w:ascii="仿宋_GB2312" w:hAnsi="仿宋_GB2312" w:eastAsia="仿宋_GB2312" w:cs="仿宋_GB2312"/>
                <w:kern w:val="2"/>
                <w:sz w:val="32"/>
                <w:szCs w:val="32"/>
                <w:lang w:val="en-US" w:eastAsia="zh-CN" w:bidi="ar-SA"/>
              </w:rPr>
              <w:id w:val="200943089"/>
              <w:placeholder>
                <w:docPart w:val="{925ebf03-91e3-4e1e-ad93-18dc07ff9233}"/>
              </w:placeholder>
            </w:sdtPr>
            <w:sdtEndPr>
              <w:rPr>
                <w:rFonts w:hint="eastAsia" w:ascii="仿宋_GB2312" w:hAnsi="仿宋_GB2312" w:eastAsia="仿宋_GB2312" w:cs="仿宋_GB2312"/>
                <w:kern w:val="2"/>
                <w:sz w:val="32"/>
                <w:szCs w:val="32"/>
                <w:lang w:val="en-US" w:eastAsia="zh-CN" w:bidi="ar-SA"/>
              </w:rPr>
            </w:sdtEndPr>
            <w:sdtContent>
              <w:r>
                <w:rPr>
                  <w:rFonts w:hint="eastAsia" w:ascii="仿宋_GB2312" w:hAnsi="仿宋_GB2312" w:eastAsia="仿宋_GB2312" w:cs="仿宋_GB2312"/>
                  <w:sz w:val="32"/>
                  <w:szCs w:val="32"/>
                </w:rPr>
                <w:t>（一）自评分数</w:t>
              </w:r>
            </w:sdtContent>
          </w:sdt>
          <w:r>
            <w:rPr>
              <w:rFonts w:hint="eastAsia" w:ascii="仿宋_GB2312" w:hAnsi="仿宋_GB2312" w:eastAsia="仿宋_GB2312" w:cs="仿宋_GB2312"/>
              <w:sz w:val="32"/>
              <w:szCs w:val="32"/>
            </w:rPr>
            <w:tab/>
          </w:r>
          <w:bookmarkStart w:id="7" w:name="_Toc1166071381_WPSOffice_Level2Page"/>
          <w:r>
            <w:rPr>
              <w:rFonts w:hint="eastAsia" w:ascii="仿宋_GB2312" w:hAnsi="仿宋_GB2312" w:eastAsia="仿宋_GB2312" w:cs="仿宋_GB2312"/>
              <w:sz w:val="32"/>
              <w:szCs w:val="32"/>
            </w:rPr>
            <w:t>10</w:t>
          </w:r>
          <w:bookmarkEnd w:id="7"/>
          <w:r>
            <w:rPr>
              <w:rFonts w:hint="eastAsia" w:ascii="仿宋_GB2312" w:hAnsi="仿宋_GB2312" w:eastAsia="仿宋_GB2312" w:cs="仿宋_GB2312"/>
              <w:sz w:val="32"/>
              <w:szCs w:val="32"/>
            </w:rPr>
            <w:fldChar w:fldCharType="end"/>
          </w:r>
        </w:p>
        <w:p>
          <w:pPr>
            <w:pStyle w:val="61"/>
            <w:tabs>
              <w:tab w:val="right" w:leader="dot" w:pos="8958"/>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_Toc2084656160_WPSOffice_Level2 </w:instrText>
          </w:r>
          <w:r>
            <w:rPr>
              <w:rFonts w:hint="eastAsia" w:ascii="仿宋_GB2312" w:hAnsi="仿宋_GB2312" w:eastAsia="仿宋_GB2312" w:cs="仿宋_GB2312"/>
              <w:sz w:val="32"/>
              <w:szCs w:val="32"/>
            </w:rPr>
            <w:fldChar w:fldCharType="separate"/>
          </w:r>
          <w:sdt>
            <w:sdtPr>
              <w:rPr>
                <w:rFonts w:hint="eastAsia" w:ascii="仿宋_GB2312" w:hAnsi="仿宋_GB2312" w:eastAsia="仿宋_GB2312" w:cs="仿宋_GB2312"/>
                <w:kern w:val="2"/>
                <w:sz w:val="32"/>
                <w:szCs w:val="32"/>
                <w:lang w:val="en-US" w:eastAsia="zh-CN" w:bidi="ar-SA"/>
              </w:rPr>
              <w:id w:val="200943089"/>
              <w:placeholder>
                <w:docPart w:val="{33882c6e-a91f-419d-9450-6d2c01ff5f20}"/>
              </w:placeholder>
            </w:sdtPr>
            <w:sdtEndPr>
              <w:rPr>
                <w:rFonts w:hint="eastAsia" w:ascii="仿宋_GB2312" w:hAnsi="仿宋_GB2312" w:eastAsia="仿宋_GB2312" w:cs="仿宋_GB2312"/>
                <w:kern w:val="2"/>
                <w:sz w:val="32"/>
                <w:szCs w:val="32"/>
                <w:lang w:val="en-US" w:eastAsia="zh-CN" w:bidi="ar-SA"/>
              </w:rPr>
            </w:sdtEndPr>
            <w:sdtContent>
              <w:r>
                <w:rPr>
                  <w:rFonts w:hint="eastAsia" w:ascii="仿宋_GB2312" w:hAnsi="仿宋_GB2312" w:eastAsia="仿宋_GB2312" w:cs="仿宋_GB2312"/>
                  <w:sz w:val="32"/>
                  <w:szCs w:val="32"/>
                </w:rPr>
                <w:t>（二）专项资金使用绩效</w:t>
              </w:r>
            </w:sdtContent>
          </w:sdt>
          <w:r>
            <w:rPr>
              <w:rFonts w:hint="eastAsia" w:ascii="仿宋_GB2312" w:hAnsi="仿宋_GB2312" w:eastAsia="仿宋_GB2312" w:cs="仿宋_GB2312"/>
              <w:sz w:val="32"/>
              <w:szCs w:val="32"/>
            </w:rPr>
            <w:tab/>
          </w:r>
          <w:bookmarkStart w:id="8" w:name="_Toc2084656160_WPSOffice_Level2Page"/>
          <w:r>
            <w:rPr>
              <w:rFonts w:hint="eastAsia" w:ascii="仿宋_GB2312" w:hAnsi="仿宋_GB2312" w:eastAsia="仿宋_GB2312" w:cs="仿宋_GB2312"/>
              <w:sz w:val="32"/>
              <w:szCs w:val="32"/>
            </w:rPr>
            <w:t>14</w:t>
          </w:r>
          <w:bookmarkEnd w:id="8"/>
          <w:r>
            <w:rPr>
              <w:rFonts w:hint="eastAsia" w:ascii="仿宋_GB2312" w:hAnsi="仿宋_GB2312" w:eastAsia="仿宋_GB2312" w:cs="仿宋_GB2312"/>
              <w:sz w:val="32"/>
              <w:szCs w:val="32"/>
            </w:rPr>
            <w:fldChar w:fldCharType="end"/>
          </w:r>
        </w:p>
        <w:p>
          <w:pPr>
            <w:pStyle w:val="61"/>
            <w:tabs>
              <w:tab w:val="right" w:leader="dot" w:pos="8958"/>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_Toc849506390_WPSOffice_Level2 </w:instrText>
          </w:r>
          <w:r>
            <w:rPr>
              <w:rFonts w:hint="eastAsia" w:ascii="仿宋_GB2312" w:hAnsi="仿宋_GB2312" w:eastAsia="仿宋_GB2312" w:cs="仿宋_GB2312"/>
              <w:sz w:val="32"/>
              <w:szCs w:val="32"/>
            </w:rPr>
            <w:fldChar w:fldCharType="separate"/>
          </w:r>
          <w:sdt>
            <w:sdtPr>
              <w:rPr>
                <w:rFonts w:hint="eastAsia" w:ascii="仿宋_GB2312" w:hAnsi="仿宋_GB2312" w:eastAsia="仿宋_GB2312" w:cs="仿宋_GB2312"/>
                <w:kern w:val="2"/>
                <w:sz w:val="32"/>
                <w:szCs w:val="32"/>
                <w:lang w:val="en-US" w:eastAsia="zh-CN" w:bidi="ar-SA"/>
              </w:rPr>
              <w:id w:val="200943089"/>
              <w:placeholder>
                <w:docPart w:val="{04d808bf-63c1-48eb-96d5-2892d0547ff6}"/>
              </w:placeholder>
            </w:sdtPr>
            <w:sdtEndPr>
              <w:rPr>
                <w:rFonts w:hint="eastAsia" w:ascii="仿宋_GB2312" w:hAnsi="仿宋_GB2312" w:eastAsia="仿宋_GB2312" w:cs="仿宋_GB2312"/>
                <w:kern w:val="2"/>
                <w:sz w:val="32"/>
                <w:szCs w:val="32"/>
                <w:lang w:val="en-US" w:eastAsia="zh-CN" w:bidi="ar-SA"/>
              </w:rPr>
            </w:sdtEndPr>
            <w:sdtContent>
              <w:r>
                <w:rPr>
                  <w:rFonts w:hint="eastAsia" w:ascii="仿宋_GB2312" w:hAnsi="仿宋_GB2312" w:eastAsia="仿宋_GB2312" w:cs="仿宋_GB2312"/>
                  <w:sz w:val="32"/>
                  <w:szCs w:val="32"/>
                </w:rPr>
                <w:t>（三）专项资金使用绩效存在的问题</w:t>
              </w:r>
            </w:sdtContent>
          </w:sdt>
          <w:r>
            <w:rPr>
              <w:rFonts w:hint="eastAsia" w:ascii="仿宋_GB2312" w:hAnsi="仿宋_GB2312" w:eastAsia="仿宋_GB2312" w:cs="仿宋_GB2312"/>
              <w:sz w:val="32"/>
              <w:szCs w:val="32"/>
            </w:rPr>
            <w:tab/>
          </w:r>
          <w:bookmarkStart w:id="9" w:name="_Toc849506390_WPSOffice_Level2Page"/>
          <w:r>
            <w:rPr>
              <w:rFonts w:hint="eastAsia" w:ascii="仿宋_GB2312" w:hAnsi="仿宋_GB2312" w:eastAsia="仿宋_GB2312" w:cs="仿宋_GB2312"/>
              <w:sz w:val="32"/>
              <w:szCs w:val="32"/>
            </w:rPr>
            <w:t>19</w:t>
          </w:r>
          <w:bookmarkEnd w:id="9"/>
          <w:r>
            <w:rPr>
              <w:rFonts w:hint="eastAsia" w:ascii="仿宋_GB2312" w:hAnsi="仿宋_GB2312" w:eastAsia="仿宋_GB2312" w:cs="仿宋_GB2312"/>
              <w:sz w:val="32"/>
              <w:szCs w:val="32"/>
            </w:rPr>
            <w:fldChar w:fldCharType="end"/>
          </w:r>
        </w:p>
        <w:p>
          <w:pPr>
            <w:pStyle w:val="60"/>
            <w:tabs>
              <w:tab w:val="right" w:leader="dot" w:pos="8958"/>
            </w:tabs>
            <w:rPr>
              <w:rFonts w:hint="eastAsia" w:ascii="黑体" w:hAnsi="黑体" w:eastAsia="黑体" w:cs="黑体"/>
              <w:sz w:val="32"/>
              <w:szCs w:val="32"/>
            </w:rPr>
          </w:pPr>
          <w:r>
            <w:rPr>
              <w:rFonts w:hint="eastAsia" w:ascii="黑体" w:hAnsi="黑体" w:eastAsia="黑体" w:cs="黑体"/>
              <w:b/>
              <w:bCs/>
              <w:sz w:val="32"/>
              <w:szCs w:val="32"/>
            </w:rPr>
            <w:fldChar w:fldCharType="begin"/>
          </w:r>
          <w:r>
            <w:rPr>
              <w:rFonts w:hint="eastAsia" w:ascii="黑体" w:hAnsi="黑体" w:eastAsia="黑体" w:cs="黑体"/>
              <w:sz w:val="32"/>
              <w:szCs w:val="32"/>
            </w:rPr>
            <w:instrText xml:space="preserve"> HYPERLINK \l _Toc965134885_WPSOffice_Level1 </w:instrText>
          </w:r>
          <w:r>
            <w:rPr>
              <w:rFonts w:hint="eastAsia" w:ascii="黑体" w:hAnsi="黑体" w:eastAsia="黑体" w:cs="黑体"/>
              <w:b/>
              <w:bCs/>
              <w:sz w:val="32"/>
              <w:szCs w:val="32"/>
            </w:rPr>
            <w:fldChar w:fldCharType="separate"/>
          </w:r>
          <w:sdt>
            <w:sdtPr>
              <w:rPr>
                <w:rFonts w:hint="eastAsia" w:ascii="黑体" w:hAnsi="黑体" w:eastAsia="黑体" w:cs="黑体"/>
                <w:b/>
                <w:bCs/>
                <w:kern w:val="2"/>
                <w:sz w:val="32"/>
                <w:szCs w:val="32"/>
                <w:lang w:val="en-US" w:eastAsia="zh-CN" w:bidi="ar-SA"/>
              </w:rPr>
              <w:id w:val="200943089"/>
              <w:placeholder>
                <w:docPart w:val="{d9ae6954-6419-47e3-a241-ba8b46109179}"/>
              </w:placeholder>
            </w:sdtPr>
            <w:sdtEndPr>
              <w:rPr>
                <w:rFonts w:hint="eastAsia" w:ascii="黑体" w:hAnsi="黑体" w:eastAsia="黑体" w:cs="黑体"/>
                <w:b/>
                <w:bCs/>
                <w:kern w:val="2"/>
                <w:sz w:val="32"/>
                <w:szCs w:val="32"/>
                <w:lang w:val="en-US" w:eastAsia="zh-CN" w:bidi="ar-SA"/>
              </w:rPr>
            </w:sdtEndPr>
            <w:sdtContent>
              <w:r>
                <w:rPr>
                  <w:rFonts w:hint="eastAsia" w:ascii="黑体" w:hAnsi="黑体" w:eastAsia="黑体" w:cs="黑体"/>
                  <w:b/>
                  <w:bCs/>
                  <w:sz w:val="32"/>
                  <w:szCs w:val="32"/>
                </w:rPr>
                <w:t>三、改进意见</w:t>
              </w:r>
            </w:sdtContent>
          </w:sdt>
          <w:r>
            <w:rPr>
              <w:rFonts w:hint="eastAsia" w:ascii="黑体" w:hAnsi="黑体" w:eastAsia="黑体" w:cs="黑体"/>
              <w:b/>
              <w:bCs/>
              <w:sz w:val="32"/>
              <w:szCs w:val="32"/>
            </w:rPr>
            <w:tab/>
          </w:r>
          <w:bookmarkStart w:id="10" w:name="_Toc965134885_WPSOffice_Level1Page"/>
          <w:r>
            <w:rPr>
              <w:rFonts w:hint="eastAsia" w:ascii="黑体" w:hAnsi="黑体" w:eastAsia="黑体" w:cs="黑体"/>
              <w:b/>
              <w:bCs/>
              <w:sz w:val="32"/>
              <w:szCs w:val="32"/>
            </w:rPr>
            <w:t>20</w:t>
          </w:r>
          <w:bookmarkEnd w:id="10"/>
          <w:r>
            <w:rPr>
              <w:rFonts w:hint="eastAsia" w:ascii="黑体" w:hAnsi="黑体" w:eastAsia="黑体" w:cs="黑体"/>
              <w:b/>
              <w:bCs/>
              <w:sz w:val="32"/>
              <w:szCs w:val="32"/>
            </w:rPr>
            <w:fldChar w:fldCharType="end"/>
          </w:r>
          <w:bookmarkEnd w:id="0"/>
        </w:p>
      </w:sdtContent>
    </w:sdt>
    <w:p>
      <w:pPr>
        <w:ind w:firstLine="640" w:firstLineChars="200"/>
        <w:rPr>
          <w:rFonts w:hint="eastAsia" w:ascii="仿宋_GB2312" w:eastAsia="仿宋_GB2312"/>
          <w:color w:val="auto"/>
          <w:sz w:val="32"/>
          <w:szCs w:val="32"/>
          <w:highlight w:val="none"/>
          <w:lang w:eastAsia="zh-CN"/>
        </w:rPr>
        <w:sectPr>
          <w:footerReference r:id="rId3" w:type="default"/>
          <w:pgSz w:w="11906" w:h="16838"/>
          <w:pgMar w:top="2041" w:right="1417" w:bottom="1417" w:left="1531" w:header="851" w:footer="992" w:gutter="0"/>
          <w:pgNumType w:fmt="numberInDash" w:start="1"/>
          <w:cols w:space="720" w:num="1"/>
          <w:docGrid w:type="lines" w:linePitch="312" w:charSpace="0"/>
        </w:sectPr>
      </w:pPr>
    </w:p>
    <w:p>
      <w:pPr>
        <w:ind w:firstLine="640" w:firstLineChars="200"/>
        <w:rPr>
          <w:rFonts w:hint="default" w:ascii="黑体" w:hAnsi="黑体" w:eastAsia="黑体"/>
          <w:bCs/>
          <w:color w:val="auto"/>
          <w:highlight w:val="none"/>
          <w:lang w:val="en-US" w:eastAsia="zh-CN"/>
        </w:rPr>
      </w:pPr>
      <w:r>
        <w:rPr>
          <w:rFonts w:hint="eastAsia" w:ascii="仿宋_GB2312" w:eastAsia="仿宋_GB2312"/>
          <w:color w:val="auto"/>
          <w:sz w:val="32"/>
          <w:szCs w:val="32"/>
          <w:highlight w:val="none"/>
          <w:lang w:eastAsia="zh-CN"/>
        </w:rPr>
        <w:t>为检验20</w:t>
      </w:r>
      <w:r>
        <w:rPr>
          <w:rFonts w:hint="eastAsia" w:ascii="仿宋_GB2312" w:eastAsia="仿宋_GB2312"/>
          <w:color w:val="auto"/>
          <w:sz w:val="32"/>
          <w:szCs w:val="32"/>
          <w:highlight w:val="none"/>
          <w:lang w:val="en-US" w:eastAsia="zh-CN"/>
        </w:rPr>
        <w:t>20</w:t>
      </w:r>
      <w:r>
        <w:rPr>
          <w:rFonts w:hint="eastAsia" w:ascii="仿宋_GB2312" w:eastAsia="仿宋_GB2312"/>
          <w:color w:val="auto"/>
          <w:sz w:val="32"/>
          <w:szCs w:val="32"/>
          <w:highlight w:val="none"/>
          <w:lang w:eastAsia="zh-CN"/>
        </w:rPr>
        <w:t>年省级财政防灾救灾</w:t>
      </w:r>
      <w:r>
        <w:rPr>
          <w:rFonts w:hint="eastAsia" w:ascii="仿宋_GB2312" w:eastAsia="仿宋_GB2312"/>
          <w:color w:val="auto"/>
          <w:sz w:val="32"/>
          <w:szCs w:val="32"/>
          <w:highlight w:val="none"/>
          <w:lang w:val="en-US" w:eastAsia="zh-CN"/>
        </w:rPr>
        <w:t>应急资金</w:t>
      </w:r>
      <w:r>
        <w:rPr>
          <w:rFonts w:hint="eastAsia" w:ascii="仿宋_GB2312" w:eastAsia="仿宋_GB2312"/>
          <w:color w:val="auto"/>
          <w:sz w:val="32"/>
          <w:szCs w:val="32"/>
          <w:highlight w:val="none"/>
          <w:lang w:eastAsia="zh-CN"/>
        </w:rPr>
        <w:t>使用绩效，考核专项资金预期绩效目标的实现程度、支出效率和综合效果，</w:t>
      </w:r>
      <w:r>
        <w:rPr>
          <w:rFonts w:hint="eastAsia" w:ascii="仿宋_GB2312" w:hAnsi="Times New Roman" w:eastAsia="仿宋_GB2312" w:cs="Times New Roman"/>
          <w:b w:val="0"/>
          <w:bCs w:val="0"/>
          <w:color w:val="auto"/>
          <w:kern w:val="2"/>
          <w:sz w:val="32"/>
          <w:szCs w:val="32"/>
          <w:highlight w:val="none"/>
          <w:lang w:val="en-US" w:eastAsia="zh-CN" w:bidi="ar-SA"/>
        </w:rPr>
        <w:t>根据《广东省财政厅关于开展2021年省级财政资金绩效自评工作的通知》和《关于做好省农业农村厅2021年省级财政资金绩效自评工作的通知》，我厅对</w:t>
      </w:r>
      <w:r>
        <w:rPr>
          <w:rFonts w:hint="eastAsia" w:ascii="仿宋_GB2312" w:eastAsia="仿宋_GB2312"/>
          <w:color w:val="auto"/>
          <w:sz w:val="32"/>
          <w:szCs w:val="32"/>
          <w:highlight w:val="none"/>
          <w:lang w:eastAsia="zh-CN"/>
        </w:rPr>
        <w:t>20</w:t>
      </w:r>
      <w:r>
        <w:rPr>
          <w:rFonts w:hint="eastAsia" w:ascii="仿宋_GB2312" w:eastAsia="仿宋_GB2312"/>
          <w:color w:val="auto"/>
          <w:sz w:val="32"/>
          <w:szCs w:val="32"/>
          <w:highlight w:val="none"/>
          <w:lang w:val="en-US" w:eastAsia="zh-CN"/>
        </w:rPr>
        <w:t>20</w:t>
      </w:r>
      <w:r>
        <w:rPr>
          <w:rFonts w:hint="eastAsia" w:ascii="仿宋_GB2312" w:eastAsia="仿宋_GB2312"/>
          <w:color w:val="auto"/>
          <w:sz w:val="32"/>
          <w:szCs w:val="32"/>
          <w:highlight w:val="none"/>
          <w:lang w:eastAsia="zh-CN"/>
        </w:rPr>
        <w:t>年省级财政防灾救灾</w:t>
      </w:r>
      <w:r>
        <w:rPr>
          <w:rFonts w:hint="eastAsia" w:ascii="仿宋_GB2312" w:eastAsia="仿宋_GB2312"/>
          <w:color w:val="auto"/>
          <w:sz w:val="32"/>
          <w:szCs w:val="32"/>
          <w:highlight w:val="none"/>
          <w:lang w:val="en-US" w:eastAsia="zh-CN"/>
        </w:rPr>
        <w:t>应急资金</w:t>
      </w:r>
      <w:r>
        <w:rPr>
          <w:rFonts w:hint="eastAsia" w:ascii="仿宋_GB2312" w:eastAsia="仿宋_GB2312"/>
          <w:color w:val="auto"/>
          <w:sz w:val="32"/>
          <w:highlight w:val="none"/>
          <w:lang w:val="en-US" w:eastAsia="zh-CN"/>
        </w:rPr>
        <w:t>（对应政策任务共3项）</w:t>
      </w:r>
      <w:r>
        <w:rPr>
          <w:rFonts w:hint="eastAsia" w:ascii="仿宋_GB2312" w:hAnsi="Times New Roman" w:eastAsia="仿宋_GB2312" w:cs="Times New Roman"/>
          <w:b w:val="0"/>
          <w:bCs w:val="0"/>
          <w:color w:val="auto"/>
          <w:kern w:val="2"/>
          <w:sz w:val="32"/>
          <w:szCs w:val="32"/>
          <w:highlight w:val="none"/>
          <w:lang w:val="en-US" w:eastAsia="zh-CN" w:bidi="ar-SA"/>
        </w:rPr>
        <w:t>使用情况组织开展</w:t>
      </w:r>
      <w:r>
        <w:rPr>
          <w:rFonts w:hint="eastAsia" w:ascii="仿宋_GB2312" w:eastAsia="仿宋_GB2312" w:cs="Times New Roman"/>
          <w:b w:val="0"/>
          <w:bCs w:val="0"/>
          <w:color w:val="auto"/>
          <w:kern w:val="2"/>
          <w:sz w:val="32"/>
          <w:szCs w:val="32"/>
          <w:highlight w:val="none"/>
          <w:lang w:val="en-US" w:eastAsia="zh-CN" w:bidi="ar-SA"/>
        </w:rPr>
        <w:t>了</w:t>
      </w:r>
      <w:r>
        <w:rPr>
          <w:rFonts w:hint="eastAsia" w:ascii="仿宋_GB2312" w:hAnsi="Times New Roman" w:eastAsia="仿宋_GB2312" w:cs="Times New Roman"/>
          <w:b w:val="0"/>
          <w:bCs w:val="0"/>
          <w:color w:val="auto"/>
          <w:kern w:val="2"/>
          <w:sz w:val="32"/>
          <w:szCs w:val="32"/>
          <w:highlight w:val="none"/>
          <w:lang w:val="en-US" w:eastAsia="zh-CN" w:bidi="ar-SA"/>
        </w:rPr>
        <w:t>绩效自评。</w:t>
      </w:r>
      <w:r>
        <w:rPr>
          <w:rFonts w:hint="eastAsia" w:ascii="仿宋_GB2312" w:eastAsia="仿宋_GB2312" w:cs="Times New Roman"/>
          <w:b w:val="0"/>
          <w:bCs w:val="0"/>
          <w:color w:val="auto"/>
          <w:kern w:val="2"/>
          <w:sz w:val="32"/>
          <w:szCs w:val="32"/>
          <w:highlight w:val="none"/>
          <w:lang w:val="en-US" w:eastAsia="zh-CN" w:bidi="ar-SA"/>
        </w:rPr>
        <w:t>评价基准日2021年3月31日。</w:t>
      </w:r>
    </w:p>
    <w:p>
      <w:pPr>
        <w:pStyle w:val="13"/>
        <w:pageBreakBefore w:val="0"/>
        <w:kinsoku/>
        <w:wordWrap/>
        <w:overflowPunct/>
        <w:topLinePunct w:val="0"/>
        <w:bidi w:val="0"/>
        <w:spacing w:before="0" w:after="0" w:line="360" w:lineRule="auto"/>
        <w:ind w:firstLine="640"/>
        <w:jc w:val="both"/>
        <w:rPr>
          <w:rFonts w:hint="eastAsia" w:ascii="黑体" w:hAnsi="黑体"/>
          <w:bCs/>
          <w:color w:val="auto"/>
          <w:highlight w:val="none"/>
        </w:rPr>
      </w:pPr>
      <w:bookmarkStart w:id="11" w:name="_Toc1350573793_WPSOffice_Level1"/>
      <w:r>
        <w:rPr>
          <w:rFonts w:hint="eastAsia" w:ascii="黑体" w:hAnsi="黑体"/>
          <w:bCs/>
          <w:color w:val="auto"/>
          <w:highlight w:val="none"/>
        </w:rPr>
        <w:t>一、基本情况</w:t>
      </w:r>
      <w:bookmarkEnd w:id="11"/>
    </w:p>
    <w:p>
      <w:pPr>
        <w:pStyle w:val="3"/>
        <w:pageBreakBefore w:val="0"/>
        <w:numPr>
          <w:ilvl w:val="0"/>
          <w:numId w:val="1"/>
        </w:numPr>
        <w:kinsoku/>
        <w:wordWrap/>
        <w:overflowPunct/>
        <w:topLinePunct w:val="0"/>
        <w:bidi w:val="0"/>
        <w:spacing w:before="0" w:after="0" w:line="360" w:lineRule="auto"/>
        <w:ind w:firstLine="642" w:firstLineChars="200"/>
        <w:outlineLvl w:val="1"/>
        <w:rPr>
          <w:rFonts w:hint="eastAsia" w:ascii="Calibri" w:hAnsi="宋体" w:eastAsia="楷体_GB2312" w:cs="Times New Roman"/>
          <w:b/>
          <w:bCs/>
          <w:color w:val="auto"/>
          <w:kern w:val="44"/>
          <w:sz w:val="32"/>
          <w:szCs w:val="44"/>
          <w:highlight w:val="none"/>
          <w:lang w:val="en-US" w:eastAsia="zh-CN" w:bidi="ar-SA"/>
        </w:rPr>
      </w:pPr>
      <w:bookmarkStart w:id="12" w:name="_Toc4131"/>
      <w:bookmarkStart w:id="13" w:name="_Toc23702"/>
      <w:bookmarkStart w:id="14" w:name="_Toc894549025_WPSOffice_Level2"/>
      <w:r>
        <w:rPr>
          <w:rFonts w:hint="eastAsia" w:ascii="Calibri" w:hAnsi="宋体" w:eastAsia="楷体_GB2312" w:cs="Times New Roman"/>
          <w:b/>
          <w:bCs/>
          <w:color w:val="auto"/>
          <w:kern w:val="44"/>
          <w:sz w:val="32"/>
          <w:szCs w:val="44"/>
          <w:highlight w:val="none"/>
          <w:lang w:val="en-US" w:eastAsia="zh-CN" w:bidi="ar-SA"/>
        </w:rPr>
        <w:t>资金安排情况</w:t>
      </w:r>
      <w:bookmarkEnd w:id="12"/>
      <w:bookmarkEnd w:id="13"/>
      <w:bookmarkEnd w:id="14"/>
    </w:p>
    <w:p>
      <w:pPr>
        <w:pageBreakBefore w:val="0"/>
        <w:kinsoku/>
        <w:wordWrap/>
        <w:overflowPunct/>
        <w:topLinePunct w:val="0"/>
        <w:bidi w:val="0"/>
        <w:snapToGrid w:val="0"/>
        <w:spacing w:beforeLines="0" w:afterLines="0" w:line="360" w:lineRule="auto"/>
        <w:ind w:firstLine="640" w:firstLineChars="200"/>
        <w:rPr>
          <w:rFonts w:hint="eastAsia" w:ascii="仿宋_GB2312" w:eastAsia="仿宋_GB2312"/>
          <w:color w:val="auto"/>
          <w:sz w:val="32"/>
          <w:highlight w:val="none"/>
          <w:lang w:val="en-US" w:eastAsia="zh-CN"/>
        </w:rPr>
      </w:pPr>
      <w:r>
        <w:rPr>
          <w:rFonts w:hint="eastAsia" w:ascii="仿宋_GB2312" w:eastAsia="仿宋_GB2312"/>
          <w:color w:val="auto"/>
          <w:sz w:val="32"/>
          <w:szCs w:val="32"/>
          <w:highlight w:val="none"/>
          <w:lang w:eastAsia="zh-CN"/>
        </w:rPr>
        <w:t>20</w:t>
      </w:r>
      <w:r>
        <w:rPr>
          <w:rFonts w:hint="eastAsia" w:ascii="仿宋_GB2312" w:eastAsia="仿宋_GB2312"/>
          <w:color w:val="auto"/>
          <w:sz w:val="32"/>
          <w:szCs w:val="32"/>
          <w:highlight w:val="none"/>
          <w:lang w:val="en-US" w:eastAsia="zh-CN"/>
        </w:rPr>
        <w:t>20</w:t>
      </w:r>
      <w:r>
        <w:rPr>
          <w:rFonts w:hint="eastAsia" w:ascii="仿宋_GB2312" w:eastAsia="仿宋_GB2312"/>
          <w:color w:val="auto"/>
          <w:sz w:val="32"/>
          <w:szCs w:val="32"/>
          <w:highlight w:val="none"/>
          <w:lang w:eastAsia="zh-CN"/>
        </w:rPr>
        <w:t>年省级财政防灾救灾</w:t>
      </w:r>
      <w:r>
        <w:rPr>
          <w:rFonts w:hint="eastAsia" w:ascii="仿宋_GB2312" w:eastAsia="仿宋_GB2312"/>
          <w:color w:val="auto"/>
          <w:sz w:val="32"/>
          <w:szCs w:val="32"/>
          <w:highlight w:val="none"/>
          <w:lang w:val="en-US" w:eastAsia="zh-CN"/>
        </w:rPr>
        <w:t>应急资金</w:t>
      </w:r>
      <w:r>
        <w:rPr>
          <w:rFonts w:hint="eastAsia" w:ascii="仿宋_GB2312" w:eastAsia="仿宋_GB2312"/>
          <w:color w:val="auto"/>
          <w:sz w:val="32"/>
          <w:highlight w:val="none"/>
          <w:lang w:val="en-US" w:eastAsia="zh-CN"/>
        </w:rPr>
        <w:t>预算计划安排9641.47万元，包括家禽及蔬菜瓜果应急收储奖补资金8000万元、红火蚁防控资金1000万元、应急种子储备及调拨资金641.47万元。</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642" w:firstLineChars="200"/>
        <w:textAlignment w:val="auto"/>
        <w:outlineLvl w:val="2"/>
        <w:rPr>
          <w:rFonts w:hint="eastAsia" w:ascii="仿宋_GB2312" w:hAnsi="仿宋_GB2312" w:eastAsia="仿宋_GB2312" w:cs="仿宋_GB2312"/>
          <w:b/>
          <w:bCs/>
          <w:color w:val="auto"/>
          <w:sz w:val="32"/>
          <w:szCs w:val="32"/>
          <w:highlight w:val="none"/>
          <w:lang w:val="en-US" w:eastAsia="zh-CN"/>
        </w:rPr>
      </w:pPr>
      <w:bookmarkStart w:id="15" w:name="_Toc17547"/>
      <w:r>
        <w:rPr>
          <w:rFonts w:hint="eastAsia" w:ascii="仿宋_GB2312" w:hAnsi="仿宋_GB2312" w:eastAsia="仿宋_GB2312" w:cs="仿宋_GB2312"/>
          <w:b/>
          <w:bCs/>
          <w:color w:val="auto"/>
          <w:sz w:val="32"/>
          <w:szCs w:val="32"/>
          <w:highlight w:val="none"/>
          <w:lang w:val="en-US" w:eastAsia="zh-CN"/>
        </w:rPr>
        <w:t>1.家禽及蔬菜瓜果应急收储奖补资金。</w:t>
      </w:r>
      <w:bookmarkEnd w:id="15"/>
    </w:p>
    <w:p>
      <w:pPr>
        <w:numPr>
          <w:ilvl w:val="0"/>
          <w:numId w:val="0"/>
        </w:numPr>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Times New Roman" w:eastAsia="仿宋_GB2312" w:cs="Times New Roman"/>
          <w:color w:val="auto"/>
          <w:sz w:val="32"/>
          <w:highlight w:val="none"/>
          <w:lang w:val="en-US" w:eastAsia="zh-CN"/>
        </w:rPr>
        <w:t>为解决新冠肺炎疫情防控期间我省家禽及蔬菜瓜果积压滞销问题，保持农业稳定发展，坚决打赢新冠肺炎疫情防控阻击战，根据省委省政府有关决策部署精神，按照</w:t>
      </w:r>
      <w:r>
        <w:rPr>
          <w:rFonts w:hint="eastAsia" w:ascii="仿宋_GB2312" w:eastAsia="仿宋_GB2312" w:cs="Times New Roman"/>
          <w:color w:val="auto"/>
          <w:sz w:val="32"/>
          <w:highlight w:val="none"/>
          <w:lang w:val="en-US" w:eastAsia="zh-CN"/>
        </w:rPr>
        <w:t>我</w:t>
      </w:r>
      <w:r>
        <w:rPr>
          <w:rFonts w:hint="eastAsia" w:ascii="仿宋_GB2312" w:hAnsi="Times New Roman" w:eastAsia="仿宋_GB2312" w:cs="Times New Roman"/>
          <w:color w:val="auto"/>
          <w:sz w:val="32"/>
          <w:highlight w:val="none"/>
          <w:lang w:val="en-US" w:eastAsia="zh-CN"/>
        </w:rPr>
        <w:t>厅</w:t>
      </w:r>
      <w:r>
        <w:rPr>
          <w:rFonts w:hint="eastAsia" w:ascii="仿宋_GB2312" w:eastAsia="仿宋_GB2312" w:cs="Times New Roman"/>
          <w:color w:val="auto"/>
          <w:sz w:val="32"/>
          <w:highlight w:val="none"/>
          <w:lang w:val="en-US" w:eastAsia="zh-CN"/>
        </w:rPr>
        <w:t>提出的</w:t>
      </w:r>
      <w:r>
        <w:rPr>
          <w:rFonts w:hint="eastAsia" w:ascii="仿宋_GB2312" w:hAnsi="Times New Roman" w:eastAsia="仿宋_GB2312" w:cs="Times New Roman"/>
          <w:color w:val="auto"/>
          <w:sz w:val="32"/>
          <w:highlight w:val="none"/>
          <w:lang w:val="en-US" w:eastAsia="zh-CN"/>
        </w:rPr>
        <w:t>资金分配方案，2020年2月28日《广东省财政厅关于下达家禽水产品及蔬菜瓜果应急收储奖补资金的通知》（粤财农〔2020〕21号）下达家禽收储应急补贴资金资金6000万元，用于家禽应急收储奖补</w:t>
      </w:r>
      <w:r>
        <w:rPr>
          <w:rFonts w:hint="eastAsia" w:ascii="仿宋_GB2312" w:eastAsia="仿宋_GB2312" w:cs="Times New Roman"/>
          <w:color w:val="auto"/>
          <w:sz w:val="32"/>
          <w:highlight w:val="none"/>
          <w:lang w:val="en-US" w:eastAsia="zh-CN"/>
        </w:rPr>
        <w:t>。</w:t>
      </w:r>
      <w:r>
        <w:rPr>
          <w:rFonts w:hint="eastAsia" w:ascii="仿宋_GB2312" w:hAnsi="Times New Roman" w:eastAsia="仿宋_GB2312" w:cs="Times New Roman"/>
          <w:color w:val="auto"/>
          <w:sz w:val="32"/>
          <w:highlight w:val="none"/>
          <w:lang w:val="en-US" w:eastAsia="zh-CN"/>
        </w:rPr>
        <w:t>计划收储家禽3340万只</w:t>
      </w:r>
      <w:r>
        <w:rPr>
          <w:rFonts w:hint="eastAsia" w:ascii="仿宋_GB2312" w:eastAsia="仿宋_GB2312" w:cs="Times New Roman"/>
          <w:color w:val="auto"/>
          <w:sz w:val="32"/>
          <w:highlight w:val="none"/>
          <w:lang w:val="en-US" w:eastAsia="zh-CN"/>
        </w:rPr>
        <w:t>；</w:t>
      </w:r>
      <w:r>
        <w:rPr>
          <w:rFonts w:hint="eastAsia" w:ascii="仿宋_GB2312" w:hAnsi="Times New Roman" w:eastAsia="仿宋_GB2312" w:cs="Times New Roman"/>
          <w:color w:val="auto"/>
          <w:sz w:val="32"/>
          <w:highlight w:val="none"/>
          <w:lang w:val="en-US" w:eastAsia="zh-CN"/>
        </w:rPr>
        <w:t>下达蔬菜瓜果收购、贮藏应急补贴资金2000万元，用于各地蔬菜瓜果收购、贮藏应急补贴，计划收贮任务11.6</w:t>
      </w:r>
      <w:r>
        <w:rPr>
          <w:rFonts w:hint="eastAsia" w:ascii="仿宋_GB2312" w:eastAsia="仿宋_GB2312" w:cs="Times New Roman"/>
          <w:color w:val="auto"/>
          <w:sz w:val="32"/>
          <w:highlight w:val="none"/>
          <w:lang w:val="en-US" w:eastAsia="zh-CN"/>
        </w:rPr>
        <w:t>0</w:t>
      </w:r>
      <w:r>
        <w:rPr>
          <w:rFonts w:hint="eastAsia" w:ascii="仿宋_GB2312" w:hAnsi="Times New Roman" w:eastAsia="仿宋_GB2312" w:cs="Times New Roman"/>
          <w:color w:val="auto"/>
          <w:sz w:val="32"/>
          <w:highlight w:val="none"/>
          <w:lang w:val="en-US" w:eastAsia="zh-CN"/>
        </w:rPr>
        <w:t>万吨。</w:t>
      </w:r>
      <w:r>
        <w:rPr>
          <w:rFonts w:hint="eastAsia" w:ascii="仿宋_GB2312" w:hAnsi="仿宋_GB2312" w:eastAsia="仿宋_GB2312" w:cs="仿宋_GB2312"/>
          <w:color w:val="auto"/>
          <w:sz w:val="32"/>
          <w:szCs w:val="32"/>
          <w:highlight w:val="none"/>
          <w:lang w:val="en-US" w:eastAsia="zh-CN"/>
        </w:rPr>
        <w:t>具体的资金安排情况见表1-1。</w:t>
      </w:r>
    </w:p>
    <w:p>
      <w:pPr>
        <w:rPr>
          <w:rFonts w:hint="eastAsia"/>
          <w:color w:val="auto"/>
          <w:highlight w:val="none"/>
          <w:lang w:val="en-US" w:eastAsia="zh-CN"/>
        </w:rPr>
      </w:pPr>
    </w:p>
    <w:p>
      <w:pPr>
        <w:pStyle w:val="2"/>
        <w:ind w:left="0" w:leftChars="0" w:firstLine="0" w:firstLineChars="0"/>
        <w:jc w:val="center"/>
        <w:rPr>
          <w:rFonts w:hint="eastAsia" w:ascii="黑体" w:hAnsi="黑体" w:eastAsia="黑体" w:cs="黑体"/>
          <w:color w:val="auto"/>
          <w:sz w:val="28"/>
          <w:szCs w:val="28"/>
          <w:highlight w:val="none"/>
          <w:lang w:val="en-US" w:eastAsia="zh-CN"/>
        </w:rPr>
      </w:pPr>
      <w:r>
        <w:rPr>
          <w:rFonts w:hint="eastAsia" w:ascii="黑体" w:hAnsi="黑体" w:eastAsia="黑体" w:cs="黑体"/>
          <w:color w:val="auto"/>
          <w:sz w:val="28"/>
          <w:szCs w:val="28"/>
          <w:highlight w:val="none"/>
          <w:lang w:val="en-US" w:eastAsia="zh-CN"/>
        </w:rPr>
        <w:t>表1-1  2020年省级家禽及蔬菜瓜果应急收储奖补资金安排情况表</w:t>
      </w:r>
    </w:p>
    <w:tbl>
      <w:tblPr>
        <w:tblStyle w:val="14"/>
        <w:tblW w:w="8495" w:type="dxa"/>
        <w:jc w:val="center"/>
        <w:shd w:val="clear" w:color="auto" w:fill="auto"/>
        <w:tblLayout w:type="fixed"/>
        <w:tblCellMar>
          <w:top w:w="0" w:type="dxa"/>
          <w:left w:w="0" w:type="dxa"/>
          <w:bottom w:w="0" w:type="dxa"/>
          <w:right w:w="0" w:type="dxa"/>
        </w:tblCellMar>
      </w:tblPr>
      <w:tblGrid>
        <w:gridCol w:w="2483"/>
        <w:gridCol w:w="4225"/>
        <w:gridCol w:w="1787"/>
      </w:tblGrid>
      <w:tr>
        <w:tblPrEx>
          <w:shd w:val="clear" w:color="auto" w:fill="auto"/>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Times New Roman" w:hAnsi="Times New Roman" w:eastAsia="仿宋" w:cs="Times New Roman"/>
                <w:b/>
                <w:bCs/>
                <w:i w:val="0"/>
                <w:color w:val="auto"/>
                <w:sz w:val="24"/>
                <w:szCs w:val="24"/>
                <w:highlight w:val="none"/>
                <w:u w:val="none"/>
              </w:rPr>
            </w:pPr>
            <w:r>
              <w:rPr>
                <w:rFonts w:hint="default" w:ascii="仿宋_GB2312" w:hAnsi="仿宋_GB2312" w:eastAsia="仿宋_GB2312" w:cs="仿宋_GB2312"/>
                <w:b/>
                <w:bCs/>
                <w:color w:val="auto"/>
                <w:sz w:val="24"/>
                <w:szCs w:val="24"/>
                <w:highlight w:val="none"/>
                <w:lang w:val="en-US" w:eastAsia="zh-CN"/>
              </w:rPr>
              <w:t>单位名称</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bCs/>
                <w:color w:val="auto"/>
                <w:sz w:val="24"/>
                <w:szCs w:val="24"/>
                <w:highlight w:val="none"/>
                <w:lang w:val="en-US" w:eastAsia="zh-CN"/>
              </w:rPr>
            </w:pPr>
            <w:r>
              <w:rPr>
                <w:rFonts w:hint="default" w:ascii="仿宋_GB2312" w:hAnsi="仿宋_GB2312" w:eastAsia="仿宋_GB2312" w:cs="仿宋_GB2312"/>
                <w:b/>
                <w:bCs/>
                <w:color w:val="auto"/>
                <w:sz w:val="24"/>
                <w:szCs w:val="24"/>
                <w:highlight w:val="none"/>
                <w:lang w:val="en-US" w:eastAsia="zh-CN"/>
              </w:rPr>
              <w:t>项目名称</w:t>
            </w:r>
          </w:p>
        </w:tc>
        <w:tc>
          <w:tcPr>
            <w:tcW w:w="17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bCs/>
                <w:color w:val="auto"/>
                <w:sz w:val="24"/>
                <w:szCs w:val="24"/>
                <w:highlight w:val="none"/>
                <w:lang w:val="en-US" w:eastAsia="zh-CN"/>
              </w:rPr>
            </w:pPr>
            <w:r>
              <w:rPr>
                <w:rFonts w:hint="default" w:ascii="仿宋_GB2312" w:hAnsi="仿宋_GB2312" w:eastAsia="仿宋_GB2312" w:cs="仿宋_GB2312"/>
                <w:b/>
                <w:bCs/>
                <w:color w:val="auto"/>
                <w:sz w:val="24"/>
                <w:szCs w:val="24"/>
                <w:highlight w:val="none"/>
                <w:lang w:val="en-US" w:eastAsia="zh-CN"/>
              </w:rPr>
              <w:t>金额</w:t>
            </w:r>
            <w:r>
              <w:rPr>
                <w:rFonts w:hint="eastAsia" w:ascii="仿宋_GB2312" w:hAnsi="仿宋_GB2312" w:eastAsia="仿宋_GB2312" w:cs="仿宋_GB2312"/>
                <w:b/>
                <w:bCs/>
                <w:color w:val="auto"/>
                <w:sz w:val="24"/>
                <w:szCs w:val="24"/>
                <w:highlight w:val="none"/>
                <w:lang w:val="en-US" w:eastAsia="zh-CN"/>
              </w:rPr>
              <w:t>（万元）</w:t>
            </w:r>
          </w:p>
        </w:tc>
      </w:tr>
      <w:tr>
        <w:tblPrEx>
          <w:shd w:val="clear" w:color="auto" w:fill="auto"/>
          <w:tblCellMar>
            <w:top w:w="0" w:type="dxa"/>
            <w:left w:w="0" w:type="dxa"/>
            <w:bottom w:w="0" w:type="dxa"/>
            <w:right w:w="0" w:type="dxa"/>
          </w:tblCellMar>
        </w:tblPrEx>
        <w:trPr>
          <w:trHeight w:val="304" w:hRule="atLeast"/>
          <w:jc w:val="center"/>
        </w:trPr>
        <w:tc>
          <w:tcPr>
            <w:tcW w:w="670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bCs/>
                <w:color w:val="auto"/>
                <w:sz w:val="24"/>
                <w:szCs w:val="24"/>
                <w:highlight w:val="none"/>
                <w:lang w:val="en-US" w:eastAsia="zh-CN"/>
              </w:rPr>
            </w:pPr>
            <w:r>
              <w:rPr>
                <w:rFonts w:hint="default" w:ascii="仿宋_GB2312" w:hAnsi="仿宋_GB2312" w:eastAsia="仿宋_GB2312" w:cs="仿宋_GB2312"/>
                <w:b/>
                <w:bCs/>
                <w:color w:val="auto"/>
                <w:sz w:val="24"/>
                <w:szCs w:val="24"/>
                <w:highlight w:val="none"/>
                <w:lang w:val="en-US" w:eastAsia="zh-CN"/>
              </w:rPr>
              <w:t>合</w:t>
            </w:r>
            <w:r>
              <w:rPr>
                <w:rFonts w:hint="eastAsia" w:ascii="仿宋_GB2312" w:hAnsi="仿宋_GB2312" w:eastAsia="仿宋_GB2312" w:cs="仿宋_GB2312"/>
                <w:b/>
                <w:bCs/>
                <w:color w:val="auto"/>
                <w:sz w:val="24"/>
                <w:szCs w:val="24"/>
                <w:highlight w:val="none"/>
                <w:lang w:val="en-US" w:eastAsia="zh-CN"/>
              </w:rPr>
              <w:t xml:space="preserve">  </w:t>
            </w:r>
            <w:r>
              <w:rPr>
                <w:rFonts w:hint="default" w:ascii="仿宋_GB2312" w:hAnsi="仿宋_GB2312" w:eastAsia="仿宋_GB2312" w:cs="仿宋_GB2312"/>
                <w:b/>
                <w:bCs/>
                <w:color w:val="auto"/>
                <w:sz w:val="24"/>
                <w:szCs w:val="24"/>
                <w:highlight w:val="none"/>
                <w:lang w:val="en-US" w:eastAsia="zh-CN"/>
              </w:rPr>
              <w:t>计</w:t>
            </w: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bCs/>
                <w:color w:val="auto"/>
                <w:sz w:val="24"/>
                <w:szCs w:val="24"/>
                <w:highlight w:val="none"/>
                <w:lang w:val="en-US" w:eastAsia="zh-CN"/>
              </w:rPr>
            </w:pPr>
            <w:r>
              <w:rPr>
                <w:rFonts w:hint="default" w:ascii="仿宋_GB2312" w:hAnsi="仿宋_GB2312" w:eastAsia="仿宋_GB2312" w:cs="仿宋_GB2312"/>
                <w:b/>
                <w:bCs/>
                <w:color w:val="auto"/>
                <w:sz w:val="24"/>
                <w:szCs w:val="24"/>
                <w:highlight w:val="none"/>
                <w:lang w:val="en-US" w:eastAsia="zh-CN"/>
              </w:rPr>
              <w:t xml:space="preserve">8000 </w:t>
            </w:r>
          </w:p>
        </w:tc>
      </w:tr>
      <w:tr>
        <w:tblPrEx>
          <w:shd w:val="clear" w:color="auto" w:fill="auto"/>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广州市小计</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300 </w:t>
            </w:r>
          </w:p>
        </w:tc>
      </w:tr>
      <w:tr>
        <w:tblPrEx>
          <w:shd w:val="clear" w:color="auto" w:fill="auto"/>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广州市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家禽收储应急补贴资金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200 </w:t>
            </w:r>
          </w:p>
        </w:tc>
      </w:tr>
      <w:tr>
        <w:tblPrEx>
          <w:shd w:val="clear" w:color="auto" w:fill="auto"/>
          <w:tblCellMar>
            <w:top w:w="0" w:type="dxa"/>
            <w:left w:w="0" w:type="dxa"/>
            <w:bottom w:w="0" w:type="dxa"/>
            <w:right w:w="0" w:type="dxa"/>
          </w:tblCellMar>
        </w:tblPrEx>
        <w:trPr>
          <w:trHeight w:val="357"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广州市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蔬菜瓜果收购、贮藏应急补贴资金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100 </w:t>
            </w:r>
          </w:p>
        </w:tc>
      </w:tr>
      <w:tr>
        <w:tblPrEx>
          <w:shd w:val="clear" w:color="auto" w:fill="auto"/>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珠海市小计</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180 </w:t>
            </w:r>
          </w:p>
        </w:tc>
      </w:tr>
      <w:tr>
        <w:tblPrEx>
          <w:shd w:val="clear" w:color="auto" w:fill="auto"/>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珠海市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家禽收储应急补贴资金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130 </w:t>
            </w:r>
          </w:p>
        </w:tc>
      </w:tr>
      <w:tr>
        <w:tblPrEx>
          <w:shd w:val="clear" w:color="auto" w:fill="auto"/>
          <w:tblCellMar>
            <w:top w:w="0" w:type="dxa"/>
            <w:left w:w="0" w:type="dxa"/>
            <w:bottom w:w="0" w:type="dxa"/>
            <w:right w:w="0" w:type="dxa"/>
          </w:tblCellMar>
        </w:tblPrEx>
        <w:trPr>
          <w:trHeight w:val="355"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珠海市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蔬菜瓜果收购、贮藏应急补贴资金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50 </w:t>
            </w:r>
          </w:p>
        </w:tc>
      </w:tr>
      <w:tr>
        <w:tblPrEx>
          <w:shd w:val="clear" w:color="auto" w:fill="auto"/>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汕头市小计</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330 </w:t>
            </w:r>
          </w:p>
        </w:tc>
      </w:tr>
      <w:tr>
        <w:tblPrEx>
          <w:shd w:val="clear" w:color="auto" w:fill="auto"/>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汕头市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家禽收储应急补贴资金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180 </w:t>
            </w:r>
          </w:p>
        </w:tc>
      </w:tr>
      <w:tr>
        <w:tblPrEx>
          <w:shd w:val="clear" w:color="auto" w:fill="auto"/>
          <w:tblCellMar>
            <w:top w:w="0" w:type="dxa"/>
            <w:left w:w="0" w:type="dxa"/>
            <w:bottom w:w="0" w:type="dxa"/>
            <w:right w:w="0" w:type="dxa"/>
          </w:tblCellMar>
        </w:tblPrEx>
        <w:trPr>
          <w:trHeight w:val="346"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汕头市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蔬菜瓜果收购、贮藏应急补贴资金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150 </w:t>
            </w:r>
          </w:p>
        </w:tc>
      </w:tr>
      <w:tr>
        <w:tblPrEx>
          <w:shd w:val="clear" w:color="auto" w:fill="auto"/>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佛山市小计</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220 </w:t>
            </w:r>
          </w:p>
        </w:tc>
      </w:tr>
      <w:tr>
        <w:tblPrEx>
          <w:shd w:val="clear" w:color="auto" w:fill="auto"/>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佛山市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家禽收储应急补贴资金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170 </w:t>
            </w:r>
          </w:p>
        </w:tc>
      </w:tr>
      <w:tr>
        <w:tblPrEx>
          <w:shd w:val="clear" w:color="auto" w:fill="auto"/>
          <w:tblCellMar>
            <w:top w:w="0" w:type="dxa"/>
            <w:left w:w="0" w:type="dxa"/>
            <w:bottom w:w="0" w:type="dxa"/>
            <w:right w:w="0" w:type="dxa"/>
          </w:tblCellMar>
        </w:tblPrEx>
        <w:trPr>
          <w:trHeight w:val="331"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佛山市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蔬菜瓜果收购、贮藏应急补贴资金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50 </w:t>
            </w:r>
          </w:p>
        </w:tc>
      </w:tr>
      <w:tr>
        <w:tblPrEx>
          <w:shd w:val="clear" w:color="auto" w:fill="auto"/>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韶关市小计</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260 </w:t>
            </w:r>
          </w:p>
        </w:tc>
      </w:tr>
      <w:tr>
        <w:tblPrEx>
          <w:shd w:val="clear" w:color="auto" w:fill="auto"/>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韶关市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家禽收储应急补贴资金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160 </w:t>
            </w:r>
          </w:p>
        </w:tc>
      </w:tr>
      <w:tr>
        <w:tblPrEx>
          <w:shd w:val="clear" w:color="auto" w:fill="auto"/>
          <w:tblCellMar>
            <w:top w:w="0" w:type="dxa"/>
            <w:left w:w="0" w:type="dxa"/>
            <w:bottom w:w="0" w:type="dxa"/>
            <w:right w:w="0" w:type="dxa"/>
          </w:tblCellMar>
        </w:tblPrEx>
        <w:trPr>
          <w:trHeight w:val="297"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韶关市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蔬菜瓜果收购、贮藏应急补贴资金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100 </w:t>
            </w:r>
          </w:p>
        </w:tc>
      </w:tr>
      <w:tr>
        <w:tblPrEx>
          <w:shd w:val="clear" w:color="auto" w:fill="auto"/>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河源市小计</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540 </w:t>
            </w:r>
          </w:p>
        </w:tc>
      </w:tr>
      <w:tr>
        <w:tblPrEx>
          <w:shd w:val="clear" w:color="auto" w:fill="auto"/>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河源市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家禽收储应急补贴资金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440 </w:t>
            </w:r>
          </w:p>
        </w:tc>
      </w:tr>
      <w:tr>
        <w:tblPrEx>
          <w:shd w:val="clear" w:color="auto" w:fill="auto"/>
          <w:tblCellMar>
            <w:top w:w="0" w:type="dxa"/>
            <w:left w:w="0" w:type="dxa"/>
            <w:bottom w:w="0" w:type="dxa"/>
            <w:right w:w="0" w:type="dxa"/>
          </w:tblCellMar>
        </w:tblPrEx>
        <w:trPr>
          <w:trHeight w:val="355"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河源市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蔬菜瓜果收购、贮藏应急补贴资金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100 </w:t>
            </w:r>
          </w:p>
        </w:tc>
      </w:tr>
      <w:tr>
        <w:tblPrEx>
          <w:shd w:val="clear" w:color="auto" w:fill="auto"/>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梅州市小计</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580 </w:t>
            </w:r>
          </w:p>
        </w:tc>
      </w:tr>
      <w:tr>
        <w:tblPrEx>
          <w:shd w:val="clear" w:color="auto" w:fill="auto"/>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梅州市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家禽收储应急补贴资金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480 </w:t>
            </w:r>
          </w:p>
        </w:tc>
      </w:tr>
      <w:tr>
        <w:tblPrEx>
          <w:shd w:val="clear" w:color="auto" w:fill="auto"/>
          <w:tblCellMar>
            <w:top w:w="0" w:type="dxa"/>
            <w:left w:w="0" w:type="dxa"/>
            <w:bottom w:w="0" w:type="dxa"/>
            <w:right w:w="0" w:type="dxa"/>
          </w:tblCellMar>
        </w:tblPrEx>
        <w:trPr>
          <w:trHeight w:val="41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梅州市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蔬菜瓜果收购、贮藏应急补贴资金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100 </w:t>
            </w:r>
          </w:p>
        </w:tc>
      </w:tr>
      <w:tr>
        <w:tblPrEx>
          <w:shd w:val="clear" w:color="auto" w:fill="auto"/>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惠州市小计</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550 </w:t>
            </w:r>
          </w:p>
        </w:tc>
      </w:tr>
      <w:tr>
        <w:tblPrEx>
          <w:shd w:val="clear" w:color="auto" w:fill="auto"/>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惠州市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家禽收储应急补贴资金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400 </w:t>
            </w:r>
          </w:p>
        </w:tc>
      </w:tr>
      <w:tr>
        <w:tblPrEx>
          <w:shd w:val="clear" w:color="auto" w:fill="auto"/>
          <w:tblCellMar>
            <w:top w:w="0" w:type="dxa"/>
            <w:left w:w="0" w:type="dxa"/>
            <w:bottom w:w="0" w:type="dxa"/>
            <w:right w:w="0" w:type="dxa"/>
          </w:tblCellMar>
        </w:tblPrEx>
        <w:trPr>
          <w:trHeight w:val="423"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惠州市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蔬菜瓜果收购、贮藏应急补贴资金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150 </w:t>
            </w:r>
          </w:p>
        </w:tc>
      </w:tr>
      <w:tr>
        <w:tblPrEx>
          <w:shd w:val="clear" w:color="auto" w:fill="auto"/>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汕尾市小计</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230 </w:t>
            </w:r>
          </w:p>
        </w:tc>
      </w:tr>
      <w:tr>
        <w:tblPrEx>
          <w:shd w:val="clear" w:color="auto" w:fill="auto"/>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汕尾市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家禽收储应急补贴资金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180 </w:t>
            </w:r>
          </w:p>
        </w:tc>
      </w:tr>
      <w:tr>
        <w:tblPrEx>
          <w:shd w:val="clear" w:color="auto" w:fill="auto"/>
          <w:tblCellMar>
            <w:top w:w="0" w:type="dxa"/>
            <w:left w:w="0" w:type="dxa"/>
            <w:bottom w:w="0" w:type="dxa"/>
            <w:right w:w="0" w:type="dxa"/>
          </w:tblCellMar>
        </w:tblPrEx>
        <w:trPr>
          <w:trHeight w:val="381"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汕尾市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蔬菜瓜果收购、贮藏应急补贴资金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50 </w:t>
            </w:r>
          </w:p>
        </w:tc>
      </w:tr>
      <w:tr>
        <w:tblPrEx>
          <w:shd w:val="clear" w:color="auto" w:fill="auto"/>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东莞市小计</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130 </w:t>
            </w:r>
          </w:p>
        </w:tc>
      </w:tr>
      <w:tr>
        <w:tblPrEx>
          <w:shd w:val="clear" w:color="auto" w:fill="auto"/>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东莞市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家禽收储应急补贴资金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80 </w:t>
            </w:r>
          </w:p>
        </w:tc>
      </w:tr>
      <w:tr>
        <w:tblPrEx>
          <w:shd w:val="clear" w:color="auto" w:fill="auto"/>
          <w:tblCellMar>
            <w:top w:w="0" w:type="dxa"/>
            <w:left w:w="0" w:type="dxa"/>
            <w:bottom w:w="0" w:type="dxa"/>
            <w:right w:w="0" w:type="dxa"/>
          </w:tblCellMar>
        </w:tblPrEx>
        <w:trPr>
          <w:trHeight w:val="292"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东莞市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蔬菜瓜果收购、贮藏应急补贴资金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50 </w:t>
            </w:r>
          </w:p>
        </w:tc>
      </w:tr>
      <w:tr>
        <w:tblPrEx>
          <w:shd w:val="clear" w:color="auto" w:fill="auto"/>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中山市小计</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70 </w:t>
            </w:r>
          </w:p>
        </w:tc>
      </w:tr>
      <w:tr>
        <w:tblPrEx>
          <w:shd w:val="clear" w:color="auto" w:fill="auto"/>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中山市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家禽收储应急补贴资金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20 </w:t>
            </w:r>
          </w:p>
        </w:tc>
      </w:tr>
      <w:tr>
        <w:tblPrEx>
          <w:shd w:val="clear" w:color="auto" w:fill="auto"/>
          <w:tblCellMar>
            <w:top w:w="0" w:type="dxa"/>
            <w:left w:w="0" w:type="dxa"/>
            <w:bottom w:w="0" w:type="dxa"/>
            <w:right w:w="0" w:type="dxa"/>
          </w:tblCellMar>
        </w:tblPrEx>
        <w:trPr>
          <w:trHeight w:val="381"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中山市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蔬菜瓜果收购、贮藏应急补贴资金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50 </w:t>
            </w:r>
          </w:p>
        </w:tc>
      </w:tr>
      <w:tr>
        <w:tblPrEx>
          <w:shd w:val="clear" w:color="auto" w:fill="auto"/>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江门市小计</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430 </w:t>
            </w:r>
          </w:p>
        </w:tc>
      </w:tr>
      <w:tr>
        <w:tblPrEx>
          <w:shd w:val="clear" w:color="auto" w:fill="auto"/>
          <w:tblCellMar>
            <w:top w:w="0" w:type="dxa"/>
            <w:left w:w="0" w:type="dxa"/>
            <w:bottom w:w="0" w:type="dxa"/>
            <w:right w:w="0" w:type="dxa"/>
          </w:tblCellMar>
        </w:tblPrEx>
        <w:trPr>
          <w:trHeight w:val="687"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江门市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家禽应急补贴资金（江门市享受省级转移支付政策的县（市）</w:t>
            </w: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300</w:t>
            </w:r>
          </w:p>
        </w:tc>
      </w:tr>
      <w:tr>
        <w:tblPrEx>
          <w:shd w:val="clear" w:color="auto" w:fill="auto"/>
          <w:tblCellMar>
            <w:top w:w="0" w:type="dxa"/>
            <w:left w:w="0" w:type="dxa"/>
            <w:bottom w:w="0" w:type="dxa"/>
            <w:right w:w="0" w:type="dxa"/>
          </w:tblCellMar>
        </w:tblPrEx>
        <w:trPr>
          <w:trHeight w:val="590"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江门市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家禽收储应急补贴资金（江门市其他地区）</w:t>
            </w: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80</w:t>
            </w:r>
          </w:p>
        </w:tc>
      </w:tr>
      <w:tr>
        <w:tblPrEx>
          <w:shd w:val="clear" w:color="auto" w:fill="auto"/>
          <w:tblCellMar>
            <w:top w:w="0" w:type="dxa"/>
            <w:left w:w="0" w:type="dxa"/>
            <w:bottom w:w="0" w:type="dxa"/>
            <w:right w:w="0" w:type="dxa"/>
          </w:tblCellMar>
        </w:tblPrEx>
        <w:trPr>
          <w:trHeight w:val="566"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江门市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蔬莱瓜果收购、贮藏应急补贴资金（江门市享受省级转移支付政策的县（市））</w:t>
            </w: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30</w:t>
            </w:r>
          </w:p>
        </w:tc>
      </w:tr>
      <w:tr>
        <w:tblPrEx>
          <w:shd w:val="clear" w:color="auto" w:fill="auto"/>
          <w:tblCellMar>
            <w:top w:w="0" w:type="dxa"/>
            <w:left w:w="0" w:type="dxa"/>
            <w:bottom w:w="0" w:type="dxa"/>
            <w:right w:w="0" w:type="dxa"/>
          </w:tblCellMar>
        </w:tblPrEx>
        <w:trPr>
          <w:trHeight w:val="566"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江门市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蔬菜瓜果收购、贮藏应急补贴资金（江门市其他地区）</w:t>
            </w: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20</w:t>
            </w:r>
          </w:p>
        </w:tc>
      </w:tr>
      <w:tr>
        <w:tblPrEx>
          <w:shd w:val="clear" w:color="auto" w:fill="auto"/>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阳江市小计</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310 </w:t>
            </w:r>
          </w:p>
        </w:tc>
      </w:tr>
      <w:tr>
        <w:tblPrEx>
          <w:shd w:val="clear" w:color="auto" w:fill="auto"/>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阳江市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家禽收储应急补贴资金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260 </w:t>
            </w:r>
          </w:p>
        </w:tc>
      </w:tr>
      <w:tr>
        <w:tblPrEx>
          <w:shd w:val="clear" w:color="auto" w:fill="auto"/>
          <w:tblCellMar>
            <w:top w:w="0" w:type="dxa"/>
            <w:left w:w="0" w:type="dxa"/>
            <w:bottom w:w="0" w:type="dxa"/>
            <w:right w:w="0" w:type="dxa"/>
          </w:tblCellMar>
        </w:tblPrEx>
        <w:trPr>
          <w:trHeight w:val="415"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阳江市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蔬菜瓜</w:t>
            </w:r>
            <w:r>
              <w:rPr>
                <w:rFonts w:hint="eastAsia" w:ascii="仿宋_GB2312" w:hAnsi="仿宋_GB2312" w:eastAsia="仿宋_GB2312" w:cs="仿宋_GB2312"/>
                <w:b w:val="0"/>
                <w:bCs w:val="0"/>
                <w:color w:val="auto"/>
                <w:sz w:val="24"/>
                <w:szCs w:val="24"/>
                <w:highlight w:val="none"/>
                <w:lang w:val="en-US" w:eastAsia="zh-CN"/>
              </w:rPr>
              <w:t>果</w:t>
            </w:r>
            <w:r>
              <w:rPr>
                <w:rFonts w:hint="default" w:ascii="仿宋_GB2312" w:hAnsi="仿宋_GB2312" w:eastAsia="仿宋_GB2312" w:cs="仿宋_GB2312"/>
                <w:b w:val="0"/>
                <w:bCs w:val="0"/>
                <w:color w:val="auto"/>
                <w:sz w:val="24"/>
                <w:szCs w:val="24"/>
                <w:highlight w:val="none"/>
                <w:lang w:val="en-US" w:eastAsia="zh-CN"/>
              </w:rPr>
              <w:t>收购、贮藏应急补贴资金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50 </w:t>
            </w:r>
          </w:p>
        </w:tc>
      </w:tr>
      <w:tr>
        <w:tblPrEx>
          <w:shd w:val="clear" w:color="auto" w:fill="auto"/>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湛江市小计</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820 </w:t>
            </w:r>
          </w:p>
        </w:tc>
      </w:tr>
      <w:tr>
        <w:tblPrEx>
          <w:shd w:val="clear" w:color="auto" w:fill="auto"/>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湛江市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家禽收储应急补贴资金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320 </w:t>
            </w:r>
          </w:p>
        </w:tc>
      </w:tr>
      <w:tr>
        <w:tblPrEx>
          <w:shd w:val="clear" w:color="auto" w:fill="auto"/>
          <w:tblCellMar>
            <w:top w:w="0" w:type="dxa"/>
            <w:left w:w="0" w:type="dxa"/>
            <w:bottom w:w="0" w:type="dxa"/>
            <w:right w:w="0" w:type="dxa"/>
          </w:tblCellMar>
        </w:tblPrEx>
        <w:trPr>
          <w:trHeight w:val="346"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湛江市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蔬菜瓜果收购、贮藏应急补贴资金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500 </w:t>
            </w:r>
          </w:p>
        </w:tc>
      </w:tr>
      <w:tr>
        <w:tblPrEx>
          <w:shd w:val="clear" w:color="auto" w:fill="auto"/>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茂名市小计</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1130 </w:t>
            </w:r>
          </w:p>
        </w:tc>
      </w:tr>
      <w:tr>
        <w:tblPrEx>
          <w:shd w:val="clear" w:color="auto" w:fill="auto"/>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茂名市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家禽收储应急补贴资金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980 </w:t>
            </w:r>
          </w:p>
        </w:tc>
      </w:tr>
      <w:tr>
        <w:tblPrEx>
          <w:shd w:val="clear" w:color="auto" w:fill="auto"/>
          <w:tblCellMar>
            <w:top w:w="0" w:type="dxa"/>
            <w:left w:w="0" w:type="dxa"/>
            <w:bottom w:w="0" w:type="dxa"/>
            <w:right w:w="0" w:type="dxa"/>
          </w:tblCellMar>
        </w:tblPrEx>
        <w:trPr>
          <w:trHeight w:val="329"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茂名市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蔬菜瓜果收购、贮藏应急补贴资金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150 </w:t>
            </w:r>
          </w:p>
        </w:tc>
      </w:tr>
      <w:tr>
        <w:tblPrEx>
          <w:shd w:val="clear" w:color="auto" w:fill="auto"/>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肇庆市小计</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370 </w:t>
            </w:r>
          </w:p>
        </w:tc>
      </w:tr>
      <w:tr>
        <w:tblPrEx>
          <w:shd w:val="clear" w:color="auto" w:fill="auto"/>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肇庆市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家禽收储应急补贴资金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320 </w:t>
            </w:r>
          </w:p>
        </w:tc>
      </w:tr>
      <w:tr>
        <w:tblPrEx>
          <w:shd w:val="clear" w:color="auto" w:fill="auto"/>
          <w:tblCellMar>
            <w:top w:w="0" w:type="dxa"/>
            <w:left w:w="0" w:type="dxa"/>
            <w:bottom w:w="0" w:type="dxa"/>
            <w:right w:w="0" w:type="dxa"/>
          </w:tblCellMar>
        </w:tblPrEx>
        <w:trPr>
          <w:trHeight w:val="320"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肇庆市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蔬菜瓜果收购、贮藏应急补贴资金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50 </w:t>
            </w:r>
          </w:p>
        </w:tc>
      </w:tr>
      <w:tr>
        <w:tblPrEx>
          <w:shd w:val="clear" w:color="auto" w:fill="auto"/>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清远市小计</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600 </w:t>
            </w:r>
          </w:p>
        </w:tc>
      </w:tr>
      <w:tr>
        <w:tblPrEx>
          <w:shd w:val="clear" w:color="auto" w:fill="auto"/>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清远市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家禽收储应急补贴资金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500 </w:t>
            </w:r>
          </w:p>
        </w:tc>
      </w:tr>
      <w:tr>
        <w:tblPrEx>
          <w:shd w:val="clear" w:color="auto" w:fill="auto"/>
          <w:tblCellMar>
            <w:top w:w="0" w:type="dxa"/>
            <w:left w:w="0" w:type="dxa"/>
            <w:bottom w:w="0" w:type="dxa"/>
            <w:right w:w="0" w:type="dxa"/>
          </w:tblCellMar>
        </w:tblPrEx>
        <w:trPr>
          <w:trHeight w:val="406"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清远市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蔬菜瓜果收购、贮藏应急补贴资金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100 </w:t>
            </w:r>
          </w:p>
        </w:tc>
      </w:tr>
      <w:tr>
        <w:tblPrEx>
          <w:shd w:val="clear" w:color="auto" w:fill="auto"/>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潮州市小计</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110 </w:t>
            </w:r>
          </w:p>
        </w:tc>
      </w:tr>
      <w:tr>
        <w:tblPrEx>
          <w:shd w:val="clear" w:color="auto" w:fill="auto"/>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潮州市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家禽收储应急补贴资金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60 </w:t>
            </w:r>
          </w:p>
        </w:tc>
      </w:tr>
      <w:tr>
        <w:tblPrEx>
          <w:shd w:val="clear" w:color="auto" w:fill="auto"/>
          <w:tblCellMar>
            <w:top w:w="0" w:type="dxa"/>
            <w:left w:w="0" w:type="dxa"/>
            <w:bottom w:w="0" w:type="dxa"/>
            <w:right w:w="0" w:type="dxa"/>
          </w:tblCellMar>
        </w:tblPrEx>
        <w:trPr>
          <w:trHeight w:val="389"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湖州市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蔬菜瓜果收购、贮藏应急补贴资金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50 </w:t>
            </w:r>
          </w:p>
        </w:tc>
      </w:tr>
      <w:tr>
        <w:tblPrEx>
          <w:shd w:val="clear" w:color="auto" w:fill="auto"/>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揭阳市小计</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190 </w:t>
            </w:r>
          </w:p>
        </w:tc>
      </w:tr>
      <w:tr>
        <w:tblPrEx>
          <w:shd w:val="clear" w:color="auto" w:fill="auto"/>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揭阳市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家禽收储应急补贴资金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140 </w:t>
            </w:r>
          </w:p>
        </w:tc>
      </w:tr>
      <w:tr>
        <w:tblPrEx>
          <w:shd w:val="clear" w:color="auto" w:fill="auto"/>
          <w:tblCellMar>
            <w:top w:w="0" w:type="dxa"/>
            <w:left w:w="0" w:type="dxa"/>
            <w:bottom w:w="0" w:type="dxa"/>
            <w:right w:w="0" w:type="dxa"/>
          </w:tblCellMar>
        </w:tblPrEx>
        <w:trPr>
          <w:trHeight w:val="372"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揭阳市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蔬菜瓜果收购、贮藏应急补贴资金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50 </w:t>
            </w:r>
          </w:p>
        </w:tc>
      </w:tr>
      <w:tr>
        <w:tblPrEx>
          <w:shd w:val="clear" w:color="auto" w:fill="auto"/>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云浮市小计</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650 </w:t>
            </w:r>
          </w:p>
        </w:tc>
      </w:tr>
      <w:tr>
        <w:tblPrEx>
          <w:shd w:val="clear" w:color="auto" w:fill="auto"/>
          <w:tblCellMar>
            <w:top w:w="0" w:type="dxa"/>
            <w:left w:w="0" w:type="dxa"/>
            <w:bottom w:w="0" w:type="dxa"/>
            <w:right w:w="0" w:type="dxa"/>
          </w:tblCellMar>
        </w:tblPrEx>
        <w:trPr>
          <w:trHeight w:val="304"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云浮市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家禽收储应急补贴资金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600 </w:t>
            </w:r>
          </w:p>
        </w:tc>
      </w:tr>
      <w:tr>
        <w:tblPrEx>
          <w:shd w:val="clear" w:color="auto" w:fill="auto"/>
          <w:tblCellMar>
            <w:top w:w="0" w:type="dxa"/>
            <w:left w:w="0" w:type="dxa"/>
            <w:bottom w:w="0" w:type="dxa"/>
            <w:right w:w="0" w:type="dxa"/>
          </w:tblCellMar>
        </w:tblPrEx>
        <w:trPr>
          <w:trHeight w:val="357" w:hRule="atLeast"/>
          <w:jc w:val="center"/>
        </w:trPr>
        <w:tc>
          <w:tcPr>
            <w:tcW w:w="2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Chars="10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云浮市</w:t>
            </w:r>
          </w:p>
        </w:tc>
        <w:tc>
          <w:tcPr>
            <w:tcW w:w="42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蔬菜瓜果收购、贮藏应急补贴资金</w:t>
            </w:r>
          </w:p>
        </w:tc>
        <w:tc>
          <w:tcPr>
            <w:tcW w:w="17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top"/>
          </w:tcPr>
          <w:p>
            <w:pPr>
              <w:keepNext w:val="0"/>
              <w:keepLines w:val="0"/>
              <w:widowControl/>
              <w:suppressLineNumbers w:val="0"/>
              <w:jc w:val="center"/>
              <w:textAlignment w:val="top"/>
              <w:rPr>
                <w:rFonts w:hint="default" w:ascii="仿宋_GB2312" w:hAnsi="仿宋_GB2312" w:eastAsia="仿宋_GB2312" w:cs="仿宋_GB2312"/>
                <w:b w:val="0"/>
                <w:bCs w:val="0"/>
                <w:color w:val="auto"/>
                <w:sz w:val="24"/>
                <w:szCs w:val="24"/>
                <w:highlight w:val="none"/>
                <w:lang w:val="en-US" w:eastAsia="zh-CN"/>
              </w:rPr>
            </w:pPr>
            <w:r>
              <w:rPr>
                <w:rFonts w:hint="default" w:ascii="仿宋_GB2312" w:hAnsi="仿宋_GB2312" w:eastAsia="仿宋_GB2312" w:cs="仿宋_GB2312"/>
                <w:b w:val="0"/>
                <w:bCs w:val="0"/>
                <w:color w:val="auto"/>
                <w:sz w:val="24"/>
                <w:szCs w:val="24"/>
                <w:highlight w:val="none"/>
                <w:lang w:val="en-US" w:eastAsia="zh-CN"/>
              </w:rPr>
              <w:t xml:space="preserve">50 </w:t>
            </w:r>
          </w:p>
        </w:tc>
      </w:tr>
    </w:tbl>
    <w:p>
      <w:pPr>
        <w:pStyle w:val="2"/>
        <w:rPr>
          <w:rFonts w:hint="eastAsia" w:ascii="仿宋_GB2312" w:eastAsia="仿宋_GB2312"/>
          <w:color w:val="auto"/>
          <w:sz w:val="32"/>
          <w:szCs w:val="32"/>
          <w:highlight w:val="none"/>
          <w:lang w:val="en-US" w:eastAsia="zh-CN"/>
        </w:rPr>
      </w:pPr>
    </w:p>
    <w:p>
      <w:pPr>
        <w:rPr>
          <w:rFonts w:hint="eastAsia"/>
          <w:color w:val="auto"/>
          <w:highlight w:val="none"/>
          <w:lang w:val="en-US" w:eastAsia="zh-CN"/>
        </w:rPr>
      </w:pPr>
    </w:p>
    <w:p>
      <w:pPr>
        <w:keepNext w:val="0"/>
        <w:keepLines w:val="0"/>
        <w:widowControl/>
        <w:suppressLineNumbers w:val="0"/>
        <w:ind w:firstLine="640" w:firstLineChars="200"/>
        <w:jc w:val="left"/>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2020年10月，新冠肺炎疫情防控逐步常态化，市场秩序基本恢复正常，我厅印发《关于停止发放2020年广东省家禽水产品收储和蔬菜瓜果收购、贮藏应急补贴的通知》（粤农农计〔2020〕69号），要求各地市从2020年11月份停止家禽水产品收储和蔬菜瓜果收购、贮藏应急补贴工作，各市尚未发放的省级补贴资金3561.62万元</w:t>
      </w:r>
      <w:r>
        <w:rPr>
          <w:rFonts w:ascii="仿宋_GB2312" w:hAnsi="仿宋_GB2312" w:eastAsia="仿宋_GB2312" w:cs="仿宋_GB2312"/>
          <w:color w:val="auto"/>
          <w:kern w:val="0"/>
          <w:sz w:val="31"/>
          <w:szCs w:val="31"/>
          <w:highlight w:val="none"/>
          <w:lang w:val="en-US" w:eastAsia="zh-CN" w:bidi="ar"/>
        </w:rPr>
        <w:t>退回省</w:t>
      </w:r>
      <w:r>
        <w:rPr>
          <w:rFonts w:hint="eastAsia" w:ascii="仿宋_GB2312" w:hAnsi="仿宋_GB2312" w:eastAsia="仿宋_GB2312" w:cs="仿宋_GB2312"/>
          <w:color w:val="auto"/>
          <w:kern w:val="0"/>
          <w:sz w:val="31"/>
          <w:szCs w:val="31"/>
          <w:highlight w:val="none"/>
          <w:lang w:val="en-US" w:eastAsia="zh-CN" w:bidi="ar"/>
        </w:rPr>
        <w:t>财政厅</w:t>
      </w:r>
      <w:r>
        <w:rPr>
          <w:rFonts w:hint="eastAsia" w:ascii="仿宋_GB2312" w:eastAsia="仿宋_GB2312"/>
          <w:color w:val="auto"/>
          <w:sz w:val="32"/>
          <w:szCs w:val="32"/>
          <w:highlight w:val="none"/>
          <w:lang w:val="en-US" w:eastAsia="zh-CN"/>
        </w:rPr>
        <w:t>。因此，2020年实际安排家禽及蔬菜瓜果应急收储奖补资金预算4438.38万元。</w:t>
      </w:r>
    </w:p>
    <w:p>
      <w:pPr>
        <w:ind w:firstLine="642" w:firstLineChars="200"/>
        <w:outlineLvl w:val="2"/>
        <w:rPr>
          <w:rFonts w:hint="eastAsia" w:ascii="仿宋_GB2312" w:eastAsia="仿宋_GB2312"/>
          <w:color w:val="auto"/>
          <w:sz w:val="32"/>
          <w:szCs w:val="32"/>
          <w:highlight w:val="none"/>
          <w:lang w:val="en-US" w:eastAsia="zh-CN"/>
        </w:rPr>
      </w:pPr>
      <w:bookmarkStart w:id="16" w:name="_Toc17897"/>
      <w:r>
        <w:rPr>
          <w:rFonts w:hint="eastAsia" w:ascii="仿宋_GB2312" w:eastAsia="仿宋_GB2312"/>
          <w:b/>
          <w:bCs/>
          <w:color w:val="auto"/>
          <w:sz w:val="32"/>
          <w:szCs w:val="32"/>
          <w:highlight w:val="none"/>
          <w:lang w:val="en-US" w:eastAsia="zh-CN"/>
        </w:rPr>
        <w:t>2.红火蚁防控资金。</w:t>
      </w:r>
      <w:bookmarkEnd w:id="16"/>
    </w:p>
    <w:p>
      <w:pPr>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《广东省财政厅关于下达2020年省级财政防灾救灾应急资金（红火蚁防控）的通知 》（粤财农〔2020〕170号）下达红火蚁防控资金1000万元，用于支持20个地级市（深圳市除外）统一采购红火蚁防治药剂、支持辖区各县（市、区）开展红火蚁统一防控行动。具体的资金安排情况见表1-2。</w:t>
      </w:r>
    </w:p>
    <w:p>
      <w:pPr>
        <w:pStyle w:val="2"/>
        <w:rPr>
          <w:rFonts w:hint="default"/>
          <w:color w:val="auto"/>
          <w:highlight w:val="none"/>
          <w:lang w:val="en-US" w:eastAsia="zh-CN"/>
        </w:rPr>
      </w:pPr>
    </w:p>
    <w:p>
      <w:pPr>
        <w:ind w:left="0" w:leftChars="0" w:firstLine="0" w:firstLineChars="0"/>
        <w:jc w:val="center"/>
        <w:rPr>
          <w:rFonts w:hint="eastAsia" w:ascii="黑体" w:hAnsi="黑体" w:eastAsia="黑体" w:cs="黑体"/>
          <w:color w:val="auto"/>
          <w:sz w:val="28"/>
          <w:szCs w:val="28"/>
          <w:highlight w:val="none"/>
          <w:lang w:val="en-US" w:eastAsia="zh-CN"/>
        </w:rPr>
      </w:pPr>
      <w:r>
        <w:rPr>
          <w:rFonts w:hint="eastAsia" w:ascii="黑体" w:hAnsi="黑体" w:eastAsia="黑体" w:cs="黑体"/>
          <w:color w:val="auto"/>
          <w:sz w:val="28"/>
          <w:szCs w:val="28"/>
          <w:highlight w:val="none"/>
          <w:lang w:val="en-US" w:eastAsia="zh-CN"/>
        </w:rPr>
        <w:t xml:space="preserve">表1-2  </w:t>
      </w:r>
      <w:r>
        <w:rPr>
          <w:rFonts w:hint="eastAsia" w:ascii="黑体" w:hAnsi="黑体" w:eastAsia="黑体" w:cs="黑体"/>
          <w:b w:val="0"/>
          <w:bCs w:val="0"/>
          <w:color w:val="auto"/>
          <w:sz w:val="28"/>
          <w:szCs w:val="28"/>
          <w:highlight w:val="none"/>
          <w:lang w:val="en-US" w:eastAsia="zh-CN"/>
        </w:rPr>
        <w:t>2020年省级</w:t>
      </w:r>
      <w:r>
        <w:rPr>
          <w:rFonts w:hint="eastAsia" w:ascii="黑体" w:hAnsi="黑体" w:eastAsia="黑体" w:cs="黑体"/>
          <w:color w:val="auto"/>
          <w:sz w:val="28"/>
          <w:szCs w:val="28"/>
          <w:highlight w:val="none"/>
          <w:lang w:val="en-US" w:eastAsia="zh-CN"/>
        </w:rPr>
        <w:t>红火蚁防控资金安排情况表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936"/>
        <w:gridCol w:w="1661"/>
        <w:gridCol w:w="2808"/>
        <w:gridCol w:w="1716"/>
        <w:gridCol w:w="1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4" w:hRule="atLeast"/>
          <w:tblHeader/>
          <w:jc w:val="center"/>
        </w:trPr>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i w:val="0"/>
                <w:color w:val="auto"/>
                <w:sz w:val="24"/>
                <w:szCs w:val="24"/>
                <w:highlight w:val="none"/>
                <w:u w:val="none"/>
              </w:rPr>
            </w:pPr>
            <w:r>
              <w:rPr>
                <w:rFonts w:hint="default" w:ascii="仿宋_GB2312" w:eastAsia="仿宋_GB2312"/>
                <w:b/>
                <w:bCs/>
                <w:color w:val="auto"/>
                <w:sz w:val="24"/>
                <w:szCs w:val="24"/>
                <w:highlight w:val="none"/>
                <w:lang w:val="en-US" w:eastAsia="zh-CN"/>
              </w:rPr>
              <w:t>序号</w:t>
            </w:r>
          </w:p>
        </w:tc>
        <w:tc>
          <w:tcPr>
            <w:tcW w:w="1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bCs/>
                <w:color w:val="auto"/>
                <w:sz w:val="24"/>
                <w:szCs w:val="24"/>
                <w:highlight w:val="none"/>
                <w:lang w:val="en-US" w:eastAsia="zh-CN"/>
              </w:rPr>
            </w:pPr>
            <w:r>
              <w:rPr>
                <w:rFonts w:hint="default" w:ascii="仿宋_GB2312" w:eastAsia="仿宋_GB2312"/>
                <w:b/>
                <w:bCs/>
                <w:color w:val="auto"/>
                <w:sz w:val="24"/>
                <w:szCs w:val="24"/>
                <w:highlight w:val="none"/>
                <w:lang w:val="en-US" w:eastAsia="zh-CN"/>
              </w:rPr>
              <w:t>市别</w:t>
            </w:r>
          </w:p>
        </w:tc>
        <w:tc>
          <w:tcPr>
            <w:tcW w:w="2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bCs/>
                <w:color w:val="auto"/>
                <w:sz w:val="24"/>
                <w:szCs w:val="24"/>
                <w:highlight w:val="none"/>
                <w:lang w:val="en-US" w:eastAsia="zh-CN"/>
              </w:rPr>
            </w:pPr>
            <w:r>
              <w:rPr>
                <w:rFonts w:hint="default" w:ascii="仿宋_GB2312" w:eastAsia="仿宋_GB2312"/>
                <w:b/>
                <w:bCs/>
                <w:color w:val="auto"/>
                <w:sz w:val="24"/>
                <w:szCs w:val="24"/>
                <w:highlight w:val="none"/>
                <w:lang w:val="en-US" w:eastAsia="zh-CN"/>
              </w:rPr>
              <w:t>项目承担单位</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bCs/>
                <w:color w:val="auto"/>
                <w:sz w:val="24"/>
                <w:szCs w:val="24"/>
                <w:highlight w:val="none"/>
                <w:lang w:val="en-US" w:eastAsia="zh-CN"/>
              </w:rPr>
            </w:pPr>
            <w:r>
              <w:rPr>
                <w:rFonts w:hint="default" w:ascii="仿宋_GB2312" w:eastAsia="仿宋_GB2312"/>
                <w:b/>
                <w:bCs/>
                <w:color w:val="auto"/>
                <w:sz w:val="24"/>
                <w:szCs w:val="24"/>
                <w:highlight w:val="none"/>
                <w:lang w:val="en-US" w:eastAsia="zh-CN"/>
              </w:rPr>
              <w:t>资金</w:t>
            </w:r>
            <w:r>
              <w:rPr>
                <w:rFonts w:hint="eastAsia" w:ascii="仿宋_GB2312" w:eastAsia="仿宋_GB2312"/>
                <w:b/>
                <w:bCs/>
                <w:color w:val="auto"/>
                <w:sz w:val="24"/>
                <w:szCs w:val="24"/>
                <w:highlight w:val="none"/>
                <w:lang w:val="en-US" w:eastAsia="zh-CN"/>
              </w:rPr>
              <w:t>（万元）</w:t>
            </w:r>
          </w:p>
        </w:tc>
        <w:tc>
          <w:tcPr>
            <w:tcW w:w="13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bCs/>
                <w:color w:val="auto"/>
                <w:sz w:val="24"/>
                <w:szCs w:val="24"/>
                <w:highlight w:val="none"/>
                <w:lang w:val="en-US" w:eastAsia="zh-CN"/>
              </w:rPr>
            </w:pPr>
            <w:r>
              <w:rPr>
                <w:rFonts w:hint="default" w:ascii="仿宋_GB2312" w:eastAsia="仿宋_GB2312"/>
                <w:b/>
                <w:bCs/>
                <w:color w:val="auto"/>
                <w:sz w:val="24"/>
                <w:szCs w:val="24"/>
                <w:highlight w:val="no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3" w:hRule="atLeast"/>
          <w:tblHeader/>
          <w:jc w:val="center"/>
        </w:trPr>
        <w:tc>
          <w:tcPr>
            <w:tcW w:w="540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bCs w:val="0"/>
                <w:i w:val="0"/>
                <w:color w:val="auto"/>
                <w:kern w:val="0"/>
                <w:sz w:val="24"/>
                <w:szCs w:val="24"/>
                <w:highlight w:val="none"/>
                <w:u w:val="none"/>
                <w:lang w:val="en-US" w:eastAsia="zh-CN" w:bidi="ar"/>
              </w:rPr>
            </w:pPr>
            <w:r>
              <w:rPr>
                <w:rFonts w:hint="default" w:ascii="Times New Roman" w:hAnsi="Times New Roman" w:eastAsia="仿宋" w:cs="Times New Roman"/>
                <w:b/>
                <w:bCs w:val="0"/>
                <w:i w:val="0"/>
                <w:color w:val="auto"/>
                <w:kern w:val="0"/>
                <w:sz w:val="24"/>
                <w:szCs w:val="24"/>
                <w:highlight w:val="none"/>
                <w:u w:val="none"/>
                <w:lang w:val="en-US" w:eastAsia="zh-CN" w:bidi="ar"/>
              </w:rPr>
              <w:t>合</w:t>
            </w:r>
            <w:r>
              <w:rPr>
                <w:rFonts w:hint="eastAsia" w:eastAsia="仿宋" w:cs="Times New Roman"/>
                <w:b/>
                <w:bCs w:val="0"/>
                <w:i w:val="0"/>
                <w:color w:val="auto"/>
                <w:kern w:val="0"/>
                <w:sz w:val="24"/>
                <w:szCs w:val="24"/>
                <w:highlight w:val="none"/>
                <w:u w:val="none"/>
                <w:lang w:val="en-US" w:eastAsia="zh-CN" w:bidi="ar"/>
              </w:rPr>
              <w:t xml:space="preserve">  </w:t>
            </w:r>
            <w:r>
              <w:rPr>
                <w:rFonts w:hint="default" w:ascii="Times New Roman" w:hAnsi="Times New Roman" w:eastAsia="仿宋" w:cs="Times New Roman"/>
                <w:b/>
                <w:bCs w:val="0"/>
                <w:i w:val="0"/>
                <w:color w:val="auto"/>
                <w:kern w:val="0"/>
                <w:sz w:val="24"/>
                <w:szCs w:val="24"/>
                <w:highlight w:val="none"/>
                <w:u w:val="none"/>
                <w:lang w:val="en-US" w:eastAsia="zh-CN" w:bidi="ar"/>
              </w:rPr>
              <w:t>计</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bCs w:val="0"/>
                <w:i w:val="0"/>
                <w:color w:val="auto"/>
                <w:kern w:val="0"/>
                <w:sz w:val="24"/>
                <w:szCs w:val="24"/>
                <w:highlight w:val="none"/>
                <w:u w:val="none"/>
                <w:lang w:val="en-US" w:eastAsia="zh-CN" w:bidi="ar"/>
              </w:rPr>
            </w:pPr>
            <w:r>
              <w:rPr>
                <w:rFonts w:hint="default" w:ascii="仿宋_GB2312" w:eastAsia="仿宋_GB2312"/>
                <w:b/>
                <w:bCs w:val="0"/>
                <w:color w:val="auto"/>
                <w:sz w:val="24"/>
                <w:szCs w:val="24"/>
                <w:highlight w:val="none"/>
                <w:lang w:val="en-US" w:eastAsia="zh-CN"/>
              </w:rPr>
              <w:t>1000</w:t>
            </w:r>
          </w:p>
        </w:tc>
        <w:tc>
          <w:tcPr>
            <w:tcW w:w="13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val="0"/>
                <w:bCs/>
                <w:i w:val="0"/>
                <w:color w:val="auto"/>
                <w:kern w:val="0"/>
                <w:sz w:val="24"/>
                <w:szCs w:val="24"/>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78" w:hRule="atLeast"/>
          <w:tblHeader/>
          <w:jc w:val="center"/>
        </w:trPr>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1</w:t>
            </w:r>
          </w:p>
        </w:tc>
        <w:tc>
          <w:tcPr>
            <w:tcW w:w="1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广州市</w:t>
            </w:r>
          </w:p>
        </w:tc>
        <w:tc>
          <w:tcPr>
            <w:tcW w:w="2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广州市农业农村局</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43</w:t>
            </w:r>
          </w:p>
        </w:tc>
        <w:tc>
          <w:tcPr>
            <w:tcW w:w="1376"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both"/>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含省财政直管</w:t>
            </w:r>
            <w:r>
              <w:rPr>
                <w:rFonts w:hint="eastAsia" w:ascii="仿宋_GB2312" w:eastAsia="仿宋_GB2312"/>
                <w:b w:val="0"/>
                <w:bCs w:val="0"/>
                <w:color w:val="auto"/>
                <w:sz w:val="24"/>
                <w:szCs w:val="24"/>
                <w:highlight w:val="none"/>
                <w:lang w:val="en-US" w:eastAsia="zh-CN"/>
              </w:rPr>
              <w:t>县（市、区）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78" w:hRule="atLeast"/>
          <w:tblHeader/>
          <w:jc w:val="center"/>
        </w:trPr>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2</w:t>
            </w:r>
          </w:p>
        </w:tc>
        <w:tc>
          <w:tcPr>
            <w:tcW w:w="1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珠海市</w:t>
            </w:r>
          </w:p>
        </w:tc>
        <w:tc>
          <w:tcPr>
            <w:tcW w:w="2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珠海市农业农村局</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19</w:t>
            </w:r>
          </w:p>
        </w:tc>
        <w:tc>
          <w:tcPr>
            <w:tcW w:w="1376" w:type="dxa"/>
            <w:vMerge w:val="continue"/>
            <w:tcBorders>
              <w:left w:val="single" w:color="000000" w:sz="4" w:space="0"/>
              <w:right w:val="single" w:color="000000"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val="0"/>
                <w:bCs/>
                <w:i w:val="0"/>
                <w:color w:val="auto"/>
                <w:kern w:val="0"/>
                <w:sz w:val="24"/>
                <w:szCs w:val="24"/>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78" w:hRule="atLeast"/>
          <w:tblHeader/>
          <w:jc w:val="center"/>
        </w:trPr>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3</w:t>
            </w:r>
          </w:p>
        </w:tc>
        <w:tc>
          <w:tcPr>
            <w:tcW w:w="1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汕头市</w:t>
            </w:r>
          </w:p>
        </w:tc>
        <w:tc>
          <w:tcPr>
            <w:tcW w:w="2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汕头市农业农村局</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69</w:t>
            </w:r>
          </w:p>
        </w:tc>
        <w:tc>
          <w:tcPr>
            <w:tcW w:w="1376" w:type="dxa"/>
            <w:vMerge w:val="continue"/>
            <w:tcBorders>
              <w:left w:val="single" w:color="000000" w:sz="4" w:space="0"/>
              <w:right w:val="single" w:color="000000"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val="0"/>
                <w:bCs/>
                <w:i w:val="0"/>
                <w:color w:val="auto"/>
                <w:kern w:val="0"/>
                <w:sz w:val="24"/>
                <w:szCs w:val="24"/>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78" w:hRule="atLeast"/>
          <w:tblHeader/>
          <w:jc w:val="center"/>
        </w:trPr>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4</w:t>
            </w:r>
          </w:p>
        </w:tc>
        <w:tc>
          <w:tcPr>
            <w:tcW w:w="1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佛山市</w:t>
            </w:r>
          </w:p>
        </w:tc>
        <w:tc>
          <w:tcPr>
            <w:tcW w:w="2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佛山市农业农村局</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27</w:t>
            </w:r>
          </w:p>
        </w:tc>
        <w:tc>
          <w:tcPr>
            <w:tcW w:w="1376" w:type="dxa"/>
            <w:vMerge w:val="continue"/>
            <w:tcBorders>
              <w:left w:val="single" w:color="000000" w:sz="4" w:space="0"/>
              <w:right w:val="single" w:color="000000"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val="0"/>
                <w:bCs/>
                <w:i w:val="0"/>
                <w:color w:val="auto"/>
                <w:kern w:val="0"/>
                <w:sz w:val="24"/>
                <w:szCs w:val="24"/>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78" w:hRule="atLeast"/>
          <w:tblHeader/>
          <w:jc w:val="center"/>
        </w:trPr>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5</w:t>
            </w:r>
          </w:p>
        </w:tc>
        <w:tc>
          <w:tcPr>
            <w:tcW w:w="1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韶关市</w:t>
            </w:r>
          </w:p>
        </w:tc>
        <w:tc>
          <w:tcPr>
            <w:tcW w:w="2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韶关市农业农村局</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93</w:t>
            </w:r>
          </w:p>
        </w:tc>
        <w:tc>
          <w:tcPr>
            <w:tcW w:w="1376" w:type="dxa"/>
            <w:vMerge w:val="continue"/>
            <w:tcBorders>
              <w:left w:val="single" w:color="000000" w:sz="4" w:space="0"/>
              <w:right w:val="single" w:color="000000"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val="0"/>
                <w:bCs/>
                <w:i w:val="0"/>
                <w:color w:val="auto"/>
                <w:kern w:val="0"/>
                <w:sz w:val="24"/>
                <w:szCs w:val="24"/>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78" w:hRule="atLeast"/>
          <w:tblHeader/>
          <w:jc w:val="center"/>
        </w:trPr>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6</w:t>
            </w:r>
          </w:p>
        </w:tc>
        <w:tc>
          <w:tcPr>
            <w:tcW w:w="1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河源市</w:t>
            </w:r>
          </w:p>
        </w:tc>
        <w:tc>
          <w:tcPr>
            <w:tcW w:w="2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河源市农业农村局</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61</w:t>
            </w:r>
          </w:p>
        </w:tc>
        <w:tc>
          <w:tcPr>
            <w:tcW w:w="1376" w:type="dxa"/>
            <w:vMerge w:val="continue"/>
            <w:tcBorders>
              <w:left w:val="single" w:color="000000" w:sz="4" w:space="0"/>
              <w:right w:val="single" w:color="000000"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val="0"/>
                <w:bCs/>
                <w:i w:val="0"/>
                <w:color w:val="auto"/>
                <w:kern w:val="0"/>
                <w:sz w:val="24"/>
                <w:szCs w:val="24"/>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78" w:hRule="atLeast"/>
          <w:tblHeader/>
          <w:jc w:val="center"/>
        </w:trPr>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7</w:t>
            </w:r>
          </w:p>
        </w:tc>
        <w:tc>
          <w:tcPr>
            <w:tcW w:w="1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梅州市</w:t>
            </w:r>
          </w:p>
        </w:tc>
        <w:tc>
          <w:tcPr>
            <w:tcW w:w="2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梅州市农业农村局</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69</w:t>
            </w:r>
          </w:p>
        </w:tc>
        <w:tc>
          <w:tcPr>
            <w:tcW w:w="1376" w:type="dxa"/>
            <w:vMerge w:val="continue"/>
            <w:tcBorders>
              <w:left w:val="single" w:color="000000" w:sz="4" w:space="0"/>
              <w:right w:val="single" w:color="000000"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val="0"/>
                <w:bCs/>
                <w:i w:val="0"/>
                <w:color w:val="auto"/>
                <w:kern w:val="0"/>
                <w:sz w:val="24"/>
                <w:szCs w:val="24"/>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78" w:hRule="atLeast"/>
          <w:tblHeader/>
          <w:jc w:val="center"/>
        </w:trPr>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8</w:t>
            </w:r>
          </w:p>
        </w:tc>
        <w:tc>
          <w:tcPr>
            <w:tcW w:w="1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惠州市</w:t>
            </w:r>
          </w:p>
        </w:tc>
        <w:tc>
          <w:tcPr>
            <w:tcW w:w="2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惠州市农业农村局</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69</w:t>
            </w:r>
          </w:p>
        </w:tc>
        <w:tc>
          <w:tcPr>
            <w:tcW w:w="1376" w:type="dxa"/>
            <w:vMerge w:val="continue"/>
            <w:tcBorders>
              <w:left w:val="single" w:color="000000" w:sz="4" w:space="0"/>
              <w:right w:val="single" w:color="000000"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val="0"/>
                <w:bCs/>
                <w:i w:val="0"/>
                <w:color w:val="auto"/>
                <w:kern w:val="0"/>
                <w:sz w:val="24"/>
                <w:szCs w:val="24"/>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78" w:hRule="atLeast"/>
          <w:tblHeader/>
          <w:jc w:val="center"/>
        </w:trPr>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9</w:t>
            </w:r>
          </w:p>
        </w:tc>
        <w:tc>
          <w:tcPr>
            <w:tcW w:w="1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汕尾市</w:t>
            </w:r>
          </w:p>
        </w:tc>
        <w:tc>
          <w:tcPr>
            <w:tcW w:w="2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汕尾市农业农村局</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45</w:t>
            </w:r>
          </w:p>
        </w:tc>
        <w:tc>
          <w:tcPr>
            <w:tcW w:w="1376" w:type="dxa"/>
            <w:vMerge w:val="continue"/>
            <w:tcBorders>
              <w:left w:val="single" w:color="000000" w:sz="4" w:space="0"/>
              <w:right w:val="single" w:color="000000"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val="0"/>
                <w:bCs/>
                <w:i w:val="0"/>
                <w:color w:val="auto"/>
                <w:kern w:val="0"/>
                <w:sz w:val="24"/>
                <w:szCs w:val="24"/>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78" w:hRule="atLeast"/>
          <w:tblHeader/>
          <w:jc w:val="center"/>
        </w:trPr>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10</w:t>
            </w:r>
          </w:p>
        </w:tc>
        <w:tc>
          <w:tcPr>
            <w:tcW w:w="1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东莞市</w:t>
            </w:r>
          </w:p>
        </w:tc>
        <w:tc>
          <w:tcPr>
            <w:tcW w:w="2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东莞市农业农村局</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11</w:t>
            </w:r>
          </w:p>
        </w:tc>
        <w:tc>
          <w:tcPr>
            <w:tcW w:w="1376" w:type="dxa"/>
            <w:vMerge w:val="continue"/>
            <w:tcBorders>
              <w:left w:val="single" w:color="000000" w:sz="4" w:space="0"/>
              <w:right w:val="single" w:color="000000"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val="0"/>
                <w:bCs/>
                <w:i w:val="0"/>
                <w:color w:val="auto"/>
                <w:kern w:val="0"/>
                <w:sz w:val="24"/>
                <w:szCs w:val="24"/>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78" w:hRule="atLeast"/>
          <w:tblHeader/>
          <w:jc w:val="center"/>
        </w:trPr>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11</w:t>
            </w:r>
          </w:p>
        </w:tc>
        <w:tc>
          <w:tcPr>
            <w:tcW w:w="1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中山市</w:t>
            </w:r>
          </w:p>
        </w:tc>
        <w:tc>
          <w:tcPr>
            <w:tcW w:w="2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中山市农业农村局</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11</w:t>
            </w:r>
          </w:p>
        </w:tc>
        <w:tc>
          <w:tcPr>
            <w:tcW w:w="1376" w:type="dxa"/>
            <w:vMerge w:val="continue"/>
            <w:tcBorders>
              <w:left w:val="single" w:color="000000" w:sz="4" w:space="0"/>
              <w:right w:val="single" w:color="000000"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val="0"/>
                <w:bCs/>
                <w:i w:val="0"/>
                <w:color w:val="auto"/>
                <w:kern w:val="0"/>
                <w:sz w:val="24"/>
                <w:szCs w:val="24"/>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78" w:hRule="atLeast"/>
          <w:tblHeader/>
          <w:jc w:val="center"/>
        </w:trPr>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12</w:t>
            </w:r>
          </w:p>
        </w:tc>
        <w:tc>
          <w:tcPr>
            <w:tcW w:w="1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江门市</w:t>
            </w:r>
          </w:p>
        </w:tc>
        <w:tc>
          <w:tcPr>
            <w:tcW w:w="2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江门市农业农村局</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35</w:t>
            </w:r>
          </w:p>
        </w:tc>
        <w:tc>
          <w:tcPr>
            <w:tcW w:w="1376" w:type="dxa"/>
            <w:vMerge w:val="continue"/>
            <w:tcBorders>
              <w:left w:val="single" w:color="000000" w:sz="4" w:space="0"/>
              <w:right w:val="single" w:color="000000"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val="0"/>
                <w:bCs/>
                <w:i w:val="0"/>
                <w:color w:val="auto"/>
                <w:kern w:val="0"/>
                <w:sz w:val="24"/>
                <w:szCs w:val="24"/>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78" w:hRule="atLeast"/>
          <w:tblHeader/>
          <w:jc w:val="center"/>
        </w:trPr>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13</w:t>
            </w:r>
          </w:p>
        </w:tc>
        <w:tc>
          <w:tcPr>
            <w:tcW w:w="1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阳江市</w:t>
            </w:r>
          </w:p>
        </w:tc>
        <w:tc>
          <w:tcPr>
            <w:tcW w:w="2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阳江市农业农村局</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45</w:t>
            </w:r>
          </w:p>
        </w:tc>
        <w:tc>
          <w:tcPr>
            <w:tcW w:w="1376" w:type="dxa"/>
            <w:vMerge w:val="continue"/>
            <w:tcBorders>
              <w:left w:val="single" w:color="000000" w:sz="4" w:space="0"/>
              <w:right w:val="single" w:color="000000"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val="0"/>
                <w:bCs/>
                <w:i w:val="0"/>
                <w:color w:val="auto"/>
                <w:kern w:val="0"/>
                <w:sz w:val="24"/>
                <w:szCs w:val="24"/>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78" w:hRule="atLeast"/>
          <w:tblHeader/>
          <w:jc w:val="center"/>
        </w:trPr>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14</w:t>
            </w:r>
          </w:p>
        </w:tc>
        <w:tc>
          <w:tcPr>
            <w:tcW w:w="1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湛江市</w:t>
            </w:r>
          </w:p>
        </w:tc>
        <w:tc>
          <w:tcPr>
            <w:tcW w:w="2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湛江市农业农村局</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85</w:t>
            </w:r>
          </w:p>
        </w:tc>
        <w:tc>
          <w:tcPr>
            <w:tcW w:w="1376" w:type="dxa"/>
            <w:vMerge w:val="continue"/>
            <w:tcBorders>
              <w:left w:val="single" w:color="000000" w:sz="4" w:space="0"/>
              <w:right w:val="single" w:color="000000"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val="0"/>
                <w:bCs/>
                <w:i w:val="0"/>
                <w:color w:val="auto"/>
                <w:kern w:val="0"/>
                <w:sz w:val="24"/>
                <w:szCs w:val="24"/>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78" w:hRule="atLeast"/>
          <w:tblHeader/>
          <w:jc w:val="center"/>
        </w:trPr>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15</w:t>
            </w:r>
          </w:p>
        </w:tc>
        <w:tc>
          <w:tcPr>
            <w:tcW w:w="1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茂名市</w:t>
            </w:r>
          </w:p>
        </w:tc>
        <w:tc>
          <w:tcPr>
            <w:tcW w:w="2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茂名市农业农村局</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53</w:t>
            </w:r>
          </w:p>
        </w:tc>
        <w:tc>
          <w:tcPr>
            <w:tcW w:w="1376" w:type="dxa"/>
            <w:vMerge w:val="continue"/>
            <w:tcBorders>
              <w:left w:val="single" w:color="000000" w:sz="4" w:space="0"/>
              <w:right w:val="single" w:color="000000"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val="0"/>
                <w:bCs/>
                <w:i w:val="0"/>
                <w:color w:val="auto"/>
                <w:kern w:val="0"/>
                <w:sz w:val="24"/>
                <w:szCs w:val="24"/>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78" w:hRule="atLeast"/>
          <w:tblHeader/>
          <w:jc w:val="center"/>
        </w:trPr>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16</w:t>
            </w:r>
          </w:p>
        </w:tc>
        <w:tc>
          <w:tcPr>
            <w:tcW w:w="1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肇庆市</w:t>
            </w:r>
          </w:p>
        </w:tc>
        <w:tc>
          <w:tcPr>
            <w:tcW w:w="2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肇庆市农业农村局</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61</w:t>
            </w:r>
          </w:p>
        </w:tc>
        <w:tc>
          <w:tcPr>
            <w:tcW w:w="1376" w:type="dxa"/>
            <w:vMerge w:val="continue"/>
            <w:tcBorders>
              <w:left w:val="single" w:color="000000" w:sz="4" w:space="0"/>
              <w:right w:val="single" w:color="000000"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val="0"/>
                <w:bCs/>
                <w:i w:val="0"/>
                <w:color w:val="auto"/>
                <w:kern w:val="0"/>
                <w:sz w:val="24"/>
                <w:szCs w:val="24"/>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78" w:hRule="atLeast"/>
          <w:tblHeader/>
          <w:jc w:val="center"/>
        </w:trPr>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17</w:t>
            </w:r>
          </w:p>
        </w:tc>
        <w:tc>
          <w:tcPr>
            <w:tcW w:w="1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清远市</w:t>
            </w:r>
          </w:p>
        </w:tc>
        <w:tc>
          <w:tcPr>
            <w:tcW w:w="2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清远市农业农村局</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77</w:t>
            </w:r>
          </w:p>
        </w:tc>
        <w:tc>
          <w:tcPr>
            <w:tcW w:w="1376" w:type="dxa"/>
            <w:vMerge w:val="continue"/>
            <w:tcBorders>
              <w:left w:val="single" w:color="000000" w:sz="4" w:space="0"/>
              <w:right w:val="single" w:color="000000"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val="0"/>
                <w:bCs/>
                <w:i w:val="0"/>
                <w:color w:val="auto"/>
                <w:kern w:val="0"/>
                <w:sz w:val="24"/>
                <w:szCs w:val="24"/>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78" w:hRule="atLeast"/>
          <w:tblHeader/>
          <w:jc w:val="center"/>
        </w:trPr>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18</w:t>
            </w:r>
          </w:p>
        </w:tc>
        <w:tc>
          <w:tcPr>
            <w:tcW w:w="1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潮州市</w:t>
            </w:r>
          </w:p>
        </w:tc>
        <w:tc>
          <w:tcPr>
            <w:tcW w:w="2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潮州市农业农村局</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37</w:t>
            </w:r>
          </w:p>
        </w:tc>
        <w:tc>
          <w:tcPr>
            <w:tcW w:w="1376" w:type="dxa"/>
            <w:vMerge w:val="continue"/>
            <w:tcBorders>
              <w:left w:val="single" w:color="000000" w:sz="4" w:space="0"/>
              <w:right w:val="single" w:color="000000"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val="0"/>
                <w:bCs/>
                <w:i w:val="0"/>
                <w:color w:val="auto"/>
                <w:kern w:val="0"/>
                <w:sz w:val="24"/>
                <w:szCs w:val="24"/>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78" w:hRule="atLeast"/>
          <w:tblHeader/>
          <w:jc w:val="center"/>
        </w:trPr>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19</w:t>
            </w:r>
          </w:p>
        </w:tc>
        <w:tc>
          <w:tcPr>
            <w:tcW w:w="1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揭阳市</w:t>
            </w:r>
          </w:p>
        </w:tc>
        <w:tc>
          <w:tcPr>
            <w:tcW w:w="2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揭阳市农业农村局</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37</w:t>
            </w:r>
          </w:p>
        </w:tc>
        <w:tc>
          <w:tcPr>
            <w:tcW w:w="1376" w:type="dxa"/>
            <w:vMerge w:val="continue"/>
            <w:tcBorders>
              <w:left w:val="single" w:color="000000" w:sz="4" w:space="0"/>
              <w:right w:val="single" w:color="000000"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val="0"/>
                <w:bCs/>
                <w:i w:val="0"/>
                <w:color w:val="auto"/>
                <w:kern w:val="0"/>
                <w:sz w:val="24"/>
                <w:szCs w:val="24"/>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3" w:hRule="atLeast"/>
          <w:tblHeader/>
          <w:jc w:val="center"/>
        </w:trPr>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20</w:t>
            </w:r>
          </w:p>
        </w:tc>
        <w:tc>
          <w:tcPr>
            <w:tcW w:w="1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云浮市</w:t>
            </w:r>
          </w:p>
        </w:tc>
        <w:tc>
          <w:tcPr>
            <w:tcW w:w="2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云浮市农业农村局</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default" w:ascii="仿宋_GB2312" w:eastAsia="仿宋_GB2312"/>
                <w:b w:val="0"/>
                <w:bCs w:val="0"/>
                <w:color w:val="auto"/>
                <w:sz w:val="24"/>
                <w:szCs w:val="24"/>
                <w:highlight w:val="none"/>
                <w:lang w:val="en-US" w:eastAsia="zh-CN"/>
              </w:rPr>
            </w:pPr>
            <w:r>
              <w:rPr>
                <w:rFonts w:hint="default" w:ascii="仿宋_GB2312" w:eastAsia="仿宋_GB2312"/>
                <w:b w:val="0"/>
                <w:bCs w:val="0"/>
                <w:color w:val="auto"/>
                <w:sz w:val="24"/>
                <w:szCs w:val="24"/>
                <w:highlight w:val="none"/>
                <w:lang w:val="en-US" w:eastAsia="zh-CN"/>
              </w:rPr>
              <w:t>53</w:t>
            </w:r>
          </w:p>
        </w:tc>
        <w:tc>
          <w:tcPr>
            <w:tcW w:w="1376"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60" w:lineRule="exact"/>
              <w:ind w:left="0" w:leftChars="0" w:right="0" w:rightChars="0" w:firstLine="0" w:firstLineChars="0"/>
              <w:jc w:val="center"/>
              <w:textAlignment w:val="center"/>
              <w:outlineLvl w:val="9"/>
              <w:rPr>
                <w:rFonts w:hint="default" w:ascii="Times New Roman" w:hAnsi="Times New Roman" w:eastAsia="仿宋" w:cs="Times New Roman"/>
                <w:b w:val="0"/>
                <w:bCs/>
                <w:i w:val="0"/>
                <w:color w:val="auto"/>
                <w:kern w:val="0"/>
                <w:sz w:val="24"/>
                <w:szCs w:val="24"/>
                <w:highlight w:val="none"/>
                <w:u w:val="none"/>
                <w:lang w:val="en-US" w:eastAsia="zh-CN" w:bidi="ar"/>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textAlignment w:val="auto"/>
        <w:rPr>
          <w:rFonts w:hint="eastAsia" w:ascii="仿宋_GB2312" w:hAnsi="仿宋_GB2312" w:eastAsia="仿宋_GB2312" w:cs="仿宋_GB2312"/>
          <w:b/>
          <w:bCs/>
          <w:color w:val="auto"/>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642" w:firstLineChars="200"/>
        <w:textAlignment w:val="auto"/>
        <w:outlineLvl w:val="2"/>
        <w:rPr>
          <w:rFonts w:hint="default" w:ascii="仿宋_GB2312" w:hAnsi="仿宋_GB2312" w:eastAsia="仿宋_GB2312" w:cs="仿宋_GB2312"/>
          <w:b/>
          <w:bCs/>
          <w:color w:val="auto"/>
          <w:sz w:val="32"/>
          <w:szCs w:val="32"/>
          <w:highlight w:val="none"/>
          <w:lang w:val="en-US" w:eastAsia="zh-CN"/>
        </w:rPr>
      </w:pPr>
      <w:bookmarkStart w:id="17" w:name="_Toc12940"/>
      <w:r>
        <w:rPr>
          <w:rFonts w:hint="eastAsia" w:ascii="仿宋_GB2312" w:hAnsi="仿宋_GB2312" w:eastAsia="仿宋_GB2312" w:cs="仿宋_GB2312"/>
          <w:b/>
          <w:bCs/>
          <w:color w:val="auto"/>
          <w:sz w:val="32"/>
          <w:szCs w:val="32"/>
          <w:highlight w:val="none"/>
          <w:lang w:val="en-US" w:eastAsia="zh-CN"/>
        </w:rPr>
        <w:t>3.应急种子储备及调拨资金。</w:t>
      </w:r>
      <w:bookmarkEnd w:id="17"/>
    </w:p>
    <w:p>
      <w:pPr>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Times New Roman" w:eastAsia="仿宋_GB2312" w:cs="Times New Roman"/>
          <w:color w:val="auto"/>
          <w:sz w:val="32"/>
          <w:szCs w:val="32"/>
          <w:highlight w:val="none"/>
          <w:lang w:eastAsia="zh-CN"/>
        </w:rPr>
        <w:t>《广东省财政厅关于安排2020年省级财政防灾救灾应急资金（应急种子储备及调拨）的通知》（粤财农</w:t>
      </w:r>
      <w:r>
        <w:rPr>
          <w:rFonts w:hint="eastAsia" w:ascii="仿宋_GB2312" w:hAnsi="仿宋_GB2312" w:eastAsia="仿宋_GB2312" w:cs="仿宋_GB2312"/>
          <w:color w:val="auto"/>
          <w:sz w:val="32"/>
          <w:szCs w:val="32"/>
          <w:highlight w:val="none"/>
          <w:lang w:val="en-US" w:eastAsia="zh-CN"/>
        </w:rPr>
        <w:t>〔2020〕</w:t>
      </w:r>
      <w:r>
        <w:rPr>
          <w:rFonts w:hint="eastAsia" w:ascii="仿宋_GB2312" w:hAnsi="Times New Roman" w:eastAsia="仿宋_GB2312" w:cs="Times New Roman"/>
          <w:color w:val="auto"/>
          <w:sz w:val="32"/>
          <w:szCs w:val="32"/>
          <w:highlight w:val="none"/>
          <w:lang w:eastAsia="zh-CN"/>
        </w:rPr>
        <w:t>168号）</w:t>
      </w:r>
      <w:r>
        <w:rPr>
          <w:rFonts w:hint="eastAsia" w:ascii="仿宋_GB2312" w:hAnsi="仿宋_GB2312" w:eastAsia="仿宋_GB2312" w:cs="仿宋_GB2312"/>
          <w:color w:val="auto"/>
          <w:sz w:val="32"/>
          <w:szCs w:val="32"/>
          <w:highlight w:val="none"/>
          <w:lang w:val="en-US" w:eastAsia="zh-CN"/>
        </w:rPr>
        <w:t>，下达应急种子储备及调拨资金641.47万元，用于应急种子储备及调拨，</w:t>
      </w:r>
      <w:r>
        <w:rPr>
          <w:rFonts w:hint="eastAsia" w:ascii="仿宋_GB2312" w:hAnsi="Times New Roman" w:eastAsia="仿宋_GB2312" w:cs="Times New Roman"/>
          <w:color w:val="auto"/>
          <w:sz w:val="32"/>
          <w:szCs w:val="32"/>
          <w:highlight w:val="none"/>
          <w:lang w:val="en-US" w:eastAsia="zh-CN"/>
        </w:rPr>
        <w:t>其中</w:t>
      </w:r>
      <w:r>
        <w:rPr>
          <w:rFonts w:hint="eastAsia" w:ascii="仿宋_GB2312" w:hAnsi="仿宋_GB2312" w:eastAsia="仿宋_GB2312" w:cs="仿宋_GB2312"/>
          <w:color w:val="auto"/>
          <w:sz w:val="32"/>
          <w:szCs w:val="32"/>
          <w:highlight w:val="none"/>
        </w:rPr>
        <w:t>应急种子储备补贴资金</w:t>
      </w:r>
      <w:r>
        <w:rPr>
          <w:rFonts w:hint="eastAsia" w:ascii="仿宋_GB2312" w:hAnsi="仿宋_GB2312" w:eastAsia="仿宋_GB2312" w:cs="仿宋_GB2312"/>
          <w:color w:val="auto"/>
          <w:sz w:val="32"/>
          <w:szCs w:val="32"/>
          <w:highlight w:val="none"/>
          <w:lang w:val="en-US" w:eastAsia="zh-CN"/>
        </w:rPr>
        <w:t>600</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，拨付</w:t>
      </w:r>
      <w:r>
        <w:rPr>
          <w:rFonts w:hint="eastAsia" w:ascii="仿宋_GB2312" w:hAnsi="仿宋_GB2312" w:eastAsia="仿宋_GB2312" w:cs="仿宋_GB2312"/>
          <w:color w:val="auto"/>
          <w:sz w:val="32"/>
          <w:szCs w:val="32"/>
          <w:highlight w:val="none"/>
        </w:rPr>
        <w:t>调用储备种子救灾资金</w:t>
      </w:r>
      <w:r>
        <w:rPr>
          <w:rFonts w:hint="eastAsia" w:ascii="仿宋_GB2312" w:hAnsi="仿宋_GB2312" w:eastAsia="仿宋_GB2312" w:cs="仿宋_GB2312"/>
          <w:color w:val="auto"/>
          <w:sz w:val="32"/>
          <w:szCs w:val="32"/>
          <w:highlight w:val="none"/>
          <w:lang w:val="en-US" w:eastAsia="zh-CN"/>
        </w:rPr>
        <w:t>41.47</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。具体的资金安排情况见表1-</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w:t>
      </w:r>
    </w:p>
    <w:p>
      <w:pPr>
        <w:pStyle w:val="2"/>
        <w:rPr>
          <w:rFonts w:hint="eastAsia"/>
          <w:color w:val="auto"/>
          <w:highlight w:val="none"/>
          <w:lang w:eastAsia="zh-CN"/>
        </w:rPr>
      </w:pPr>
    </w:p>
    <w:p>
      <w:pPr>
        <w:pStyle w:val="2"/>
        <w:ind w:left="0" w:leftChars="0" w:firstLine="0" w:firstLineChars="0"/>
        <w:jc w:val="center"/>
        <w:rPr>
          <w:rFonts w:hint="eastAsia" w:ascii="黑体" w:hAnsi="黑体" w:eastAsia="黑体" w:cs="黑体"/>
          <w:b w:val="0"/>
          <w:bCs w:val="0"/>
          <w:color w:val="auto"/>
          <w:sz w:val="28"/>
          <w:szCs w:val="28"/>
          <w:highlight w:val="none"/>
          <w:lang w:val="en-US" w:eastAsia="zh-CN"/>
        </w:rPr>
      </w:pPr>
      <w:r>
        <w:rPr>
          <w:rFonts w:hint="eastAsia" w:ascii="黑体" w:hAnsi="黑体" w:eastAsia="黑体" w:cs="黑体"/>
          <w:b w:val="0"/>
          <w:bCs w:val="0"/>
          <w:color w:val="auto"/>
          <w:sz w:val="28"/>
          <w:szCs w:val="28"/>
          <w:highlight w:val="none"/>
          <w:lang w:val="en-US" w:eastAsia="zh-CN"/>
        </w:rPr>
        <w:t>表1-3 2020年度省级应急种子储备及调拨资金安排情况表</w:t>
      </w:r>
    </w:p>
    <w:tbl>
      <w:tblPr>
        <w:tblStyle w:val="14"/>
        <w:tblW w:w="9464" w:type="dxa"/>
        <w:tblInd w:w="0" w:type="dxa"/>
        <w:tblLayout w:type="fixed"/>
        <w:tblCellMar>
          <w:top w:w="0" w:type="dxa"/>
          <w:left w:w="0" w:type="dxa"/>
          <w:bottom w:w="0" w:type="dxa"/>
          <w:right w:w="0" w:type="dxa"/>
        </w:tblCellMar>
      </w:tblPr>
      <w:tblGrid>
        <w:gridCol w:w="711"/>
        <w:gridCol w:w="1512"/>
        <w:gridCol w:w="2196"/>
        <w:gridCol w:w="3696"/>
        <w:gridCol w:w="1349"/>
      </w:tblGrid>
      <w:tr>
        <w:tblPrEx>
          <w:tblCellMar>
            <w:top w:w="0" w:type="dxa"/>
            <w:left w:w="0" w:type="dxa"/>
            <w:bottom w:w="0" w:type="dxa"/>
            <w:right w:w="0" w:type="dxa"/>
          </w:tblCellMar>
        </w:tblPrEx>
        <w:trPr>
          <w:trHeight w:val="600" w:hRule="atLeast"/>
        </w:trPr>
        <w:tc>
          <w:tcPr>
            <w:tcW w:w="7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4"/>
                <w:szCs w:val="24"/>
                <w:highlight w:val="none"/>
                <w:u w:val="none"/>
              </w:rPr>
            </w:pPr>
            <w:r>
              <w:rPr>
                <w:rFonts w:hint="eastAsia" w:ascii="仿宋" w:hAnsi="仿宋" w:eastAsia="仿宋" w:cs="仿宋"/>
                <w:b/>
                <w:bCs/>
                <w:i w:val="0"/>
                <w:color w:val="auto"/>
                <w:kern w:val="0"/>
                <w:sz w:val="24"/>
                <w:szCs w:val="24"/>
                <w:highlight w:val="none"/>
                <w:u w:val="none"/>
                <w:lang w:val="en-US" w:eastAsia="zh-CN" w:bidi="ar"/>
              </w:rPr>
              <w:t>序号</w:t>
            </w:r>
          </w:p>
        </w:tc>
        <w:tc>
          <w:tcPr>
            <w:tcW w:w="15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4"/>
                <w:szCs w:val="24"/>
                <w:highlight w:val="none"/>
                <w:u w:val="none"/>
              </w:rPr>
            </w:pPr>
            <w:r>
              <w:rPr>
                <w:rFonts w:hint="eastAsia" w:ascii="仿宋" w:hAnsi="仿宋" w:eastAsia="仿宋" w:cs="仿宋"/>
                <w:b/>
                <w:bCs/>
                <w:i w:val="0"/>
                <w:color w:val="auto"/>
                <w:kern w:val="0"/>
                <w:sz w:val="24"/>
                <w:szCs w:val="24"/>
                <w:highlight w:val="none"/>
                <w:u w:val="none"/>
                <w:lang w:val="en-US" w:eastAsia="zh-CN" w:bidi="ar"/>
              </w:rPr>
              <w:t>项目承担单位</w:t>
            </w:r>
          </w:p>
        </w:tc>
        <w:tc>
          <w:tcPr>
            <w:tcW w:w="21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4"/>
                <w:szCs w:val="24"/>
                <w:highlight w:val="none"/>
                <w:u w:val="none"/>
              </w:rPr>
            </w:pPr>
            <w:r>
              <w:rPr>
                <w:rFonts w:hint="eastAsia" w:ascii="仿宋" w:hAnsi="仿宋" w:eastAsia="仿宋" w:cs="仿宋"/>
                <w:b/>
                <w:bCs/>
                <w:i w:val="0"/>
                <w:color w:val="auto"/>
                <w:kern w:val="0"/>
                <w:sz w:val="24"/>
                <w:szCs w:val="24"/>
                <w:highlight w:val="none"/>
                <w:u w:val="none"/>
                <w:lang w:val="en-US" w:eastAsia="zh-CN" w:bidi="ar"/>
              </w:rPr>
              <w:t>项目内容</w:t>
            </w:r>
          </w:p>
        </w:tc>
        <w:tc>
          <w:tcPr>
            <w:tcW w:w="36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sz w:val="24"/>
                <w:szCs w:val="24"/>
                <w:highlight w:val="none"/>
                <w:u w:val="none"/>
              </w:rPr>
            </w:pPr>
            <w:r>
              <w:rPr>
                <w:rFonts w:hint="eastAsia" w:ascii="仿宋" w:hAnsi="仿宋" w:eastAsia="仿宋" w:cs="仿宋"/>
                <w:b/>
                <w:bCs/>
                <w:i w:val="0"/>
                <w:color w:val="auto"/>
                <w:kern w:val="0"/>
                <w:sz w:val="24"/>
                <w:szCs w:val="24"/>
                <w:highlight w:val="none"/>
                <w:u w:val="none"/>
                <w:lang w:val="en-US" w:eastAsia="zh-CN" w:bidi="ar"/>
              </w:rPr>
              <w:t>绩效目标</w:t>
            </w:r>
          </w:p>
        </w:tc>
        <w:tc>
          <w:tcPr>
            <w:tcW w:w="13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i w:val="0"/>
                <w:color w:val="auto"/>
                <w:kern w:val="0"/>
                <w:sz w:val="24"/>
                <w:szCs w:val="24"/>
                <w:highlight w:val="none"/>
                <w:u w:val="none"/>
                <w:lang w:val="en-US" w:eastAsia="zh-CN" w:bidi="ar"/>
              </w:rPr>
            </w:pPr>
            <w:r>
              <w:rPr>
                <w:rFonts w:hint="eastAsia" w:ascii="仿宋" w:hAnsi="仿宋" w:eastAsia="仿宋" w:cs="仿宋"/>
                <w:b/>
                <w:bCs/>
                <w:i w:val="0"/>
                <w:color w:val="auto"/>
                <w:kern w:val="0"/>
                <w:sz w:val="24"/>
                <w:szCs w:val="24"/>
                <w:highlight w:val="none"/>
                <w:u w:val="none"/>
                <w:lang w:val="en-US" w:eastAsia="zh-CN" w:bidi="ar"/>
              </w:rPr>
              <w:t>金额</w:t>
            </w:r>
          </w:p>
          <w:p>
            <w:pPr>
              <w:keepNext w:val="0"/>
              <w:keepLines w:val="0"/>
              <w:widowControl/>
              <w:suppressLineNumbers w:val="0"/>
              <w:jc w:val="center"/>
              <w:textAlignment w:val="center"/>
              <w:rPr>
                <w:rFonts w:hint="eastAsia" w:ascii="仿宋" w:hAnsi="仿宋" w:eastAsia="仿宋" w:cs="仿宋"/>
                <w:b/>
                <w:bCs/>
                <w:color w:val="auto"/>
                <w:sz w:val="24"/>
                <w:szCs w:val="24"/>
                <w:highlight w:val="none"/>
                <w:lang w:val="en-US" w:eastAsia="zh-CN"/>
              </w:rPr>
            </w:pPr>
            <w:r>
              <w:rPr>
                <w:rFonts w:hint="eastAsia" w:ascii="仿宋" w:hAnsi="仿宋" w:eastAsia="仿宋" w:cs="仿宋"/>
                <w:b/>
                <w:bCs/>
                <w:i w:val="0"/>
                <w:color w:val="auto"/>
                <w:kern w:val="0"/>
                <w:sz w:val="24"/>
                <w:szCs w:val="24"/>
                <w:highlight w:val="none"/>
                <w:u w:val="none"/>
                <w:lang w:val="en-US" w:eastAsia="zh-CN" w:bidi="ar"/>
              </w:rPr>
              <w:t>（万元）</w:t>
            </w:r>
          </w:p>
        </w:tc>
      </w:tr>
      <w:tr>
        <w:tblPrEx>
          <w:tblCellMar>
            <w:top w:w="0" w:type="dxa"/>
            <w:left w:w="0" w:type="dxa"/>
            <w:bottom w:w="0" w:type="dxa"/>
            <w:right w:w="0" w:type="dxa"/>
          </w:tblCellMar>
        </w:tblPrEx>
        <w:trPr>
          <w:trHeight w:val="285" w:hRule="atLeast"/>
        </w:trPr>
        <w:tc>
          <w:tcPr>
            <w:tcW w:w="8115"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val="0"/>
                <w:i w:val="0"/>
                <w:color w:val="auto"/>
                <w:sz w:val="24"/>
                <w:szCs w:val="24"/>
                <w:highlight w:val="none"/>
                <w:u w:val="none"/>
                <w:lang w:eastAsia="zh-CN"/>
              </w:rPr>
            </w:pPr>
            <w:r>
              <w:rPr>
                <w:rFonts w:hint="eastAsia" w:ascii="仿宋" w:hAnsi="仿宋" w:eastAsia="仿宋" w:cs="仿宋"/>
                <w:b/>
                <w:bCs w:val="0"/>
                <w:i w:val="0"/>
                <w:color w:val="auto"/>
                <w:kern w:val="0"/>
                <w:sz w:val="24"/>
                <w:szCs w:val="24"/>
                <w:highlight w:val="none"/>
                <w:u w:val="none"/>
                <w:lang w:val="en-US" w:eastAsia="zh-CN" w:bidi="ar"/>
              </w:rPr>
              <w:t>合  计</w:t>
            </w:r>
          </w:p>
        </w:tc>
        <w:tc>
          <w:tcPr>
            <w:tcW w:w="13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bCs w:val="0"/>
                <w:i w:val="0"/>
                <w:color w:val="auto"/>
                <w:sz w:val="24"/>
                <w:szCs w:val="24"/>
                <w:highlight w:val="none"/>
                <w:u w:val="none"/>
                <w:lang w:val="en-US"/>
              </w:rPr>
            </w:pPr>
            <w:r>
              <w:rPr>
                <w:rFonts w:hint="eastAsia" w:ascii="仿宋" w:hAnsi="仿宋" w:eastAsia="仿宋" w:cs="仿宋"/>
                <w:b w:val="0"/>
                <w:bCs/>
                <w:i w:val="0"/>
                <w:color w:val="auto"/>
                <w:kern w:val="0"/>
                <w:sz w:val="24"/>
                <w:szCs w:val="24"/>
                <w:highlight w:val="none"/>
                <w:u w:val="none"/>
                <w:lang w:val="en-US" w:eastAsia="zh-CN" w:bidi="ar"/>
              </w:rPr>
              <w:t>641.47</w:t>
            </w:r>
          </w:p>
        </w:tc>
      </w:tr>
      <w:tr>
        <w:tblPrEx>
          <w:tblCellMar>
            <w:top w:w="0" w:type="dxa"/>
            <w:left w:w="0" w:type="dxa"/>
            <w:bottom w:w="0" w:type="dxa"/>
            <w:right w:w="0" w:type="dxa"/>
          </w:tblCellMar>
        </w:tblPrEx>
        <w:trPr>
          <w:trHeight w:val="1300" w:hRule="atLeast"/>
        </w:trPr>
        <w:tc>
          <w:tcPr>
            <w:tcW w:w="7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1</w:t>
            </w:r>
          </w:p>
        </w:tc>
        <w:tc>
          <w:tcPr>
            <w:tcW w:w="15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广东华农大种业有限公司</w:t>
            </w:r>
          </w:p>
        </w:tc>
        <w:tc>
          <w:tcPr>
            <w:tcW w:w="21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省级应急种子储备补贴（157万元）和调用省级储备种子救灾（41.4656万元）</w:t>
            </w:r>
          </w:p>
        </w:tc>
        <w:tc>
          <w:tcPr>
            <w:tcW w:w="36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完成2020年度省级应急种子储备35万公斤（杂交水稻12万公斤，常规水稻12万公斤，杂交玉米3万公斤，甜糯玉米8万公斤）。</w:t>
            </w:r>
          </w:p>
        </w:tc>
        <w:tc>
          <w:tcPr>
            <w:tcW w:w="13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198.47</w:t>
            </w:r>
          </w:p>
        </w:tc>
      </w:tr>
      <w:tr>
        <w:tblPrEx>
          <w:tblCellMar>
            <w:top w:w="0" w:type="dxa"/>
            <w:left w:w="0" w:type="dxa"/>
            <w:bottom w:w="0" w:type="dxa"/>
            <w:right w:w="0" w:type="dxa"/>
          </w:tblCellMar>
        </w:tblPrEx>
        <w:trPr>
          <w:trHeight w:val="1224" w:hRule="atLeast"/>
        </w:trPr>
        <w:tc>
          <w:tcPr>
            <w:tcW w:w="7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2</w:t>
            </w:r>
          </w:p>
        </w:tc>
        <w:tc>
          <w:tcPr>
            <w:tcW w:w="15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广东省金稻种业有限公司</w:t>
            </w:r>
          </w:p>
        </w:tc>
        <w:tc>
          <w:tcPr>
            <w:tcW w:w="21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省级应急种子储备补贴</w:t>
            </w:r>
          </w:p>
        </w:tc>
        <w:tc>
          <w:tcPr>
            <w:tcW w:w="36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完成2020年度省级应急种子储备20万公斤（杂交水稻11万公斤，常规水稻9万公斤）。</w:t>
            </w:r>
          </w:p>
        </w:tc>
        <w:tc>
          <w:tcPr>
            <w:tcW w:w="13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73</w:t>
            </w:r>
          </w:p>
        </w:tc>
      </w:tr>
      <w:tr>
        <w:tblPrEx>
          <w:tblCellMar>
            <w:top w:w="0" w:type="dxa"/>
            <w:left w:w="0" w:type="dxa"/>
            <w:bottom w:w="0" w:type="dxa"/>
            <w:right w:w="0" w:type="dxa"/>
          </w:tblCellMar>
        </w:tblPrEx>
        <w:trPr>
          <w:trHeight w:val="975" w:hRule="atLeast"/>
        </w:trPr>
        <w:tc>
          <w:tcPr>
            <w:tcW w:w="7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3</w:t>
            </w:r>
          </w:p>
        </w:tc>
        <w:tc>
          <w:tcPr>
            <w:tcW w:w="15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广东省良种引进服务公司</w:t>
            </w:r>
          </w:p>
        </w:tc>
        <w:tc>
          <w:tcPr>
            <w:tcW w:w="21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省级应急种子储备补贴</w:t>
            </w:r>
          </w:p>
        </w:tc>
        <w:tc>
          <w:tcPr>
            <w:tcW w:w="36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完成2020年度省级应急种子储备叶菜类种子1万公斤。</w:t>
            </w:r>
          </w:p>
        </w:tc>
        <w:tc>
          <w:tcPr>
            <w:tcW w:w="13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5</w:t>
            </w:r>
          </w:p>
        </w:tc>
      </w:tr>
      <w:tr>
        <w:tblPrEx>
          <w:tblCellMar>
            <w:top w:w="0" w:type="dxa"/>
            <w:left w:w="0" w:type="dxa"/>
            <w:bottom w:w="0" w:type="dxa"/>
            <w:right w:w="0" w:type="dxa"/>
          </w:tblCellMar>
        </w:tblPrEx>
        <w:trPr>
          <w:trHeight w:val="855" w:hRule="atLeast"/>
        </w:trPr>
        <w:tc>
          <w:tcPr>
            <w:tcW w:w="7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4</w:t>
            </w:r>
          </w:p>
        </w:tc>
        <w:tc>
          <w:tcPr>
            <w:tcW w:w="15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广东兆华种业有限公司</w:t>
            </w:r>
          </w:p>
        </w:tc>
        <w:tc>
          <w:tcPr>
            <w:tcW w:w="21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省级应急种子储备补贴</w:t>
            </w:r>
          </w:p>
        </w:tc>
        <w:tc>
          <w:tcPr>
            <w:tcW w:w="36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完成2020年度省级应急种子储备30万公斤（杂交水稻11万公斤，常规水稻9万公斤，甜糯玉米7万公斤，叶菜类3万公斤）。</w:t>
            </w:r>
          </w:p>
        </w:tc>
        <w:tc>
          <w:tcPr>
            <w:tcW w:w="13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144</w:t>
            </w:r>
          </w:p>
        </w:tc>
      </w:tr>
      <w:tr>
        <w:tblPrEx>
          <w:tblCellMar>
            <w:top w:w="0" w:type="dxa"/>
            <w:left w:w="0" w:type="dxa"/>
            <w:bottom w:w="0" w:type="dxa"/>
            <w:right w:w="0" w:type="dxa"/>
          </w:tblCellMar>
        </w:tblPrEx>
        <w:trPr>
          <w:trHeight w:val="1100" w:hRule="atLeast"/>
        </w:trPr>
        <w:tc>
          <w:tcPr>
            <w:tcW w:w="7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5</w:t>
            </w:r>
          </w:p>
        </w:tc>
        <w:tc>
          <w:tcPr>
            <w:tcW w:w="15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广东粤良种业有限公司</w:t>
            </w:r>
          </w:p>
        </w:tc>
        <w:tc>
          <w:tcPr>
            <w:tcW w:w="21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省级应急种子储备补贴</w:t>
            </w:r>
          </w:p>
        </w:tc>
        <w:tc>
          <w:tcPr>
            <w:tcW w:w="36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完成2020年度省级应急种子储备13万公斤（杂交水稻8万公斤，常规水稻5万公斤）。</w:t>
            </w:r>
          </w:p>
        </w:tc>
        <w:tc>
          <w:tcPr>
            <w:tcW w:w="13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50</w:t>
            </w:r>
          </w:p>
        </w:tc>
      </w:tr>
      <w:tr>
        <w:tblPrEx>
          <w:tblCellMar>
            <w:top w:w="0" w:type="dxa"/>
            <w:left w:w="0" w:type="dxa"/>
            <w:bottom w:w="0" w:type="dxa"/>
            <w:right w:w="0" w:type="dxa"/>
          </w:tblCellMar>
        </w:tblPrEx>
        <w:trPr>
          <w:trHeight w:val="840" w:hRule="atLeast"/>
        </w:trPr>
        <w:tc>
          <w:tcPr>
            <w:tcW w:w="7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6</w:t>
            </w:r>
          </w:p>
        </w:tc>
        <w:tc>
          <w:tcPr>
            <w:tcW w:w="15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广东天弘种业有限公司</w:t>
            </w:r>
          </w:p>
        </w:tc>
        <w:tc>
          <w:tcPr>
            <w:tcW w:w="21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省级应急种子储备补贴</w:t>
            </w:r>
          </w:p>
        </w:tc>
        <w:tc>
          <w:tcPr>
            <w:tcW w:w="36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完成2020年度省级应急种子储备21万公斤（杂交水稻9万公斤，常规水稻12万公斤）。</w:t>
            </w:r>
          </w:p>
        </w:tc>
        <w:tc>
          <w:tcPr>
            <w:tcW w:w="13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69</w:t>
            </w:r>
          </w:p>
        </w:tc>
      </w:tr>
      <w:tr>
        <w:tblPrEx>
          <w:tblCellMar>
            <w:top w:w="0" w:type="dxa"/>
            <w:left w:w="0" w:type="dxa"/>
            <w:bottom w:w="0" w:type="dxa"/>
            <w:right w:w="0" w:type="dxa"/>
          </w:tblCellMar>
        </w:tblPrEx>
        <w:trPr>
          <w:trHeight w:val="790" w:hRule="atLeast"/>
        </w:trPr>
        <w:tc>
          <w:tcPr>
            <w:tcW w:w="7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7</w:t>
            </w:r>
          </w:p>
        </w:tc>
        <w:tc>
          <w:tcPr>
            <w:tcW w:w="15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广东华茂高科种业有限公司</w:t>
            </w:r>
          </w:p>
        </w:tc>
        <w:tc>
          <w:tcPr>
            <w:tcW w:w="21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省级应急种子储备补贴</w:t>
            </w:r>
          </w:p>
        </w:tc>
        <w:tc>
          <w:tcPr>
            <w:tcW w:w="36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完成2020年度省级应急种子储备20万公斤（杂交水稻8万公斤，常规水稻12万公斤）。</w:t>
            </w:r>
          </w:p>
        </w:tc>
        <w:tc>
          <w:tcPr>
            <w:tcW w:w="13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64</w:t>
            </w:r>
          </w:p>
        </w:tc>
      </w:tr>
      <w:tr>
        <w:tblPrEx>
          <w:tblCellMar>
            <w:top w:w="0" w:type="dxa"/>
            <w:left w:w="0" w:type="dxa"/>
            <w:bottom w:w="0" w:type="dxa"/>
            <w:right w:w="0" w:type="dxa"/>
          </w:tblCellMar>
        </w:tblPrEx>
        <w:trPr>
          <w:trHeight w:val="790" w:hRule="atLeast"/>
        </w:trPr>
        <w:tc>
          <w:tcPr>
            <w:tcW w:w="7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8</w:t>
            </w:r>
          </w:p>
        </w:tc>
        <w:tc>
          <w:tcPr>
            <w:tcW w:w="15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广东现代种业有限公司</w:t>
            </w:r>
          </w:p>
        </w:tc>
        <w:tc>
          <w:tcPr>
            <w:tcW w:w="21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省级应急种子储备补贴</w:t>
            </w:r>
          </w:p>
        </w:tc>
        <w:tc>
          <w:tcPr>
            <w:tcW w:w="36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left"/>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完成2020年度省级应急种子储备10万公斤（杂交水稻6万公斤，常规水稻4万公斤）。</w:t>
            </w:r>
          </w:p>
        </w:tc>
        <w:tc>
          <w:tcPr>
            <w:tcW w:w="13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eastAsia" w:ascii="仿宋_GB2312" w:eastAsia="仿宋_GB2312"/>
                <w:b w:val="0"/>
                <w:bCs w:val="0"/>
                <w:color w:val="auto"/>
                <w:sz w:val="24"/>
                <w:szCs w:val="24"/>
                <w:highlight w:val="none"/>
                <w:lang w:val="en-US" w:eastAsia="zh-CN"/>
              </w:rPr>
            </w:pPr>
            <w:r>
              <w:rPr>
                <w:rFonts w:hint="eastAsia" w:ascii="仿宋_GB2312" w:eastAsia="仿宋_GB2312"/>
                <w:b w:val="0"/>
                <w:bCs w:val="0"/>
                <w:color w:val="auto"/>
                <w:sz w:val="24"/>
                <w:szCs w:val="24"/>
                <w:highlight w:val="none"/>
                <w:lang w:val="en-US" w:eastAsia="zh-CN"/>
              </w:rPr>
              <w:t>38</w:t>
            </w:r>
          </w:p>
        </w:tc>
      </w:tr>
    </w:tbl>
    <w:p>
      <w:pPr>
        <w:keepNext w:val="0"/>
        <w:keepLines w:val="0"/>
        <w:pageBreakBefore w:val="0"/>
        <w:widowControl/>
        <w:suppressLineNumbers w:val="0"/>
        <w:kinsoku/>
        <w:wordWrap/>
        <w:overflowPunct/>
        <w:topLinePunct w:val="0"/>
        <w:autoSpaceDE/>
        <w:autoSpaceDN/>
        <w:bidi w:val="0"/>
        <w:spacing w:line="260" w:lineRule="exact"/>
        <w:ind w:left="0" w:leftChars="0" w:right="0" w:rightChars="0" w:firstLine="0" w:firstLineChars="0"/>
        <w:jc w:val="center"/>
        <w:textAlignment w:val="center"/>
        <w:outlineLvl w:val="9"/>
        <w:rPr>
          <w:rFonts w:hint="eastAsia" w:ascii="仿宋_GB2312" w:eastAsia="仿宋_GB2312"/>
          <w:b w:val="0"/>
          <w:bCs w:val="0"/>
          <w:color w:val="auto"/>
          <w:sz w:val="32"/>
          <w:szCs w:val="32"/>
          <w:highlight w:val="none"/>
          <w:lang w:val="en-US" w:eastAsia="zh-CN"/>
        </w:rPr>
      </w:pPr>
    </w:p>
    <w:p>
      <w:pPr>
        <w:pStyle w:val="3"/>
        <w:pageBreakBefore w:val="0"/>
        <w:numPr>
          <w:ilvl w:val="0"/>
          <w:numId w:val="1"/>
        </w:numPr>
        <w:kinsoku/>
        <w:wordWrap/>
        <w:overflowPunct/>
        <w:topLinePunct w:val="0"/>
        <w:bidi w:val="0"/>
        <w:spacing w:before="0" w:after="0" w:line="360" w:lineRule="auto"/>
        <w:ind w:left="0" w:leftChars="0" w:firstLine="642" w:firstLineChars="200"/>
        <w:outlineLvl w:val="1"/>
        <w:rPr>
          <w:rFonts w:hint="eastAsia" w:ascii="Calibri" w:hAnsi="宋体" w:eastAsia="楷体_GB2312" w:cs="Times New Roman"/>
          <w:b/>
          <w:bCs/>
          <w:color w:val="auto"/>
          <w:kern w:val="44"/>
          <w:sz w:val="32"/>
          <w:szCs w:val="44"/>
          <w:highlight w:val="none"/>
          <w:lang w:val="en-US" w:eastAsia="zh-CN" w:bidi="ar-SA"/>
        </w:rPr>
      </w:pPr>
      <w:bookmarkStart w:id="18" w:name="_Toc965134885_WPSOffice_Level2"/>
      <w:bookmarkStart w:id="19" w:name="_Toc1313"/>
      <w:bookmarkStart w:id="20" w:name="_Toc20167"/>
      <w:r>
        <w:rPr>
          <w:rFonts w:hint="eastAsia" w:ascii="Calibri" w:hAnsi="宋体" w:eastAsia="楷体_GB2312" w:cs="Times New Roman"/>
          <w:b/>
          <w:bCs/>
          <w:color w:val="auto"/>
          <w:kern w:val="44"/>
          <w:sz w:val="32"/>
          <w:szCs w:val="44"/>
          <w:highlight w:val="none"/>
          <w:lang w:val="en-US" w:eastAsia="zh-CN" w:bidi="ar-SA"/>
        </w:rPr>
        <w:t>资金分配方式和实施程序</w:t>
      </w:r>
      <w:bookmarkEnd w:id="18"/>
      <w:bookmarkEnd w:id="19"/>
      <w:bookmarkEnd w:id="20"/>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642" w:firstLineChars="200"/>
        <w:textAlignment w:val="auto"/>
        <w:outlineLvl w:val="2"/>
        <w:rPr>
          <w:rFonts w:hint="eastAsia" w:ascii="仿宋_GB2312" w:hAnsi="仿宋_GB2312" w:eastAsia="仿宋_GB2312" w:cs="仿宋_GB2312"/>
          <w:b/>
          <w:bCs/>
          <w:color w:val="auto"/>
          <w:sz w:val="32"/>
          <w:szCs w:val="32"/>
          <w:highlight w:val="none"/>
          <w:lang w:val="en-US" w:eastAsia="zh-CN"/>
        </w:rPr>
      </w:pPr>
      <w:bookmarkStart w:id="21" w:name="_Toc17363"/>
      <w:r>
        <w:rPr>
          <w:rFonts w:hint="eastAsia" w:ascii="仿宋_GB2312" w:hAnsi="仿宋_GB2312" w:eastAsia="仿宋_GB2312" w:cs="仿宋_GB2312"/>
          <w:b/>
          <w:bCs/>
          <w:color w:val="auto"/>
          <w:sz w:val="32"/>
          <w:szCs w:val="32"/>
          <w:highlight w:val="none"/>
          <w:lang w:val="en-US" w:eastAsia="zh-CN"/>
        </w:rPr>
        <w:t>1.家禽及蔬菜瓜果应急收储奖补资金。</w:t>
      </w:r>
      <w:bookmarkEnd w:id="21"/>
    </w:p>
    <w:p>
      <w:pPr>
        <w:pStyle w:val="30"/>
        <w:keepNext w:val="0"/>
        <w:keepLines w:val="0"/>
        <w:pageBreakBefore w:val="0"/>
        <w:widowControl w:val="0"/>
        <w:numPr>
          <w:ilvl w:val="0"/>
          <w:numId w:val="0"/>
        </w:numPr>
        <w:tabs>
          <w:tab w:val="left" w:pos="1843"/>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lang w:eastAsia="zh-CN"/>
        </w:rPr>
      </w:pPr>
      <w:r>
        <w:rPr>
          <w:rFonts w:hint="eastAsia" w:ascii="仿宋_GB2312" w:hAnsi="Times New Roman" w:eastAsia="仿宋_GB2312" w:cs="Times New Roman"/>
          <w:b w:val="0"/>
          <w:bCs w:val="0"/>
          <w:color w:val="auto"/>
          <w:sz w:val="32"/>
          <w:highlight w:val="none"/>
          <w:lang w:val="en-US" w:eastAsia="zh-CN"/>
        </w:rPr>
        <w:t>资金分配方式为因素法。省财政奖补资金根据各地最低收储量按因素法分配下达各市，粤东西北 14 个地市及江门市享受省级转移支付政策的县（市）由省财政承担，珠三角地区（深圳市除外）省财政承担50%。深圳市可参照省的方案自行开展收储工作和承担收储奖补资金。家禽收储每只奖补2元、蔬菜瓜果收储采购每吨奖补200元。各地可在省核定的最低收储量基础上，统筹其他资金投入，扩大本地区收储奖补规模，所需奖补资金由各市县自行解决。如收储期内，相关农产品市场恢复正常并保持稳定，各地可以停止实施奖补政策。</w:t>
      </w:r>
    </w:p>
    <w:p>
      <w:pPr>
        <w:pStyle w:val="30"/>
        <w:keepNext w:val="0"/>
        <w:keepLines w:val="0"/>
        <w:pageBreakBefore w:val="0"/>
        <w:widowControl w:val="0"/>
        <w:numPr>
          <w:ilvl w:val="0"/>
          <w:numId w:val="0"/>
        </w:numPr>
        <w:tabs>
          <w:tab w:val="left" w:pos="1843"/>
        </w:tabs>
        <w:kinsoku/>
        <w:wordWrap/>
        <w:overflowPunct/>
        <w:topLinePunct w:val="0"/>
        <w:autoSpaceDE/>
        <w:autoSpaceDN/>
        <w:bidi w:val="0"/>
        <w:adjustRightInd/>
        <w:snapToGrid/>
        <w:spacing w:line="360" w:lineRule="auto"/>
        <w:ind w:firstLine="640" w:firstLineChars="200"/>
        <w:textAlignment w:val="auto"/>
        <w:rPr>
          <w:rFonts w:hint="eastAsia" w:ascii="仿宋_GB2312" w:eastAsia="仿宋_GB2312" w:cs="Times New Roman"/>
          <w:b w:val="0"/>
          <w:bCs w:val="0"/>
          <w:color w:val="auto"/>
          <w:sz w:val="32"/>
          <w:highlight w:val="none"/>
          <w:lang w:val="en-US" w:eastAsia="zh-CN"/>
        </w:rPr>
      </w:pPr>
      <w:r>
        <w:rPr>
          <w:rFonts w:hint="eastAsia" w:ascii="仿宋_GB2312" w:eastAsia="仿宋_GB2312" w:cs="Times New Roman"/>
          <w:b w:val="0"/>
          <w:bCs w:val="0"/>
          <w:color w:val="auto"/>
          <w:sz w:val="32"/>
          <w:highlight w:val="none"/>
          <w:lang w:val="en-US" w:eastAsia="zh-CN"/>
        </w:rPr>
        <w:t>项目资金的实施采用“企业申报—县级审核确认—市级审定发放”。企业申报环节，在规定的疫情防控期间，由符合条件的家禽收储企业向企业所在地县级农业农村部门、蔬菜瓜果收储采</w:t>
      </w:r>
      <w:r>
        <w:rPr>
          <w:rFonts w:hint="eastAsia" w:ascii="仿宋_GB2312" w:hAnsi="Times New Roman" w:eastAsia="仿宋_GB2312" w:cs="Times New Roman"/>
          <w:b w:val="0"/>
          <w:bCs w:val="0"/>
          <w:color w:val="auto"/>
          <w:sz w:val="32"/>
          <w:highlight w:val="none"/>
          <w:lang w:val="en-US" w:eastAsia="zh-CN"/>
        </w:rPr>
        <w:t>购企业向收储采购地所在的县级农业农村部门提交《收储奖补资金申请表》和相关证明材料；县级审核确认环节要求：县级农业农村部门对企业提交的申报资料进行审核，并将审核结果在县级农业农村部门网站上公示3天，并会同县级财政部门上报市农业农村、财政部门审定；市级审定发放环节要求：地级以上市农业农村、财政部门对县级汇总上报的申报材料进行审定，拨付和发放奖补资金，并在15个工作日内将实际发放情况向省农业农村厅、财政厅报备。</w:t>
      </w:r>
    </w:p>
    <w:p>
      <w:pPr>
        <w:pStyle w:val="30"/>
        <w:keepNext w:val="0"/>
        <w:keepLines w:val="0"/>
        <w:pageBreakBefore w:val="0"/>
        <w:widowControl w:val="0"/>
        <w:numPr>
          <w:ilvl w:val="0"/>
          <w:numId w:val="0"/>
        </w:numPr>
        <w:tabs>
          <w:tab w:val="left" w:pos="1843"/>
        </w:tabs>
        <w:kinsoku/>
        <w:wordWrap/>
        <w:overflowPunct/>
        <w:topLinePunct w:val="0"/>
        <w:autoSpaceDE/>
        <w:autoSpaceDN/>
        <w:bidi w:val="0"/>
        <w:adjustRightInd/>
        <w:snapToGrid/>
        <w:spacing w:line="360" w:lineRule="auto"/>
        <w:ind w:firstLine="642" w:firstLineChars="200"/>
        <w:textAlignment w:val="auto"/>
        <w:outlineLvl w:val="2"/>
        <w:rPr>
          <w:rFonts w:hint="eastAsia" w:ascii="仿宋_GB2312" w:eastAsia="仿宋_GB2312" w:cs="Times New Roman"/>
          <w:b/>
          <w:bCs/>
          <w:color w:val="auto"/>
          <w:sz w:val="32"/>
          <w:highlight w:val="none"/>
          <w:lang w:val="en-US" w:eastAsia="zh-CN"/>
        </w:rPr>
      </w:pPr>
      <w:bookmarkStart w:id="22" w:name="_Toc9367"/>
      <w:r>
        <w:rPr>
          <w:rFonts w:hint="eastAsia" w:ascii="仿宋_GB2312" w:eastAsia="仿宋_GB2312" w:cs="Times New Roman"/>
          <w:b/>
          <w:bCs/>
          <w:color w:val="auto"/>
          <w:sz w:val="32"/>
          <w:highlight w:val="none"/>
          <w:lang w:val="en-US" w:eastAsia="zh-CN"/>
        </w:rPr>
        <w:t>2.红火蚁防控资金。</w:t>
      </w:r>
      <w:bookmarkEnd w:id="22"/>
    </w:p>
    <w:p>
      <w:pPr>
        <w:pStyle w:val="30"/>
        <w:keepNext w:val="0"/>
        <w:keepLines w:val="0"/>
        <w:pageBreakBefore w:val="0"/>
        <w:widowControl w:val="0"/>
        <w:numPr>
          <w:ilvl w:val="0"/>
          <w:numId w:val="0"/>
        </w:numPr>
        <w:tabs>
          <w:tab w:val="left" w:pos="1843"/>
        </w:tabs>
        <w:kinsoku/>
        <w:wordWrap/>
        <w:overflowPunct/>
        <w:topLinePunct w:val="0"/>
        <w:autoSpaceDE/>
        <w:autoSpaceDN/>
        <w:bidi w:val="0"/>
        <w:adjustRightInd/>
        <w:snapToGrid/>
        <w:spacing w:line="360" w:lineRule="auto"/>
        <w:ind w:firstLine="640" w:firstLineChars="200"/>
        <w:textAlignment w:val="auto"/>
        <w:rPr>
          <w:rFonts w:hint="eastAsia" w:ascii="仿宋_GB2312" w:eastAsia="仿宋_GB2312" w:cs="Times New Roman"/>
          <w:b w:val="0"/>
          <w:bCs w:val="0"/>
          <w:color w:val="auto"/>
          <w:sz w:val="32"/>
          <w:highlight w:val="none"/>
          <w:lang w:val="en-US" w:eastAsia="zh-CN"/>
        </w:rPr>
      </w:pPr>
      <w:r>
        <w:rPr>
          <w:rFonts w:hint="eastAsia" w:ascii="仿宋_GB2312" w:eastAsia="仿宋_GB2312" w:cs="Times New Roman"/>
          <w:b w:val="0"/>
          <w:bCs w:val="0"/>
          <w:color w:val="auto"/>
          <w:sz w:val="32"/>
          <w:highlight w:val="none"/>
          <w:lang w:val="en-US" w:eastAsia="zh-CN"/>
        </w:rPr>
        <w:t>资金分配方式为因素法。资金按红火蚁疫情发生地市（因素A）、辖区红火蚁发生县（市、区）个数（因素B）,平均分配到各地级以上市，地级以上市分配资金=红火蚁疫情发生地市应急处置经费（因素A）+辖区红火蚁发生县（市、区）经费（因素B）。广州等6个珠三角地区经济较发达的市按照50%的比例安排防控资金。6个经济较发达的珠三角地级市应急处置经费6万元、每个疫情发生县（市、区）4万元，其他14个地级市应急防控经费12万元、辖区每个疫情发生县（市、区）8万元，合计980万元，余下20万元再平均分配给20个地级市。省级专项资金和任务清单逐级下达到县（市、区）后，由有关部门组织实施。</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642" w:firstLineChars="200"/>
        <w:textAlignment w:val="auto"/>
        <w:outlineLvl w:val="2"/>
        <w:rPr>
          <w:rFonts w:hint="eastAsia" w:ascii="仿宋_GB2312" w:hAnsi="Times New Roman" w:eastAsia="仿宋_GB2312" w:cs="Times New Roman"/>
          <w:b/>
          <w:bCs/>
          <w:color w:val="auto"/>
          <w:kern w:val="2"/>
          <w:sz w:val="32"/>
          <w:szCs w:val="24"/>
          <w:highlight w:val="none"/>
          <w:lang w:val="en-US" w:eastAsia="zh-CN" w:bidi="ar-SA"/>
        </w:rPr>
      </w:pPr>
      <w:bookmarkStart w:id="23" w:name="_Toc11056"/>
      <w:r>
        <w:rPr>
          <w:rFonts w:hint="eastAsia" w:ascii="仿宋_GB2312" w:hAnsi="Times New Roman" w:eastAsia="仿宋_GB2312" w:cs="Times New Roman"/>
          <w:b/>
          <w:bCs/>
          <w:color w:val="auto"/>
          <w:kern w:val="2"/>
          <w:sz w:val="32"/>
          <w:szCs w:val="24"/>
          <w:highlight w:val="none"/>
          <w:lang w:val="en-US" w:eastAsia="zh-CN" w:bidi="ar-SA"/>
        </w:rPr>
        <w:t>3.</w:t>
      </w:r>
      <w:r>
        <w:rPr>
          <w:rFonts w:hint="eastAsia" w:ascii="仿宋_GB2312" w:eastAsia="仿宋_GB2312" w:cs="Times New Roman"/>
          <w:b/>
          <w:bCs/>
          <w:color w:val="auto"/>
          <w:kern w:val="2"/>
          <w:sz w:val="32"/>
          <w:szCs w:val="24"/>
          <w:highlight w:val="none"/>
          <w:lang w:val="en-US" w:eastAsia="zh-CN" w:bidi="ar-SA"/>
        </w:rPr>
        <w:t>应急种子</w:t>
      </w:r>
      <w:r>
        <w:rPr>
          <w:rFonts w:hint="eastAsia" w:ascii="仿宋_GB2312" w:hAnsi="Times New Roman" w:eastAsia="仿宋_GB2312" w:cs="Times New Roman"/>
          <w:b/>
          <w:bCs/>
          <w:color w:val="auto"/>
          <w:kern w:val="2"/>
          <w:sz w:val="32"/>
          <w:szCs w:val="24"/>
          <w:highlight w:val="none"/>
          <w:lang w:val="en-US" w:eastAsia="zh-CN" w:bidi="ar-SA"/>
        </w:rPr>
        <w:t>储备及调拨资金</w:t>
      </w:r>
      <w:r>
        <w:rPr>
          <w:rFonts w:hint="eastAsia" w:ascii="仿宋_GB2312" w:eastAsia="仿宋_GB2312" w:cs="Times New Roman"/>
          <w:b/>
          <w:bCs/>
          <w:color w:val="auto"/>
          <w:kern w:val="2"/>
          <w:sz w:val="32"/>
          <w:szCs w:val="24"/>
          <w:highlight w:val="none"/>
          <w:lang w:val="en-US" w:eastAsia="zh-CN" w:bidi="ar-SA"/>
        </w:rPr>
        <w:t>。</w:t>
      </w:r>
      <w:bookmarkEnd w:id="23"/>
    </w:p>
    <w:p>
      <w:pPr>
        <w:pStyle w:val="2"/>
        <w:ind w:left="0" w:leftChars="0" w:firstLine="640" w:firstLineChars="200"/>
        <w:rPr>
          <w:rFonts w:hint="eastAsia" w:ascii="仿宋_GB2312" w:hAnsi="Times New Roman" w:eastAsia="仿宋_GB2312" w:cs="Times New Roman"/>
          <w:b w:val="0"/>
          <w:bCs w:val="0"/>
          <w:color w:val="auto"/>
          <w:kern w:val="2"/>
          <w:sz w:val="32"/>
          <w:szCs w:val="24"/>
          <w:highlight w:val="none"/>
          <w:lang w:val="en-US" w:eastAsia="zh-CN" w:bidi="ar-SA"/>
        </w:rPr>
      </w:pPr>
      <w:r>
        <w:rPr>
          <w:rFonts w:hint="eastAsia" w:ascii="仿宋_GB2312" w:hAnsi="Times New Roman" w:eastAsia="仿宋_GB2312" w:cs="Times New Roman"/>
          <w:b w:val="0"/>
          <w:bCs w:val="0"/>
          <w:color w:val="auto"/>
          <w:kern w:val="2"/>
          <w:sz w:val="32"/>
          <w:szCs w:val="24"/>
          <w:highlight w:val="none"/>
          <w:lang w:val="en-US" w:eastAsia="zh-CN" w:bidi="ar-SA"/>
        </w:rPr>
        <w:t>资金分配方式为因素法。省级应急种子储备补贴资金根据8家承储企业储备种子种类、数量和补贴标准予以分配。拨付调用储备种子救灾资金根据调出单位的调用数量和调用价格予以分配。</w:t>
      </w:r>
    </w:p>
    <w:p>
      <w:pPr>
        <w:keepNext w:val="0"/>
        <w:keepLines w:val="0"/>
        <w:pageBreakBefore w:val="0"/>
        <w:widowControl w:val="0"/>
        <w:kinsoku/>
        <w:wordWrap/>
        <w:overflowPunct/>
        <w:topLinePunct w:val="0"/>
        <w:autoSpaceDE/>
        <w:autoSpaceDN/>
        <w:bidi w:val="0"/>
        <w:adjustRightInd/>
        <w:snapToGrid w:val="0"/>
        <w:spacing w:beforeLines="0" w:afterLines="0" w:line="360" w:lineRule="auto"/>
        <w:ind w:firstLine="640" w:firstLineChars="200"/>
        <w:textAlignment w:val="auto"/>
        <w:rPr>
          <w:rFonts w:hint="eastAsia" w:ascii="仿宋_GB2312" w:hAnsi="Times New Roman" w:eastAsia="仿宋_GB2312" w:cs="Times New Roman"/>
          <w:b w:val="0"/>
          <w:bCs w:val="0"/>
          <w:color w:val="auto"/>
          <w:kern w:val="2"/>
          <w:sz w:val="32"/>
          <w:szCs w:val="24"/>
          <w:highlight w:val="none"/>
          <w:lang w:val="en-US" w:eastAsia="zh-CN" w:bidi="ar-SA"/>
        </w:rPr>
      </w:pPr>
      <w:r>
        <w:rPr>
          <w:rFonts w:hint="eastAsia" w:ascii="仿宋_GB2312" w:hAnsi="Times New Roman" w:eastAsia="仿宋_GB2312" w:cs="Times New Roman"/>
          <w:b w:val="0"/>
          <w:bCs w:val="0"/>
          <w:color w:val="auto"/>
          <w:kern w:val="2"/>
          <w:sz w:val="32"/>
          <w:szCs w:val="24"/>
          <w:highlight w:val="none"/>
          <w:lang w:val="en-US" w:eastAsia="zh-CN" w:bidi="ar-SA"/>
        </w:rPr>
        <w:t>（1）省级应急种子储备补贴资金。按照《广东省省级粮食应急种子储备实施方案》和我厅制订的2020年度省级应急种子储备项目资金使用计划，2020年度省级应急种子储备补贴标准为：杂交水稻种子5元/公斤；常规水稻种子2元/公斤；普通杂交玉米种子3元/公斤，甜糯玉米种子每公斤每年补贴8元，叶菜类种子每公斤每年补贴5元</w:t>
      </w:r>
      <w:r>
        <w:rPr>
          <w:rFonts w:hint="eastAsia" w:ascii="仿宋_GB2312" w:eastAsia="仿宋_GB2312" w:cs="Times New Roman"/>
          <w:b w:val="0"/>
          <w:bCs w:val="0"/>
          <w:color w:val="auto"/>
          <w:kern w:val="2"/>
          <w:sz w:val="32"/>
          <w:szCs w:val="24"/>
          <w:highlight w:val="none"/>
          <w:lang w:val="en-US" w:eastAsia="zh-CN" w:bidi="ar-SA"/>
        </w:rPr>
        <w:t>。</w:t>
      </w:r>
      <w:r>
        <w:rPr>
          <w:rFonts w:hint="eastAsia" w:ascii="仿宋_GB2312" w:hAnsi="Times New Roman" w:eastAsia="仿宋_GB2312" w:cs="Times New Roman"/>
          <w:b w:val="0"/>
          <w:bCs w:val="0"/>
          <w:color w:val="auto"/>
          <w:kern w:val="2"/>
          <w:sz w:val="32"/>
          <w:szCs w:val="24"/>
          <w:highlight w:val="none"/>
          <w:lang w:val="en-US" w:eastAsia="zh-CN" w:bidi="ar-SA"/>
        </w:rPr>
        <w:t>储备任务通过公开招标确定承储单位。</w:t>
      </w:r>
    </w:p>
    <w:p>
      <w:pPr>
        <w:keepNext w:val="0"/>
        <w:keepLines w:val="0"/>
        <w:pageBreakBefore w:val="0"/>
        <w:widowControl w:val="0"/>
        <w:kinsoku/>
        <w:wordWrap/>
        <w:overflowPunct/>
        <w:topLinePunct w:val="0"/>
        <w:autoSpaceDE/>
        <w:autoSpaceDN/>
        <w:bidi w:val="0"/>
        <w:adjustRightInd/>
        <w:snapToGrid w:val="0"/>
        <w:spacing w:beforeLines="0" w:afterLines="0" w:line="360" w:lineRule="auto"/>
        <w:ind w:firstLine="640" w:firstLineChars="200"/>
        <w:textAlignment w:val="auto"/>
        <w:rPr>
          <w:rFonts w:hint="eastAsia" w:ascii="仿宋_GB2312" w:hAnsi="Times New Roman" w:eastAsia="仿宋_GB2312" w:cs="Times New Roman"/>
          <w:b w:val="0"/>
          <w:bCs w:val="0"/>
          <w:color w:val="auto"/>
          <w:kern w:val="2"/>
          <w:sz w:val="32"/>
          <w:szCs w:val="24"/>
          <w:highlight w:val="none"/>
          <w:lang w:val="en-US" w:eastAsia="zh-CN" w:bidi="ar-SA"/>
        </w:rPr>
      </w:pPr>
      <w:r>
        <w:rPr>
          <w:rFonts w:hint="eastAsia" w:ascii="仿宋_GB2312" w:hAnsi="Times New Roman" w:eastAsia="仿宋_GB2312" w:cs="Times New Roman"/>
          <w:b w:val="0"/>
          <w:bCs w:val="0"/>
          <w:color w:val="auto"/>
          <w:kern w:val="2"/>
          <w:sz w:val="32"/>
          <w:szCs w:val="24"/>
          <w:highlight w:val="none"/>
          <w:lang w:val="en-US" w:eastAsia="zh-CN" w:bidi="ar-SA"/>
        </w:rPr>
        <w:t>（2）拨付调用储备种子救灾资金。根据灾区地级以上市农业农村局、财政局联合向省农业农村厅、财政厅提出调用省级应急储备种子申请，经省农业农村厅和省财政厅联合批复同意调用数量和调出单位。调用价格按照2019年度省级粮食应急种子储备招标结果</w:t>
      </w:r>
      <w:r>
        <w:rPr>
          <w:rFonts w:hint="eastAsia" w:ascii="仿宋_GB2312" w:eastAsia="仿宋_GB2312" w:cs="Times New Roman"/>
          <w:b w:val="0"/>
          <w:bCs w:val="0"/>
          <w:color w:val="auto"/>
          <w:kern w:val="2"/>
          <w:sz w:val="32"/>
          <w:szCs w:val="24"/>
          <w:highlight w:val="none"/>
          <w:lang w:val="en-US" w:eastAsia="zh-CN" w:bidi="ar-SA"/>
        </w:rPr>
        <w:t>和《关于下达2019年度省级应急种子储备任务的通知》</w:t>
      </w:r>
      <w:r>
        <w:rPr>
          <w:rFonts w:hint="eastAsia" w:ascii="仿宋_GB2312" w:hAnsi="Times New Roman" w:eastAsia="仿宋_GB2312" w:cs="Times New Roman"/>
          <w:b w:val="0"/>
          <w:bCs w:val="0"/>
          <w:color w:val="auto"/>
          <w:kern w:val="2"/>
          <w:sz w:val="32"/>
          <w:szCs w:val="24"/>
          <w:highlight w:val="none"/>
          <w:lang w:val="en-US" w:eastAsia="zh-CN" w:bidi="ar-SA"/>
        </w:rPr>
        <w:t>（粤农农函〔2019〕1528号）确定，普通杂交玉米种子22元/公斤，甜糯玉米种子73元/公斤。</w:t>
      </w:r>
    </w:p>
    <w:p>
      <w:pPr>
        <w:pageBreakBefore w:val="0"/>
        <w:kinsoku/>
        <w:wordWrap/>
        <w:overflowPunct/>
        <w:topLinePunct w:val="0"/>
        <w:bidi w:val="0"/>
        <w:snapToGrid/>
        <w:spacing w:beforeLines="0" w:afterLines="0" w:line="360" w:lineRule="auto"/>
        <w:ind w:firstLine="642" w:firstLineChars="200"/>
        <w:outlineLvl w:val="1"/>
        <w:rPr>
          <w:rFonts w:hint="eastAsia" w:ascii="楷体_GB2312" w:hAnsi="宋体" w:eastAsia="楷体_GB2312"/>
          <w:b/>
          <w:bCs/>
          <w:color w:val="auto"/>
          <w:kern w:val="0"/>
          <w:sz w:val="32"/>
          <w:szCs w:val="32"/>
          <w:highlight w:val="none"/>
        </w:rPr>
      </w:pPr>
      <w:bookmarkStart w:id="24" w:name="_Toc24166"/>
      <w:bookmarkStart w:id="25" w:name="_Toc6456"/>
      <w:bookmarkStart w:id="26" w:name="_Toc1359522698_WPSOffice_Level2"/>
      <w:r>
        <w:rPr>
          <w:rFonts w:hint="eastAsia" w:ascii="楷体_GB2312" w:hAnsi="宋体" w:eastAsia="楷体_GB2312"/>
          <w:b/>
          <w:bCs/>
          <w:color w:val="auto"/>
          <w:kern w:val="0"/>
          <w:sz w:val="32"/>
          <w:szCs w:val="32"/>
          <w:highlight w:val="none"/>
        </w:rPr>
        <w:t>（</w:t>
      </w:r>
      <w:r>
        <w:rPr>
          <w:rFonts w:hint="eastAsia" w:ascii="楷体_GB2312" w:hAnsi="宋体" w:eastAsia="楷体_GB2312"/>
          <w:b/>
          <w:bCs/>
          <w:color w:val="auto"/>
          <w:kern w:val="0"/>
          <w:sz w:val="32"/>
          <w:szCs w:val="32"/>
          <w:highlight w:val="none"/>
          <w:lang w:eastAsia="zh-CN"/>
        </w:rPr>
        <w:t>三</w:t>
      </w:r>
      <w:r>
        <w:rPr>
          <w:rFonts w:hint="eastAsia" w:ascii="楷体_GB2312" w:hAnsi="宋体" w:eastAsia="楷体_GB2312"/>
          <w:b/>
          <w:bCs/>
          <w:color w:val="auto"/>
          <w:kern w:val="0"/>
          <w:sz w:val="32"/>
          <w:szCs w:val="32"/>
          <w:highlight w:val="none"/>
        </w:rPr>
        <w:t>）主要用途</w:t>
      </w:r>
      <w:bookmarkEnd w:id="24"/>
      <w:bookmarkEnd w:id="25"/>
      <w:bookmarkEnd w:id="26"/>
    </w:p>
    <w:p>
      <w:pPr>
        <w:keepNext w:val="0"/>
        <w:keepLines w:val="0"/>
        <w:pageBreakBefore w:val="0"/>
        <w:widowControl w:val="0"/>
        <w:kinsoku/>
        <w:wordWrap/>
        <w:overflowPunct/>
        <w:topLinePunct w:val="0"/>
        <w:autoSpaceDE/>
        <w:autoSpaceDN/>
        <w:bidi w:val="0"/>
        <w:adjustRightInd/>
        <w:snapToGrid w:val="0"/>
        <w:spacing w:beforeLines="0" w:afterLines="0" w:line="360" w:lineRule="auto"/>
        <w:ind w:firstLine="640" w:firstLineChars="200"/>
        <w:textAlignment w:val="auto"/>
        <w:rPr>
          <w:rFonts w:hint="eastAsia" w:ascii="仿宋_GB2312" w:hAnsi="Times New Roman" w:eastAsia="仿宋_GB2312" w:cs="Times New Roman"/>
          <w:b w:val="0"/>
          <w:bCs w:val="0"/>
          <w:color w:val="auto"/>
          <w:kern w:val="2"/>
          <w:sz w:val="32"/>
          <w:szCs w:val="24"/>
          <w:highlight w:val="none"/>
          <w:lang w:val="en-US" w:eastAsia="zh-CN" w:bidi="ar-SA"/>
        </w:rPr>
      </w:pPr>
      <w:r>
        <w:rPr>
          <w:rFonts w:hint="eastAsia" w:ascii="仿宋_GB2312" w:hAnsi="Times New Roman" w:eastAsia="仿宋_GB2312" w:cs="Times New Roman"/>
          <w:b w:val="0"/>
          <w:bCs w:val="0"/>
          <w:color w:val="auto"/>
          <w:kern w:val="2"/>
          <w:sz w:val="32"/>
          <w:szCs w:val="24"/>
          <w:highlight w:val="none"/>
          <w:lang w:val="en-US" w:eastAsia="zh-CN" w:bidi="ar-SA"/>
        </w:rPr>
        <w:t>家禽及蔬菜瓜果应急收储奖补资金用于新冠肺炎疫情防控期间家禽及蔬菜瓜果收储奖补工作，以解决新冠肺炎疫情防控期间我省家禽及蔬菜瓜果积压滞销问题，保持农业稳定发展。</w:t>
      </w:r>
    </w:p>
    <w:p>
      <w:pPr>
        <w:keepNext w:val="0"/>
        <w:keepLines w:val="0"/>
        <w:pageBreakBefore w:val="0"/>
        <w:widowControl w:val="0"/>
        <w:kinsoku/>
        <w:wordWrap/>
        <w:overflowPunct/>
        <w:topLinePunct w:val="0"/>
        <w:autoSpaceDE/>
        <w:autoSpaceDN/>
        <w:bidi w:val="0"/>
        <w:adjustRightInd/>
        <w:snapToGrid w:val="0"/>
        <w:spacing w:beforeLines="0" w:afterLines="0" w:line="360" w:lineRule="auto"/>
        <w:ind w:firstLine="640" w:firstLineChars="200"/>
        <w:textAlignment w:val="auto"/>
        <w:rPr>
          <w:rFonts w:hint="eastAsia" w:ascii="仿宋_GB2312" w:hAnsi="Times New Roman" w:eastAsia="仿宋_GB2312" w:cs="Times New Roman"/>
          <w:b w:val="0"/>
          <w:bCs w:val="0"/>
          <w:color w:val="auto"/>
          <w:kern w:val="2"/>
          <w:sz w:val="32"/>
          <w:szCs w:val="24"/>
          <w:highlight w:val="none"/>
          <w:lang w:val="en-US" w:eastAsia="zh-CN" w:bidi="ar-SA"/>
        </w:rPr>
      </w:pPr>
      <w:r>
        <w:rPr>
          <w:rFonts w:hint="eastAsia" w:ascii="仿宋_GB2312" w:hAnsi="Times New Roman" w:eastAsia="仿宋_GB2312" w:cs="Times New Roman"/>
          <w:b w:val="0"/>
          <w:bCs w:val="0"/>
          <w:color w:val="auto"/>
          <w:kern w:val="2"/>
          <w:sz w:val="32"/>
          <w:szCs w:val="24"/>
          <w:highlight w:val="none"/>
          <w:lang w:val="en-US" w:eastAsia="zh-CN" w:bidi="ar-SA"/>
        </w:rPr>
        <w:t>红火蚁防控资金用于支持各地开展红火蚁应急防控工作，以有效遏制红火蚁快速扩散蔓延态势，保障人民群众身体健康和生产安全。</w:t>
      </w:r>
    </w:p>
    <w:p>
      <w:pPr>
        <w:keepNext w:val="0"/>
        <w:keepLines w:val="0"/>
        <w:pageBreakBefore w:val="0"/>
        <w:widowControl w:val="0"/>
        <w:kinsoku/>
        <w:wordWrap/>
        <w:overflowPunct/>
        <w:topLinePunct w:val="0"/>
        <w:autoSpaceDE/>
        <w:autoSpaceDN/>
        <w:bidi w:val="0"/>
        <w:adjustRightInd/>
        <w:snapToGrid w:val="0"/>
        <w:spacing w:beforeLines="0" w:afterLines="0" w:line="360" w:lineRule="auto"/>
        <w:ind w:firstLine="640" w:firstLineChars="200"/>
        <w:textAlignment w:val="auto"/>
        <w:rPr>
          <w:rFonts w:hint="eastAsia" w:ascii="仿宋_GB2312" w:hAnsi="Times New Roman" w:eastAsia="仿宋_GB2312" w:cs="Times New Roman"/>
          <w:b w:val="0"/>
          <w:bCs w:val="0"/>
          <w:color w:val="auto"/>
          <w:kern w:val="2"/>
          <w:sz w:val="32"/>
          <w:szCs w:val="24"/>
          <w:highlight w:val="none"/>
          <w:lang w:val="en-US" w:eastAsia="zh-CN" w:bidi="ar-SA"/>
        </w:rPr>
      </w:pPr>
      <w:r>
        <w:rPr>
          <w:rFonts w:hint="eastAsia" w:ascii="仿宋_GB2312" w:eastAsia="仿宋_GB2312" w:cs="Times New Roman"/>
          <w:b w:val="0"/>
          <w:bCs w:val="0"/>
          <w:color w:val="auto"/>
          <w:kern w:val="2"/>
          <w:sz w:val="32"/>
          <w:szCs w:val="24"/>
          <w:highlight w:val="none"/>
          <w:lang w:val="en-US" w:eastAsia="zh-CN" w:bidi="ar-SA"/>
        </w:rPr>
        <w:t>应急种子</w:t>
      </w:r>
      <w:r>
        <w:rPr>
          <w:rFonts w:hint="eastAsia" w:ascii="仿宋_GB2312" w:hAnsi="Times New Roman" w:eastAsia="仿宋_GB2312" w:cs="Times New Roman"/>
          <w:b w:val="0"/>
          <w:bCs w:val="0"/>
          <w:color w:val="auto"/>
          <w:kern w:val="2"/>
          <w:sz w:val="32"/>
          <w:szCs w:val="24"/>
          <w:highlight w:val="none"/>
          <w:lang w:val="en-US" w:eastAsia="zh-CN" w:bidi="ar-SA"/>
        </w:rPr>
        <w:t>储备及调拨资金用于支持2020年省级应急种子储备和调拨工作，以保障灾后恢复粮食生产的用种需要，支持灾区快速恢复农业生产。</w:t>
      </w:r>
    </w:p>
    <w:p>
      <w:pPr>
        <w:pStyle w:val="3"/>
        <w:pageBreakBefore w:val="0"/>
        <w:numPr>
          <w:ilvl w:val="0"/>
          <w:numId w:val="2"/>
        </w:numPr>
        <w:kinsoku/>
        <w:wordWrap/>
        <w:overflowPunct/>
        <w:topLinePunct w:val="0"/>
        <w:bidi w:val="0"/>
        <w:spacing w:before="0" w:after="0" w:line="360" w:lineRule="auto"/>
        <w:ind w:firstLine="642" w:firstLineChars="200"/>
        <w:outlineLvl w:val="1"/>
        <w:rPr>
          <w:rFonts w:hint="eastAsia" w:ascii="楷体_GB2312" w:hAnsi="宋体" w:eastAsia="楷体_GB2312"/>
          <w:b/>
          <w:bCs/>
          <w:color w:val="auto"/>
          <w:kern w:val="0"/>
          <w:sz w:val="32"/>
          <w:szCs w:val="32"/>
          <w:highlight w:val="none"/>
        </w:rPr>
      </w:pPr>
      <w:bookmarkStart w:id="27" w:name="_Toc1775064553_WPSOffice_Level2"/>
      <w:bookmarkStart w:id="28" w:name="_Toc16571"/>
      <w:bookmarkStart w:id="29" w:name="_Toc27312"/>
      <w:r>
        <w:rPr>
          <w:rFonts w:hint="eastAsia" w:ascii="楷体_GB2312" w:hAnsi="宋体" w:eastAsia="楷体_GB2312"/>
          <w:b/>
          <w:bCs/>
          <w:color w:val="auto"/>
          <w:kern w:val="0"/>
          <w:sz w:val="32"/>
          <w:szCs w:val="32"/>
          <w:highlight w:val="none"/>
        </w:rPr>
        <w:t>绩效目标</w:t>
      </w:r>
      <w:bookmarkEnd w:id="27"/>
      <w:bookmarkEnd w:id="28"/>
      <w:bookmarkEnd w:id="29"/>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642" w:firstLineChars="200"/>
        <w:textAlignment w:val="auto"/>
        <w:outlineLvl w:val="2"/>
        <w:rPr>
          <w:rFonts w:hint="eastAsia" w:ascii="仿宋_GB2312" w:hAnsi="仿宋_GB2312" w:eastAsia="仿宋_GB2312" w:cs="仿宋_GB2312"/>
          <w:b/>
          <w:bCs/>
          <w:color w:val="auto"/>
          <w:sz w:val="32"/>
          <w:szCs w:val="32"/>
          <w:highlight w:val="none"/>
          <w:lang w:val="en-US" w:eastAsia="zh-CN"/>
        </w:rPr>
      </w:pPr>
      <w:bookmarkStart w:id="30" w:name="_Toc9029"/>
      <w:r>
        <w:rPr>
          <w:rFonts w:hint="eastAsia" w:ascii="仿宋_GB2312" w:hAnsi="仿宋_GB2312" w:eastAsia="仿宋_GB2312" w:cs="仿宋_GB2312"/>
          <w:b/>
          <w:bCs/>
          <w:color w:val="auto"/>
          <w:sz w:val="32"/>
          <w:szCs w:val="32"/>
          <w:highlight w:val="none"/>
          <w:lang w:val="en-US" w:eastAsia="zh-CN"/>
        </w:rPr>
        <w:t>1.家禽及蔬菜瓜果应急收储奖补资金。</w:t>
      </w:r>
      <w:bookmarkEnd w:id="30"/>
    </w:p>
    <w:p>
      <w:pPr>
        <w:keepNext w:val="0"/>
        <w:keepLines w:val="0"/>
        <w:pageBreakBefore w:val="0"/>
        <w:widowControl w:val="0"/>
        <w:kinsoku/>
        <w:wordWrap/>
        <w:overflowPunct/>
        <w:topLinePunct w:val="0"/>
        <w:autoSpaceDE/>
        <w:autoSpaceDN/>
        <w:bidi w:val="0"/>
        <w:adjustRightInd/>
        <w:snapToGrid/>
        <w:spacing w:beforeLines="0" w:afterLines="0" w:line="360" w:lineRule="auto"/>
        <w:ind w:firstLine="640" w:firstLineChars="200"/>
        <w:textAlignment w:val="auto"/>
        <w:rPr>
          <w:rFonts w:hint="eastAsia" w:ascii="仿宋_GB2312" w:hAnsi="Times New Roman" w:eastAsia="仿宋_GB2312" w:cs="Times New Roman"/>
          <w:b w:val="0"/>
          <w:bCs w:val="0"/>
          <w:color w:val="auto"/>
          <w:kern w:val="2"/>
          <w:sz w:val="32"/>
          <w:szCs w:val="24"/>
          <w:highlight w:val="none"/>
          <w:lang w:val="en-US" w:eastAsia="zh-CN" w:bidi="ar-SA"/>
        </w:rPr>
      </w:pPr>
      <w:r>
        <w:rPr>
          <w:rFonts w:hint="eastAsia" w:ascii="仿宋_GB2312" w:hAnsi="Times New Roman" w:eastAsia="仿宋_GB2312" w:cs="Times New Roman"/>
          <w:b w:val="0"/>
          <w:bCs w:val="0"/>
          <w:color w:val="auto"/>
          <w:kern w:val="2"/>
          <w:sz w:val="32"/>
          <w:szCs w:val="24"/>
          <w:highlight w:val="none"/>
          <w:lang w:val="en-US" w:eastAsia="zh-CN" w:bidi="ar-SA"/>
        </w:rPr>
        <w:t>解决新冠肺炎疫情防控期间家禽及蔬菜瓜果积压滞销问题，保持农业稳定发展，实现收储家禽3340万只、蔬菜瓜果11.60万吨。</w:t>
      </w:r>
    </w:p>
    <w:p>
      <w:pPr>
        <w:keepNext w:val="0"/>
        <w:keepLines w:val="0"/>
        <w:pageBreakBefore w:val="0"/>
        <w:widowControl w:val="0"/>
        <w:kinsoku/>
        <w:wordWrap/>
        <w:overflowPunct/>
        <w:topLinePunct w:val="0"/>
        <w:autoSpaceDE/>
        <w:autoSpaceDN/>
        <w:bidi w:val="0"/>
        <w:adjustRightInd/>
        <w:snapToGrid w:val="0"/>
        <w:spacing w:beforeLines="0" w:afterLines="0" w:line="360" w:lineRule="auto"/>
        <w:ind w:firstLine="642" w:firstLineChars="200"/>
        <w:textAlignment w:val="auto"/>
        <w:outlineLvl w:val="2"/>
        <w:rPr>
          <w:rFonts w:hint="eastAsia" w:ascii="仿宋_GB2312" w:hAnsi="Times New Roman" w:eastAsia="仿宋_GB2312" w:cs="Times New Roman"/>
          <w:b/>
          <w:bCs/>
          <w:color w:val="auto"/>
          <w:kern w:val="2"/>
          <w:sz w:val="32"/>
          <w:szCs w:val="24"/>
          <w:highlight w:val="none"/>
          <w:lang w:val="en-US" w:eastAsia="zh-CN" w:bidi="ar-SA"/>
        </w:rPr>
      </w:pPr>
      <w:bookmarkStart w:id="31" w:name="_Toc13216"/>
      <w:r>
        <w:rPr>
          <w:rFonts w:hint="eastAsia" w:ascii="仿宋_GB2312" w:eastAsia="仿宋_GB2312" w:cs="Times New Roman"/>
          <w:b/>
          <w:bCs/>
          <w:color w:val="auto"/>
          <w:kern w:val="2"/>
          <w:sz w:val="32"/>
          <w:szCs w:val="24"/>
          <w:highlight w:val="none"/>
          <w:lang w:val="en-US" w:eastAsia="zh-CN" w:bidi="ar-SA"/>
        </w:rPr>
        <w:t>2.</w:t>
      </w:r>
      <w:r>
        <w:rPr>
          <w:rFonts w:hint="eastAsia" w:ascii="仿宋_GB2312" w:hAnsi="Times New Roman" w:eastAsia="仿宋_GB2312" w:cs="Times New Roman"/>
          <w:b/>
          <w:bCs/>
          <w:color w:val="auto"/>
          <w:kern w:val="2"/>
          <w:sz w:val="32"/>
          <w:szCs w:val="24"/>
          <w:highlight w:val="none"/>
          <w:lang w:val="en-US" w:eastAsia="zh-CN" w:bidi="ar-SA"/>
        </w:rPr>
        <w:t>红火蚁防控资金</w:t>
      </w:r>
      <w:r>
        <w:rPr>
          <w:rFonts w:hint="eastAsia" w:ascii="仿宋_GB2312" w:eastAsia="仿宋_GB2312" w:cs="Times New Roman"/>
          <w:b/>
          <w:bCs/>
          <w:color w:val="auto"/>
          <w:kern w:val="2"/>
          <w:sz w:val="32"/>
          <w:szCs w:val="24"/>
          <w:highlight w:val="none"/>
          <w:lang w:val="en-US" w:eastAsia="zh-CN" w:bidi="ar-SA"/>
        </w:rPr>
        <w:t>。</w:t>
      </w:r>
      <w:bookmarkEnd w:id="31"/>
    </w:p>
    <w:p>
      <w:pPr>
        <w:keepNext w:val="0"/>
        <w:keepLines w:val="0"/>
        <w:pageBreakBefore w:val="0"/>
        <w:widowControl w:val="0"/>
        <w:kinsoku/>
        <w:wordWrap/>
        <w:overflowPunct/>
        <w:topLinePunct w:val="0"/>
        <w:autoSpaceDE/>
        <w:autoSpaceDN/>
        <w:bidi w:val="0"/>
        <w:adjustRightInd/>
        <w:snapToGrid w:val="0"/>
        <w:spacing w:beforeLines="0" w:afterLines="0" w:line="360" w:lineRule="auto"/>
        <w:ind w:firstLine="640" w:firstLineChars="200"/>
        <w:textAlignment w:val="auto"/>
        <w:rPr>
          <w:rFonts w:hint="eastAsia" w:ascii="仿宋_GB2312" w:hAnsi="Times New Roman" w:eastAsia="仿宋_GB2312" w:cs="Times New Roman"/>
          <w:b w:val="0"/>
          <w:bCs w:val="0"/>
          <w:color w:val="auto"/>
          <w:kern w:val="2"/>
          <w:sz w:val="32"/>
          <w:szCs w:val="24"/>
          <w:highlight w:val="none"/>
          <w:lang w:val="en-US" w:eastAsia="zh-CN" w:bidi="ar-SA"/>
        </w:rPr>
      </w:pPr>
      <w:r>
        <w:rPr>
          <w:rFonts w:hint="eastAsia" w:ascii="仿宋_GB2312" w:hAnsi="Times New Roman" w:eastAsia="仿宋_GB2312" w:cs="Times New Roman"/>
          <w:b w:val="0"/>
          <w:bCs w:val="0"/>
          <w:color w:val="auto"/>
          <w:kern w:val="2"/>
          <w:sz w:val="32"/>
          <w:szCs w:val="24"/>
          <w:highlight w:val="none"/>
          <w:lang w:val="en-US" w:eastAsia="zh-CN" w:bidi="ar-SA"/>
        </w:rPr>
        <w:t>通过实施项目，支持地级市采购红火蚁化学防治药剂，组织开展红火蚁统一防控行动和应急处置，储备一定量的应急防控药剂</w:t>
      </w:r>
      <w:r>
        <w:rPr>
          <w:rFonts w:hint="eastAsia" w:ascii="仿宋_GB2312" w:eastAsia="仿宋_GB2312" w:cs="Times New Roman"/>
          <w:b w:val="0"/>
          <w:bCs w:val="0"/>
          <w:color w:val="auto"/>
          <w:kern w:val="2"/>
          <w:sz w:val="32"/>
          <w:szCs w:val="24"/>
          <w:highlight w:val="none"/>
          <w:lang w:val="en-US" w:eastAsia="zh-CN" w:bidi="ar-SA"/>
        </w:rPr>
        <w:t>。具体指标：</w:t>
      </w:r>
      <w:r>
        <w:rPr>
          <w:rFonts w:hint="eastAsia" w:ascii="仿宋_GB2312" w:hAnsi="Times New Roman" w:eastAsia="仿宋_GB2312" w:cs="Times New Roman"/>
          <w:b w:val="0"/>
          <w:bCs w:val="0"/>
          <w:color w:val="auto"/>
          <w:kern w:val="2"/>
          <w:sz w:val="32"/>
          <w:szCs w:val="24"/>
          <w:highlight w:val="none"/>
          <w:lang w:val="en-US" w:eastAsia="zh-CN" w:bidi="ar-SA"/>
        </w:rPr>
        <w:t>各市的项目区组织一次红火蚁统一防控行动；防治效果达85%以上；新发疫情应急处置率达95%以上</w:t>
      </w:r>
      <w:r>
        <w:rPr>
          <w:rFonts w:hint="eastAsia" w:ascii="仿宋_GB2312" w:eastAsia="仿宋_GB2312" w:cs="Times New Roman"/>
          <w:b w:val="0"/>
          <w:bCs w:val="0"/>
          <w:color w:val="auto"/>
          <w:kern w:val="2"/>
          <w:sz w:val="32"/>
          <w:szCs w:val="24"/>
          <w:highlight w:val="none"/>
          <w:lang w:val="en-US" w:eastAsia="zh-CN" w:bidi="ar-SA"/>
        </w:rPr>
        <w:t>，</w:t>
      </w:r>
      <w:r>
        <w:rPr>
          <w:rFonts w:hint="eastAsia" w:ascii="仿宋_GB2312" w:hAnsi="Times New Roman" w:eastAsia="仿宋_GB2312" w:cs="Times New Roman"/>
          <w:b w:val="0"/>
          <w:bCs w:val="0"/>
          <w:color w:val="auto"/>
          <w:kern w:val="2"/>
          <w:sz w:val="32"/>
          <w:szCs w:val="24"/>
          <w:highlight w:val="none"/>
          <w:lang w:val="en-US" w:eastAsia="zh-CN" w:bidi="ar-SA"/>
        </w:rPr>
        <w:t>有效遏制红火蚁疫情蔓延危害，</w:t>
      </w:r>
      <w:r>
        <w:rPr>
          <w:rFonts w:hint="eastAsia" w:ascii="仿宋_GB2312" w:eastAsia="仿宋_GB2312" w:cs="Times New Roman"/>
          <w:b w:val="0"/>
          <w:bCs w:val="0"/>
          <w:color w:val="auto"/>
          <w:kern w:val="2"/>
          <w:sz w:val="32"/>
          <w:szCs w:val="24"/>
          <w:highlight w:val="none"/>
          <w:lang w:val="en-US" w:eastAsia="zh-CN" w:bidi="ar-SA"/>
        </w:rPr>
        <w:t>避免出现红火蚁恶性伤害人畜事件和造成大面积弃耕；</w:t>
      </w:r>
      <w:r>
        <w:rPr>
          <w:rFonts w:hint="eastAsia" w:ascii="仿宋_GB2312" w:hAnsi="Times New Roman" w:eastAsia="仿宋_GB2312" w:cs="Times New Roman"/>
          <w:b w:val="0"/>
          <w:bCs w:val="0"/>
          <w:color w:val="auto"/>
          <w:kern w:val="2"/>
          <w:sz w:val="32"/>
          <w:szCs w:val="24"/>
          <w:highlight w:val="none"/>
          <w:lang w:val="en-US" w:eastAsia="zh-CN" w:bidi="ar-SA"/>
        </w:rPr>
        <w:t>各地级市至少举办1期红火蚁防控技术培训活动，培训指导50人次以上，全省开展防控技术指导培训1000人次以上；年度资金执行率100%，无资金重大违规违纪问题；项目区群众满意度达80%以上。</w:t>
      </w:r>
    </w:p>
    <w:p>
      <w:pPr>
        <w:keepNext w:val="0"/>
        <w:keepLines w:val="0"/>
        <w:pageBreakBefore w:val="0"/>
        <w:widowControl w:val="0"/>
        <w:kinsoku/>
        <w:wordWrap/>
        <w:overflowPunct/>
        <w:topLinePunct w:val="0"/>
        <w:autoSpaceDE/>
        <w:autoSpaceDN/>
        <w:bidi w:val="0"/>
        <w:adjustRightInd/>
        <w:snapToGrid w:val="0"/>
        <w:spacing w:beforeLines="0" w:afterLines="0" w:line="360" w:lineRule="auto"/>
        <w:ind w:firstLine="642" w:firstLineChars="200"/>
        <w:textAlignment w:val="auto"/>
        <w:outlineLvl w:val="2"/>
        <w:rPr>
          <w:rFonts w:hint="eastAsia" w:ascii="仿宋_GB2312" w:hAnsi="Times New Roman" w:eastAsia="仿宋_GB2312" w:cs="Times New Roman"/>
          <w:b/>
          <w:bCs/>
          <w:color w:val="auto"/>
          <w:kern w:val="2"/>
          <w:sz w:val="32"/>
          <w:szCs w:val="24"/>
          <w:highlight w:val="none"/>
          <w:lang w:val="en-US" w:eastAsia="zh-CN" w:bidi="ar-SA"/>
        </w:rPr>
      </w:pPr>
      <w:bookmarkStart w:id="32" w:name="_Toc7407"/>
      <w:r>
        <w:rPr>
          <w:rFonts w:hint="eastAsia" w:ascii="仿宋_GB2312" w:eastAsia="仿宋_GB2312" w:cs="Times New Roman"/>
          <w:b/>
          <w:bCs/>
          <w:color w:val="auto"/>
          <w:kern w:val="2"/>
          <w:sz w:val="32"/>
          <w:szCs w:val="24"/>
          <w:highlight w:val="none"/>
          <w:lang w:val="en-US" w:eastAsia="zh-CN" w:bidi="ar-SA"/>
        </w:rPr>
        <w:t>3.应急种子</w:t>
      </w:r>
      <w:r>
        <w:rPr>
          <w:rFonts w:hint="eastAsia" w:ascii="仿宋_GB2312" w:hAnsi="Times New Roman" w:eastAsia="仿宋_GB2312" w:cs="Times New Roman"/>
          <w:b/>
          <w:bCs/>
          <w:color w:val="auto"/>
          <w:kern w:val="2"/>
          <w:sz w:val="32"/>
          <w:szCs w:val="24"/>
          <w:highlight w:val="none"/>
          <w:lang w:val="en-US" w:eastAsia="zh-CN" w:bidi="ar-SA"/>
        </w:rPr>
        <w:t>储备及调拨资金</w:t>
      </w:r>
      <w:r>
        <w:rPr>
          <w:rFonts w:hint="eastAsia" w:ascii="仿宋_GB2312" w:eastAsia="仿宋_GB2312" w:cs="Times New Roman"/>
          <w:b/>
          <w:bCs/>
          <w:color w:val="auto"/>
          <w:kern w:val="2"/>
          <w:sz w:val="32"/>
          <w:szCs w:val="24"/>
          <w:highlight w:val="none"/>
          <w:lang w:val="en-US" w:eastAsia="zh-CN" w:bidi="ar-SA"/>
        </w:rPr>
        <w:t>。</w:t>
      </w:r>
      <w:bookmarkEnd w:id="32"/>
    </w:p>
    <w:p>
      <w:pPr>
        <w:keepNext w:val="0"/>
        <w:keepLines w:val="0"/>
        <w:pageBreakBefore w:val="0"/>
        <w:widowControl w:val="0"/>
        <w:kinsoku/>
        <w:wordWrap/>
        <w:overflowPunct/>
        <w:topLinePunct w:val="0"/>
        <w:autoSpaceDE/>
        <w:autoSpaceDN/>
        <w:bidi w:val="0"/>
        <w:adjustRightInd/>
        <w:snapToGrid w:val="0"/>
        <w:spacing w:beforeLines="0" w:afterLines="0" w:line="360" w:lineRule="auto"/>
        <w:ind w:firstLine="640" w:firstLineChars="200"/>
        <w:textAlignment w:val="auto"/>
        <w:rPr>
          <w:rFonts w:hint="eastAsia" w:ascii="仿宋_GB2312" w:hAnsi="Times New Roman" w:eastAsia="仿宋_GB2312" w:cs="Times New Roman"/>
          <w:b w:val="0"/>
          <w:bCs w:val="0"/>
          <w:color w:val="auto"/>
          <w:kern w:val="2"/>
          <w:sz w:val="32"/>
          <w:szCs w:val="24"/>
          <w:highlight w:val="none"/>
          <w:lang w:val="en-US" w:eastAsia="zh-CN" w:bidi="ar-SA"/>
        </w:rPr>
      </w:pPr>
      <w:r>
        <w:rPr>
          <w:rFonts w:hint="eastAsia" w:ascii="仿宋_GB2312" w:eastAsia="仿宋_GB2312" w:cs="Times New Roman"/>
          <w:b w:val="0"/>
          <w:bCs w:val="0"/>
          <w:color w:val="auto"/>
          <w:kern w:val="2"/>
          <w:sz w:val="32"/>
          <w:szCs w:val="24"/>
          <w:highlight w:val="none"/>
          <w:lang w:val="en-US" w:eastAsia="zh-CN" w:bidi="ar-SA"/>
        </w:rPr>
        <w:t>应急种子</w:t>
      </w:r>
      <w:r>
        <w:rPr>
          <w:rFonts w:hint="eastAsia" w:ascii="仿宋_GB2312" w:hAnsi="Times New Roman" w:eastAsia="仿宋_GB2312" w:cs="Times New Roman"/>
          <w:b w:val="0"/>
          <w:bCs w:val="0"/>
          <w:color w:val="auto"/>
          <w:kern w:val="2"/>
          <w:sz w:val="32"/>
          <w:szCs w:val="24"/>
          <w:highlight w:val="none"/>
          <w:lang w:val="en-US" w:eastAsia="zh-CN" w:bidi="ar-SA"/>
        </w:rPr>
        <w:t>储备及调拨专项资金年度绩效目标为完成2020年度省级应急种子储备150万公斤；根据灾情调拨省级应急储备种子7752公斤支持灾区恢复农业生产。</w:t>
      </w:r>
    </w:p>
    <w:p>
      <w:pPr>
        <w:pStyle w:val="13"/>
        <w:pageBreakBefore w:val="0"/>
        <w:kinsoku/>
        <w:wordWrap/>
        <w:overflowPunct/>
        <w:topLinePunct w:val="0"/>
        <w:bidi w:val="0"/>
        <w:spacing w:before="0" w:after="0" w:line="360" w:lineRule="auto"/>
        <w:ind w:firstLine="640"/>
        <w:jc w:val="both"/>
        <w:rPr>
          <w:rFonts w:ascii="黑体" w:hAnsi="黑体"/>
          <w:bCs/>
          <w:color w:val="auto"/>
          <w:highlight w:val="none"/>
        </w:rPr>
      </w:pPr>
      <w:bookmarkStart w:id="33" w:name="_Toc894549025_WPSOffice_Level1"/>
      <w:bookmarkStart w:id="34" w:name="_Toc42021430"/>
      <w:r>
        <w:rPr>
          <w:rFonts w:hint="eastAsia" w:ascii="黑体" w:hAnsi="黑体"/>
          <w:bCs/>
          <w:color w:val="auto"/>
          <w:highlight w:val="none"/>
        </w:rPr>
        <w:t>二、自评情况</w:t>
      </w:r>
      <w:bookmarkEnd w:id="33"/>
      <w:bookmarkEnd w:id="34"/>
    </w:p>
    <w:p>
      <w:pPr>
        <w:pStyle w:val="3"/>
        <w:pageBreakBefore w:val="0"/>
        <w:kinsoku/>
        <w:wordWrap/>
        <w:overflowPunct/>
        <w:topLinePunct w:val="0"/>
        <w:bidi w:val="0"/>
        <w:spacing w:before="0" w:after="0" w:line="360" w:lineRule="auto"/>
        <w:ind w:firstLine="642" w:firstLineChars="200"/>
        <w:outlineLvl w:val="1"/>
        <w:rPr>
          <w:rFonts w:hint="eastAsia" w:ascii="Calibri" w:hAnsi="宋体"/>
          <w:color w:val="auto"/>
          <w:highlight w:val="none"/>
        </w:rPr>
      </w:pPr>
      <w:bookmarkStart w:id="35" w:name="_Toc1166071381_WPSOffice_Level2"/>
      <w:bookmarkStart w:id="36" w:name="_Toc42021431"/>
      <w:r>
        <w:rPr>
          <w:rFonts w:hint="eastAsia" w:ascii="Calibri" w:hAnsi="宋体"/>
          <w:color w:val="auto"/>
          <w:highlight w:val="none"/>
        </w:rPr>
        <w:t>（一）自评分数</w:t>
      </w:r>
      <w:bookmarkEnd w:id="35"/>
      <w:bookmarkEnd w:id="36"/>
      <w:bookmarkStart w:id="37" w:name="_Toc42021432"/>
    </w:p>
    <w:p>
      <w:pPr>
        <w:pageBreakBefore w:val="0"/>
        <w:kinsoku/>
        <w:wordWrap/>
        <w:overflowPunct/>
        <w:topLinePunct w:val="0"/>
        <w:bidi w:val="0"/>
        <w:spacing w:line="360" w:lineRule="auto"/>
        <w:ind w:firstLine="640" w:firstLineChars="200"/>
        <w:rPr>
          <w:rFonts w:hint="eastAsia" w:ascii="仿宋_GB2312" w:hAnsi="仿宋_GB2312" w:eastAsia="仿宋_GB2312" w:cs="Calibri"/>
          <w:color w:val="auto"/>
          <w:sz w:val="32"/>
          <w:highlight w:val="none"/>
        </w:rPr>
      </w:pPr>
      <w:r>
        <w:rPr>
          <w:rFonts w:hint="eastAsia" w:ascii="仿宋_GB2312" w:eastAsia="仿宋_GB2312"/>
          <w:color w:val="auto"/>
          <w:sz w:val="32"/>
          <w:szCs w:val="32"/>
          <w:highlight w:val="none"/>
          <w:lang w:val="en-US" w:eastAsia="zh-CN"/>
        </w:rPr>
        <w:t>综合分析</w:t>
      </w:r>
      <w:r>
        <w:rPr>
          <w:rFonts w:hint="eastAsia" w:ascii="仿宋_GB2312" w:eastAsia="仿宋_GB2312"/>
          <w:color w:val="auto"/>
          <w:sz w:val="32"/>
          <w:szCs w:val="32"/>
          <w:highlight w:val="none"/>
          <w:lang w:eastAsia="zh-CN"/>
        </w:rPr>
        <w:t>20</w:t>
      </w:r>
      <w:r>
        <w:rPr>
          <w:rFonts w:hint="eastAsia" w:ascii="仿宋_GB2312" w:eastAsia="仿宋_GB2312"/>
          <w:color w:val="auto"/>
          <w:sz w:val="32"/>
          <w:szCs w:val="32"/>
          <w:highlight w:val="none"/>
          <w:lang w:val="en-US" w:eastAsia="zh-CN"/>
        </w:rPr>
        <w:t>20</w:t>
      </w:r>
      <w:r>
        <w:rPr>
          <w:rFonts w:hint="eastAsia" w:ascii="仿宋_GB2312" w:eastAsia="仿宋_GB2312"/>
          <w:color w:val="auto"/>
          <w:sz w:val="32"/>
          <w:szCs w:val="32"/>
          <w:highlight w:val="none"/>
          <w:lang w:eastAsia="zh-CN"/>
        </w:rPr>
        <w:t>年省级财政防灾救灾</w:t>
      </w:r>
      <w:r>
        <w:rPr>
          <w:rFonts w:hint="eastAsia" w:ascii="仿宋_GB2312" w:eastAsia="仿宋_GB2312"/>
          <w:color w:val="auto"/>
          <w:sz w:val="32"/>
          <w:szCs w:val="32"/>
          <w:highlight w:val="none"/>
          <w:lang w:val="en-US" w:eastAsia="zh-CN"/>
        </w:rPr>
        <w:t>应急资金3项政策任务的投入、过程、产出和效益，专项资金项目基本完成了预期目标任务，取得了较好成效。根据对自评材料的审核分析，按照既定的评价指标体系，专项资金使用绩效自评分数为</w:t>
      </w:r>
      <w:r>
        <w:rPr>
          <w:rFonts w:hint="eastAsia" w:ascii="仿宋_GB2312" w:eastAsia="仿宋_GB2312"/>
          <w:color w:val="auto"/>
          <w:sz w:val="32"/>
          <w:highlight w:val="none"/>
          <w:lang w:val="en-US" w:eastAsia="zh-CN"/>
        </w:rPr>
        <w:t>97.09</w:t>
      </w:r>
      <w:r>
        <w:rPr>
          <w:rFonts w:hint="eastAsia" w:ascii="仿宋_GB2312" w:eastAsia="仿宋_GB2312"/>
          <w:color w:val="auto"/>
          <w:sz w:val="32"/>
          <w:highlight w:val="none"/>
        </w:rPr>
        <w:t>分</w:t>
      </w:r>
      <w:r>
        <w:rPr>
          <w:rFonts w:hint="eastAsia" w:ascii="仿宋_GB2312" w:hAnsi="Times New Roman" w:eastAsia="仿宋_GB2312" w:cs="Times New Roman"/>
          <w:color w:val="auto"/>
          <w:sz w:val="32"/>
          <w:highlight w:val="none"/>
          <w:lang w:val="en-US" w:eastAsia="zh-CN"/>
        </w:rPr>
        <w:t>（</w:t>
      </w:r>
      <w:r>
        <w:rPr>
          <w:rFonts w:hint="eastAsia" w:ascii="仿宋_GB2312" w:eastAsia="仿宋_GB2312" w:cs="Times New Roman"/>
          <w:color w:val="auto"/>
          <w:sz w:val="32"/>
          <w:highlight w:val="none"/>
          <w:lang w:val="en-US" w:eastAsia="zh-CN"/>
        </w:rPr>
        <w:t>详见表2-1</w:t>
      </w:r>
      <w:r>
        <w:rPr>
          <w:rFonts w:hint="eastAsia" w:ascii="仿宋_GB2312" w:hAnsi="Times New Roman" w:eastAsia="仿宋_GB2312" w:cs="Times New Roman"/>
          <w:color w:val="auto"/>
          <w:sz w:val="32"/>
          <w:highlight w:val="none"/>
          <w:lang w:val="en-US" w:eastAsia="zh-CN"/>
        </w:rPr>
        <w:t>），</w:t>
      </w:r>
      <w:r>
        <w:rPr>
          <w:rFonts w:hint="eastAsia" w:ascii="仿宋_GB2312" w:eastAsia="仿宋_GB2312"/>
          <w:color w:val="auto"/>
          <w:sz w:val="32"/>
          <w:highlight w:val="none"/>
        </w:rPr>
        <w:t>绩效等级为“</w:t>
      </w:r>
      <w:r>
        <w:rPr>
          <w:rFonts w:hint="eastAsia" w:ascii="仿宋_GB2312" w:eastAsia="仿宋_GB2312"/>
          <w:color w:val="auto"/>
          <w:sz w:val="32"/>
          <w:highlight w:val="none"/>
          <w:lang w:val="en-US" w:eastAsia="zh-CN"/>
        </w:rPr>
        <w:t>优</w:t>
      </w:r>
      <w:r>
        <w:rPr>
          <w:rFonts w:hint="eastAsia" w:ascii="仿宋_GB2312" w:hAnsi="Times New Roman" w:eastAsia="仿宋_GB2312" w:cs="Times New Roman"/>
          <w:color w:val="auto"/>
          <w:sz w:val="32"/>
          <w:szCs w:val="32"/>
          <w:highlight w:val="none"/>
          <w:lang w:val="en-US" w:eastAsia="zh-CN"/>
        </w:rPr>
        <w:t>”</w:t>
      </w:r>
      <w:r>
        <w:rPr>
          <w:rFonts w:hint="eastAsia" w:ascii="仿宋_GB2312" w:hAnsi="仿宋_GB2312" w:eastAsia="仿宋_GB2312" w:cs="Calibri"/>
          <w:color w:val="auto"/>
          <w:sz w:val="32"/>
          <w:highlight w:val="none"/>
        </w:rPr>
        <w:t>。</w:t>
      </w:r>
    </w:p>
    <w:p>
      <w:pPr>
        <w:pStyle w:val="2"/>
        <w:rPr>
          <w:rFonts w:hint="eastAsia"/>
          <w:color w:val="auto"/>
          <w:highlight w:val="none"/>
        </w:rPr>
      </w:pPr>
    </w:p>
    <w:p>
      <w:pPr>
        <w:pStyle w:val="2"/>
        <w:jc w:val="center"/>
        <w:rPr>
          <w:rFonts w:hint="eastAsia"/>
          <w:color w:val="auto"/>
          <w:highlight w:val="none"/>
        </w:rPr>
      </w:pPr>
      <w:r>
        <w:rPr>
          <w:rFonts w:hint="eastAsia" w:ascii="黑体" w:hAnsi="宋体" w:eastAsia="黑体" w:cs="黑体"/>
          <w:i w:val="0"/>
          <w:iCs w:val="0"/>
          <w:color w:val="auto"/>
          <w:kern w:val="0"/>
          <w:sz w:val="28"/>
          <w:szCs w:val="28"/>
          <w:highlight w:val="none"/>
          <w:u w:val="none"/>
          <w:lang w:val="en-US" w:eastAsia="zh-CN" w:bidi="ar"/>
        </w:rPr>
        <w:t>表2-1</w:t>
      </w:r>
      <w:r>
        <w:rPr>
          <w:rFonts w:hint="eastAsia" w:ascii="仿宋_GB2312" w:eastAsia="仿宋_GB2312" w:cs="Times New Roman"/>
          <w:color w:val="auto"/>
          <w:sz w:val="32"/>
          <w:highlight w:val="none"/>
          <w:lang w:val="en-US" w:eastAsia="zh-CN"/>
        </w:rPr>
        <w:t xml:space="preserve"> </w:t>
      </w:r>
      <w:r>
        <w:rPr>
          <w:rFonts w:hint="eastAsia" w:ascii="黑体" w:hAnsi="宋体" w:eastAsia="黑体" w:cs="黑体"/>
          <w:i w:val="0"/>
          <w:iCs w:val="0"/>
          <w:color w:val="auto"/>
          <w:kern w:val="0"/>
          <w:sz w:val="28"/>
          <w:szCs w:val="28"/>
          <w:highlight w:val="none"/>
          <w:u w:val="none"/>
          <w:lang w:val="en-US" w:eastAsia="zh-CN" w:bidi="ar"/>
        </w:rPr>
        <w:t>2020年救灾应急专项资金自评得分情况表</w:t>
      </w:r>
    </w:p>
    <w:tbl>
      <w:tblPr>
        <w:tblStyle w:val="14"/>
        <w:tblW w:w="8899" w:type="dxa"/>
        <w:jc w:val="center"/>
        <w:shd w:val="clear" w:color="auto" w:fill="auto"/>
        <w:tblLayout w:type="fixed"/>
        <w:tblCellMar>
          <w:top w:w="0" w:type="dxa"/>
          <w:left w:w="108" w:type="dxa"/>
          <w:bottom w:w="0" w:type="dxa"/>
          <w:right w:w="108" w:type="dxa"/>
        </w:tblCellMar>
      </w:tblPr>
      <w:tblGrid>
        <w:gridCol w:w="3981"/>
        <w:gridCol w:w="1639"/>
        <w:gridCol w:w="1639"/>
        <w:gridCol w:w="1640"/>
      </w:tblGrid>
      <w:tr>
        <w:tblPrEx>
          <w:shd w:val="clear" w:color="auto" w:fill="auto"/>
          <w:tblCellMar>
            <w:top w:w="0" w:type="dxa"/>
            <w:left w:w="108" w:type="dxa"/>
            <w:bottom w:w="0" w:type="dxa"/>
            <w:right w:w="108" w:type="dxa"/>
          </w:tblCellMar>
        </w:tblPrEx>
        <w:trPr>
          <w:trHeight w:val="402" w:hRule="atLeast"/>
          <w:jc w:val="center"/>
        </w:trPr>
        <w:tc>
          <w:tcPr>
            <w:tcW w:w="39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_GB2312" w:hAnsi="宋体" w:eastAsia="仿宋_GB2312" w:cs="仿宋_GB2312"/>
                <w:b/>
                <w:bCs/>
                <w:i w:val="0"/>
                <w:iCs w:val="0"/>
                <w:color w:val="auto"/>
                <w:sz w:val="24"/>
                <w:szCs w:val="24"/>
                <w:highlight w:val="none"/>
                <w:u w:val="none"/>
              </w:rPr>
            </w:pPr>
            <w:r>
              <w:rPr>
                <w:rFonts w:hint="default" w:ascii="仿宋_GB2312" w:hAnsi="宋体" w:eastAsia="仿宋_GB2312" w:cs="仿宋_GB2312"/>
                <w:b/>
                <w:bCs/>
                <w:i w:val="0"/>
                <w:iCs w:val="0"/>
                <w:color w:val="auto"/>
                <w:kern w:val="0"/>
                <w:sz w:val="24"/>
                <w:szCs w:val="24"/>
                <w:highlight w:val="none"/>
                <w:u w:val="none"/>
                <w:lang w:val="en-US" w:eastAsia="zh-CN" w:bidi="ar"/>
              </w:rPr>
              <w:t>政策任务</w:t>
            </w:r>
          </w:p>
        </w:tc>
        <w:tc>
          <w:tcPr>
            <w:tcW w:w="1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auto"/>
                <w:sz w:val="24"/>
                <w:szCs w:val="24"/>
                <w:highlight w:val="none"/>
                <w:u w:val="none"/>
              </w:rPr>
            </w:pPr>
            <w:r>
              <w:rPr>
                <w:rFonts w:hint="default" w:ascii="仿宋_GB2312" w:hAnsi="宋体" w:eastAsia="仿宋_GB2312" w:cs="仿宋_GB2312"/>
                <w:b/>
                <w:bCs/>
                <w:i w:val="0"/>
                <w:iCs w:val="0"/>
                <w:color w:val="auto"/>
                <w:kern w:val="0"/>
                <w:sz w:val="24"/>
                <w:szCs w:val="24"/>
                <w:highlight w:val="none"/>
                <w:u w:val="none"/>
                <w:lang w:val="en-US" w:eastAsia="zh-CN" w:bidi="ar"/>
              </w:rPr>
              <w:t>资金权重</w:t>
            </w:r>
          </w:p>
        </w:tc>
        <w:tc>
          <w:tcPr>
            <w:tcW w:w="1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auto"/>
                <w:sz w:val="24"/>
                <w:szCs w:val="24"/>
                <w:highlight w:val="none"/>
                <w:u w:val="none"/>
              </w:rPr>
            </w:pPr>
            <w:r>
              <w:rPr>
                <w:rFonts w:hint="default" w:ascii="仿宋_GB2312" w:hAnsi="宋体" w:eastAsia="仿宋_GB2312" w:cs="仿宋_GB2312"/>
                <w:b/>
                <w:bCs/>
                <w:i w:val="0"/>
                <w:iCs w:val="0"/>
                <w:color w:val="auto"/>
                <w:kern w:val="0"/>
                <w:sz w:val="24"/>
                <w:szCs w:val="24"/>
                <w:highlight w:val="none"/>
                <w:u w:val="none"/>
                <w:lang w:val="en-US" w:eastAsia="zh-CN" w:bidi="ar"/>
              </w:rPr>
              <w:t>单项自评分</w:t>
            </w:r>
          </w:p>
        </w:tc>
        <w:tc>
          <w:tcPr>
            <w:tcW w:w="1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auto"/>
                <w:sz w:val="24"/>
                <w:szCs w:val="24"/>
                <w:highlight w:val="none"/>
                <w:u w:val="none"/>
              </w:rPr>
            </w:pPr>
            <w:r>
              <w:rPr>
                <w:rFonts w:hint="default" w:ascii="仿宋_GB2312" w:hAnsi="宋体" w:eastAsia="仿宋_GB2312" w:cs="仿宋_GB2312"/>
                <w:b/>
                <w:bCs/>
                <w:i w:val="0"/>
                <w:iCs w:val="0"/>
                <w:color w:val="auto"/>
                <w:kern w:val="0"/>
                <w:sz w:val="24"/>
                <w:szCs w:val="24"/>
                <w:highlight w:val="none"/>
                <w:u w:val="none"/>
                <w:lang w:val="en-US" w:eastAsia="zh-CN" w:bidi="ar"/>
              </w:rPr>
              <w:t>权重分数</w:t>
            </w:r>
          </w:p>
        </w:tc>
      </w:tr>
      <w:tr>
        <w:tblPrEx>
          <w:shd w:val="clear" w:color="auto" w:fill="auto"/>
          <w:tblCellMar>
            <w:top w:w="0" w:type="dxa"/>
            <w:left w:w="108" w:type="dxa"/>
            <w:bottom w:w="0" w:type="dxa"/>
            <w:right w:w="108" w:type="dxa"/>
          </w:tblCellMar>
        </w:tblPrEx>
        <w:trPr>
          <w:trHeight w:val="402" w:hRule="atLeast"/>
          <w:jc w:val="center"/>
        </w:trPr>
        <w:tc>
          <w:tcPr>
            <w:tcW w:w="39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auto"/>
                <w:kern w:val="0"/>
                <w:sz w:val="24"/>
                <w:szCs w:val="24"/>
                <w:highlight w:val="none"/>
                <w:u w:val="none"/>
                <w:lang w:val="en-US" w:eastAsia="zh-CN" w:bidi="ar"/>
              </w:rPr>
            </w:pPr>
            <w:r>
              <w:rPr>
                <w:rFonts w:hint="eastAsia" w:ascii="仿宋_GB2312" w:hAnsi="宋体" w:eastAsia="仿宋_GB2312" w:cs="仿宋_GB2312"/>
                <w:b/>
                <w:bCs/>
                <w:i w:val="0"/>
                <w:iCs w:val="0"/>
                <w:color w:val="auto"/>
                <w:kern w:val="0"/>
                <w:sz w:val="24"/>
                <w:szCs w:val="24"/>
                <w:highlight w:val="none"/>
                <w:u w:val="none"/>
                <w:lang w:val="en-US" w:eastAsia="zh-CN" w:bidi="ar"/>
              </w:rPr>
              <w:t>合  计</w:t>
            </w:r>
          </w:p>
        </w:tc>
        <w:tc>
          <w:tcPr>
            <w:tcW w:w="1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auto"/>
                <w:kern w:val="0"/>
                <w:sz w:val="24"/>
                <w:szCs w:val="24"/>
                <w:highlight w:val="none"/>
                <w:u w:val="none"/>
                <w:lang w:val="en-US" w:eastAsia="zh-CN" w:bidi="ar"/>
              </w:rPr>
            </w:pPr>
            <w:r>
              <w:rPr>
                <w:rFonts w:hint="eastAsia" w:ascii="仿宋_GB2312" w:hAnsi="宋体" w:eastAsia="仿宋_GB2312" w:cs="仿宋_GB2312"/>
                <w:b/>
                <w:bCs/>
                <w:i w:val="0"/>
                <w:iCs w:val="0"/>
                <w:color w:val="auto"/>
                <w:kern w:val="0"/>
                <w:sz w:val="24"/>
                <w:szCs w:val="24"/>
                <w:highlight w:val="none"/>
                <w:u w:val="none"/>
                <w:lang w:val="en-US" w:eastAsia="zh-CN" w:bidi="ar"/>
              </w:rPr>
              <w:t>100%</w:t>
            </w:r>
          </w:p>
        </w:tc>
        <w:tc>
          <w:tcPr>
            <w:tcW w:w="1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auto"/>
                <w:kern w:val="0"/>
                <w:sz w:val="24"/>
                <w:szCs w:val="24"/>
                <w:highlight w:val="none"/>
                <w:u w:val="none"/>
                <w:lang w:val="en-US" w:eastAsia="zh-CN" w:bidi="ar"/>
              </w:rPr>
            </w:pPr>
            <w:r>
              <w:rPr>
                <w:rFonts w:hint="eastAsia" w:ascii="仿宋_GB2312" w:hAnsi="宋体" w:eastAsia="仿宋_GB2312" w:cs="仿宋_GB2312"/>
                <w:b/>
                <w:bCs/>
                <w:i w:val="0"/>
                <w:iCs w:val="0"/>
                <w:color w:val="auto"/>
                <w:kern w:val="0"/>
                <w:sz w:val="24"/>
                <w:szCs w:val="24"/>
                <w:highlight w:val="none"/>
                <w:u w:val="none"/>
                <w:lang w:val="en-US" w:eastAsia="zh-CN" w:bidi="ar"/>
              </w:rPr>
              <w:t>——</w:t>
            </w:r>
          </w:p>
        </w:tc>
        <w:tc>
          <w:tcPr>
            <w:tcW w:w="1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auto"/>
                <w:kern w:val="0"/>
                <w:sz w:val="24"/>
                <w:szCs w:val="24"/>
                <w:highlight w:val="none"/>
                <w:u w:val="none"/>
                <w:lang w:val="en-US" w:eastAsia="zh-CN" w:bidi="ar"/>
              </w:rPr>
            </w:pPr>
            <w:r>
              <w:rPr>
                <w:rFonts w:hint="eastAsia" w:ascii="仿宋_GB2312" w:hAnsi="宋体" w:eastAsia="仿宋_GB2312" w:cs="仿宋_GB2312"/>
                <w:b/>
                <w:bCs/>
                <w:i w:val="0"/>
                <w:iCs w:val="0"/>
                <w:color w:val="auto"/>
                <w:kern w:val="0"/>
                <w:sz w:val="24"/>
                <w:szCs w:val="24"/>
                <w:highlight w:val="none"/>
                <w:u w:val="none"/>
                <w:lang w:val="en-US" w:eastAsia="zh-CN" w:bidi="ar"/>
              </w:rPr>
              <w:t>97.09</w:t>
            </w:r>
          </w:p>
        </w:tc>
      </w:tr>
      <w:tr>
        <w:tblPrEx>
          <w:shd w:val="clear" w:color="auto" w:fill="auto"/>
          <w:tblCellMar>
            <w:top w:w="0" w:type="dxa"/>
            <w:left w:w="108" w:type="dxa"/>
            <w:bottom w:w="0" w:type="dxa"/>
            <w:right w:w="108" w:type="dxa"/>
          </w:tblCellMar>
        </w:tblPrEx>
        <w:trPr>
          <w:trHeight w:val="402" w:hRule="atLeast"/>
          <w:jc w:val="center"/>
        </w:trPr>
        <w:tc>
          <w:tcPr>
            <w:tcW w:w="39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b w:val="0"/>
                <w:bCs w:val="0"/>
                <w:i w:val="0"/>
                <w:iCs w:val="0"/>
                <w:color w:val="auto"/>
                <w:kern w:val="0"/>
                <w:sz w:val="24"/>
                <w:szCs w:val="24"/>
                <w:highlight w:val="none"/>
                <w:u w:val="none"/>
                <w:lang w:val="en-US" w:eastAsia="zh-CN" w:bidi="ar"/>
              </w:rPr>
            </w:pPr>
            <w:r>
              <w:rPr>
                <w:rFonts w:hint="eastAsia" w:ascii="仿宋_GB2312" w:hAnsi="宋体" w:eastAsia="仿宋_GB2312" w:cs="仿宋_GB2312"/>
                <w:b w:val="0"/>
                <w:bCs w:val="0"/>
                <w:i w:val="0"/>
                <w:iCs w:val="0"/>
                <w:color w:val="auto"/>
                <w:kern w:val="0"/>
                <w:sz w:val="24"/>
                <w:szCs w:val="24"/>
                <w:highlight w:val="none"/>
                <w:u w:val="none"/>
                <w:lang w:val="en-US" w:eastAsia="zh-CN" w:bidi="ar"/>
              </w:rPr>
              <w:t>家禽及蔬菜瓜果应急收储奖补资金</w:t>
            </w:r>
          </w:p>
        </w:tc>
        <w:tc>
          <w:tcPr>
            <w:tcW w:w="1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b w:val="0"/>
                <w:bCs w:val="0"/>
                <w:i w:val="0"/>
                <w:iCs w:val="0"/>
                <w:color w:val="auto"/>
                <w:kern w:val="0"/>
                <w:sz w:val="24"/>
                <w:szCs w:val="24"/>
                <w:highlight w:val="none"/>
                <w:u w:val="none"/>
                <w:lang w:val="en-US" w:eastAsia="zh-CN" w:bidi="ar"/>
              </w:rPr>
            </w:pPr>
            <w:r>
              <w:rPr>
                <w:rFonts w:hint="eastAsia" w:ascii="仿宋_GB2312" w:hAnsi="宋体" w:eastAsia="仿宋_GB2312" w:cs="仿宋_GB2312"/>
                <w:b w:val="0"/>
                <w:bCs w:val="0"/>
                <w:i w:val="0"/>
                <w:iCs w:val="0"/>
                <w:color w:val="auto"/>
                <w:kern w:val="0"/>
                <w:sz w:val="24"/>
                <w:szCs w:val="24"/>
                <w:highlight w:val="none"/>
                <w:u w:val="none"/>
                <w:lang w:val="en-US" w:eastAsia="zh-CN" w:bidi="ar"/>
              </w:rPr>
              <w:t>73.00%</w:t>
            </w:r>
          </w:p>
        </w:tc>
        <w:tc>
          <w:tcPr>
            <w:tcW w:w="1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b w:val="0"/>
                <w:bCs w:val="0"/>
                <w:i w:val="0"/>
                <w:iCs w:val="0"/>
                <w:color w:val="auto"/>
                <w:kern w:val="0"/>
                <w:sz w:val="24"/>
                <w:szCs w:val="24"/>
                <w:highlight w:val="none"/>
                <w:u w:val="none"/>
                <w:lang w:val="en-US" w:eastAsia="zh-CN" w:bidi="ar"/>
              </w:rPr>
            </w:pPr>
            <w:r>
              <w:rPr>
                <w:rFonts w:hint="eastAsia" w:ascii="仿宋_GB2312" w:hAnsi="宋体" w:eastAsia="仿宋_GB2312" w:cs="仿宋_GB2312"/>
                <w:b w:val="0"/>
                <w:bCs w:val="0"/>
                <w:i w:val="0"/>
                <w:iCs w:val="0"/>
                <w:color w:val="auto"/>
                <w:kern w:val="0"/>
                <w:sz w:val="24"/>
                <w:szCs w:val="24"/>
                <w:highlight w:val="none"/>
                <w:u w:val="none"/>
                <w:lang w:val="en-US" w:eastAsia="zh-CN" w:bidi="ar"/>
              </w:rPr>
              <w:t>96.45</w:t>
            </w:r>
          </w:p>
        </w:tc>
        <w:tc>
          <w:tcPr>
            <w:tcW w:w="1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b w:val="0"/>
                <w:bCs w:val="0"/>
                <w:i w:val="0"/>
                <w:iCs w:val="0"/>
                <w:color w:val="auto"/>
                <w:kern w:val="0"/>
                <w:sz w:val="24"/>
                <w:szCs w:val="24"/>
                <w:highlight w:val="none"/>
                <w:u w:val="none"/>
                <w:lang w:val="en-US" w:eastAsia="zh-CN" w:bidi="ar"/>
              </w:rPr>
            </w:pPr>
            <w:r>
              <w:rPr>
                <w:rFonts w:hint="eastAsia" w:ascii="仿宋_GB2312" w:hAnsi="宋体" w:eastAsia="仿宋_GB2312" w:cs="仿宋_GB2312"/>
                <w:b w:val="0"/>
                <w:bCs w:val="0"/>
                <w:i w:val="0"/>
                <w:iCs w:val="0"/>
                <w:color w:val="auto"/>
                <w:kern w:val="0"/>
                <w:sz w:val="24"/>
                <w:szCs w:val="24"/>
                <w:highlight w:val="none"/>
                <w:u w:val="none"/>
                <w:lang w:val="en-US" w:eastAsia="zh-CN" w:bidi="ar"/>
              </w:rPr>
              <w:t>70.41</w:t>
            </w:r>
          </w:p>
        </w:tc>
      </w:tr>
      <w:tr>
        <w:tblPrEx>
          <w:shd w:val="clear" w:color="auto" w:fill="auto"/>
          <w:tblCellMar>
            <w:top w:w="0" w:type="dxa"/>
            <w:left w:w="108" w:type="dxa"/>
            <w:bottom w:w="0" w:type="dxa"/>
            <w:right w:w="108" w:type="dxa"/>
          </w:tblCellMar>
        </w:tblPrEx>
        <w:trPr>
          <w:trHeight w:val="402" w:hRule="atLeast"/>
          <w:jc w:val="center"/>
        </w:trPr>
        <w:tc>
          <w:tcPr>
            <w:tcW w:w="39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b w:val="0"/>
                <w:bCs w:val="0"/>
                <w:i w:val="0"/>
                <w:iCs w:val="0"/>
                <w:color w:val="auto"/>
                <w:kern w:val="0"/>
                <w:sz w:val="24"/>
                <w:szCs w:val="24"/>
                <w:highlight w:val="none"/>
                <w:u w:val="none"/>
                <w:lang w:val="en-US" w:eastAsia="zh-CN" w:bidi="ar"/>
              </w:rPr>
            </w:pPr>
            <w:r>
              <w:rPr>
                <w:rFonts w:hint="eastAsia" w:ascii="仿宋_GB2312" w:hAnsi="宋体" w:eastAsia="仿宋_GB2312" w:cs="仿宋_GB2312"/>
                <w:b w:val="0"/>
                <w:bCs w:val="0"/>
                <w:i w:val="0"/>
                <w:iCs w:val="0"/>
                <w:color w:val="auto"/>
                <w:kern w:val="0"/>
                <w:sz w:val="24"/>
                <w:szCs w:val="24"/>
                <w:highlight w:val="none"/>
                <w:u w:val="none"/>
                <w:lang w:val="en-US" w:eastAsia="zh-CN" w:bidi="ar"/>
              </w:rPr>
              <w:t>红火蚁防控资金</w:t>
            </w:r>
          </w:p>
        </w:tc>
        <w:tc>
          <w:tcPr>
            <w:tcW w:w="1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b w:val="0"/>
                <w:bCs w:val="0"/>
                <w:i w:val="0"/>
                <w:iCs w:val="0"/>
                <w:color w:val="auto"/>
                <w:kern w:val="0"/>
                <w:sz w:val="24"/>
                <w:szCs w:val="24"/>
                <w:highlight w:val="none"/>
                <w:u w:val="none"/>
                <w:lang w:val="en-US" w:eastAsia="zh-CN" w:bidi="ar"/>
              </w:rPr>
            </w:pPr>
            <w:r>
              <w:rPr>
                <w:rFonts w:hint="eastAsia" w:ascii="仿宋_GB2312" w:hAnsi="宋体" w:eastAsia="仿宋_GB2312" w:cs="仿宋_GB2312"/>
                <w:b w:val="0"/>
                <w:bCs w:val="0"/>
                <w:i w:val="0"/>
                <w:iCs w:val="0"/>
                <w:color w:val="auto"/>
                <w:kern w:val="0"/>
                <w:sz w:val="24"/>
                <w:szCs w:val="24"/>
                <w:highlight w:val="none"/>
                <w:u w:val="none"/>
                <w:lang w:val="en-US" w:eastAsia="zh-CN" w:bidi="ar"/>
              </w:rPr>
              <w:t>16.45%</w:t>
            </w:r>
          </w:p>
        </w:tc>
        <w:tc>
          <w:tcPr>
            <w:tcW w:w="1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b w:val="0"/>
                <w:bCs w:val="0"/>
                <w:i w:val="0"/>
                <w:iCs w:val="0"/>
                <w:color w:val="auto"/>
                <w:kern w:val="0"/>
                <w:sz w:val="24"/>
                <w:szCs w:val="24"/>
                <w:highlight w:val="none"/>
                <w:u w:val="none"/>
                <w:lang w:val="en-US" w:eastAsia="zh-CN" w:bidi="ar"/>
              </w:rPr>
            </w:pPr>
            <w:r>
              <w:rPr>
                <w:rFonts w:hint="eastAsia" w:ascii="仿宋_GB2312" w:hAnsi="宋体" w:eastAsia="仿宋_GB2312" w:cs="仿宋_GB2312"/>
                <w:b w:val="0"/>
                <w:bCs w:val="0"/>
                <w:i w:val="0"/>
                <w:iCs w:val="0"/>
                <w:color w:val="auto"/>
                <w:kern w:val="0"/>
                <w:sz w:val="24"/>
                <w:szCs w:val="24"/>
                <w:highlight w:val="none"/>
                <w:u w:val="none"/>
                <w:lang w:val="en-US" w:eastAsia="zh-CN" w:bidi="ar"/>
              </w:rPr>
              <w:t>98.70</w:t>
            </w:r>
          </w:p>
        </w:tc>
        <w:tc>
          <w:tcPr>
            <w:tcW w:w="1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b w:val="0"/>
                <w:bCs w:val="0"/>
                <w:i w:val="0"/>
                <w:iCs w:val="0"/>
                <w:color w:val="auto"/>
                <w:kern w:val="0"/>
                <w:sz w:val="24"/>
                <w:szCs w:val="24"/>
                <w:highlight w:val="none"/>
                <w:u w:val="none"/>
                <w:lang w:val="en-US" w:eastAsia="zh-CN" w:bidi="ar"/>
              </w:rPr>
            </w:pPr>
            <w:r>
              <w:rPr>
                <w:rFonts w:hint="eastAsia" w:ascii="仿宋_GB2312" w:hAnsi="宋体" w:eastAsia="仿宋_GB2312" w:cs="仿宋_GB2312"/>
                <w:b w:val="0"/>
                <w:bCs w:val="0"/>
                <w:i w:val="0"/>
                <w:iCs w:val="0"/>
                <w:color w:val="auto"/>
                <w:kern w:val="0"/>
                <w:sz w:val="24"/>
                <w:szCs w:val="24"/>
                <w:highlight w:val="none"/>
                <w:u w:val="none"/>
                <w:lang w:val="en-US" w:eastAsia="zh-CN" w:bidi="ar"/>
              </w:rPr>
              <w:t>16.23</w:t>
            </w:r>
          </w:p>
        </w:tc>
      </w:tr>
      <w:tr>
        <w:tblPrEx>
          <w:shd w:val="clear" w:color="auto" w:fill="auto"/>
          <w:tblCellMar>
            <w:top w:w="0" w:type="dxa"/>
            <w:left w:w="108" w:type="dxa"/>
            <w:bottom w:w="0" w:type="dxa"/>
            <w:right w:w="108" w:type="dxa"/>
          </w:tblCellMar>
        </w:tblPrEx>
        <w:trPr>
          <w:trHeight w:val="413" w:hRule="atLeast"/>
          <w:jc w:val="center"/>
        </w:trPr>
        <w:tc>
          <w:tcPr>
            <w:tcW w:w="39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b w:val="0"/>
                <w:bCs w:val="0"/>
                <w:i w:val="0"/>
                <w:iCs w:val="0"/>
                <w:color w:val="auto"/>
                <w:kern w:val="0"/>
                <w:sz w:val="24"/>
                <w:szCs w:val="24"/>
                <w:highlight w:val="none"/>
                <w:u w:val="none"/>
                <w:lang w:val="en-US" w:eastAsia="zh-CN" w:bidi="ar"/>
              </w:rPr>
            </w:pPr>
            <w:r>
              <w:rPr>
                <w:rFonts w:hint="eastAsia" w:ascii="仿宋_GB2312" w:hAnsi="宋体" w:eastAsia="仿宋_GB2312" w:cs="仿宋_GB2312"/>
                <w:b w:val="0"/>
                <w:bCs w:val="0"/>
                <w:i w:val="0"/>
                <w:iCs w:val="0"/>
                <w:color w:val="auto"/>
                <w:kern w:val="0"/>
                <w:sz w:val="24"/>
                <w:szCs w:val="24"/>
                <w:highlight w:val="none"/>
                <w:u w:val="none"/>
                <w:lang w:val="en-US" w:eastAsia="zh-CN" w:bidi="ar"/>
              </w:rPr>
              <w:t>应急种子储备及调拨资金</w:t>
            </w:r>
          </w:p>
        </w:tc>
        <w:tc>
          <w:tcPr>
            <w:tcW w:w="1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b w:val="0"/>
                <w:bCs w:val="0"/>
                <w:i w:val="0"/>
                <w:iCs w:val="0"/>
                <w:color w:val="auto"/>
                <w:kern w:val="0"/>
                <w:sz w:val="24"/>
                <w:szCs w:val="24"/>
                <w:highlight w:val="none"/>
                <w:u w:val="none"/>
                <w:lang w:val="en-US" w:eastAsia="zh-CN" w:bidi="ar"/>
              </w:rPr>
            </w:pPr>
            <w:r>
              <w:rPr>
                <w:rFonts w:hint="eastAsia" w:ascii="仿宋_GB2312" w:hAnsi="宋体" w:eastAsia="仿宋_GB2312" w:cs="仿宋_GB2312"/>
                <w:b w:val="0"/>
                <w:bCs w:val="0"/>
                <w:i w:val="0"/>
                <w:iCs w:val="0"/>
                <w:color w:val="auto"/>
                <w:kern w:val="0"/>
                <w:sz w:val="24"/>
                <w:szCs w:val="24"/>
                <w:highlight w:val="none"/>
                <w:u w:val="none"/>
                <w:lang w:val="en-US" w:eastAsia="zh-CN" w:bidi="ar"/>
              </w:rPr>
              <w:t>10.55%</w:t>
            </w:r>
          </w:p>
        </w:tc>
        <w:tc>
          <w:tcPr>
            <w:tcW w:w="1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b w:val="0"/>
                <w:bCs w:val="0"/>
                <w:i w:val="0"/>
                <w:iCs w:val="0"/>
                <w:color w:val="auto"/>
                <w:kern w:val="0"/>
                <w:sz w:val="24"/>
                <w:szCs w:val="24"/>
                <w:highlight w:val="none"/>
                <w:u w:val="none"/>
                <w:lang w:val="en-US" w:eastAsia="zh-CN" w:bidi="ar"/>
              </w:rPr>
            </w:pPr>
            <w:r>
              <w:rPr>
                <w:rFonts w:hint="eastAsia" w:ascii="仿宋_GB2312" w:hAnsi="宋体" w:eastAsia="仿宋_GB2312" w:cs="仿宋_GB2312"/>
                <w:b w:val="0"/>
                <w:bCs w:val="0"/>
                <w:i w:val="0"/>
                <w:iCs w:val="0"/>
                <w:color w:val="auto"/>
                <w:kern w:val="0"/>
                <w:sz w:val="24"/>
                <w:szCs w:val="24"/>
                <w:highlight w:val="none"/>
                <w:u w:val="none"/>
                <w:lang w:val="en-US" w:eastAsia="zh-CN" w:bidi="ar"/>
              </w:rPr>
              <w:t>99.00</w:t>
            </w:r>
          </w:p>
        </w:tc>
        <w:tc>
          <w:tcPr>
            <w:tcW w:w="1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b w:val="0"/>
                <w:bCs w:val="0"/>
                <w:i w:val="0"/>
                <w:iCs w:val="0"/>
                <w:color w:val="auto"/>
                <w:kern w:val="0"/>
                <w:sz w:val="24"/>
                <w:szCs w:val="24"/>
                <w:highlight w:val="none"/>
                <w:u w:val="none"/>
                <w:lang w:val="en-US" w:eastAsia="zh-CN" w:bidi="ar"/>
              </w:rPr>
            </w:pPr>
            <w:r>
              <w:rPr>
                <w:rFonts w:hint="eastAsia" w:ascii="仿宋_GB2312" w:hAnsi="宋体" w:eastAsia="仿宋_GB2312" w:cs="仿宋_GB2312"/>
                <w:b w:val="0"/>
                <w:bCs w:val="0"/>
                <w:i w:val="0"/>
                <w:iCs w:val="0"/>
                <w:color w:val="auto"/>
                <w:kern w:val="0"/>
                <w:sz w:val="24"/>
                <w:szCs w:val="24"/>
                <w:highlight w:val="none"/>
                <w:u w:val="none"/>
                <w:lang w:val="en-US" w:eastAsia="zh-CN" w:bidi="ar"/>
              </w:rPr>
              <w:t>10.45</w:t>
            </w:r>
          </w:p>
        </w:tc>
      </w:tr>
    </w:tbl>
    <w:p>
      <w:pPr>
        <w:pStyle w:val="2"/>
        <w:rPr>
          <w:rFonts w:hint="eastAsia" w:ascii="Calibri" w:hAnsi="宋体"/>
          <w:color w:val="auto"/>
          <w:highlight w:val="none"/>
        </w:rPr>
      </w:pPr>
      <w:r>
        <w:rPr>
          <w:rFonts w:hint="eastAsia" w:ascii="仿宋_GB2312" w:hAnsi="仿宋" w:eastAsia="仿宋_GB2312"/>
          <w:color w:val="auto"/>
          <w:sz w:val="21"/>
          <w:szCs w:val="21"/>
          <w:highlight w:val="none"/>
          <w:lang w:val="en-US" w:eastAsia="zh-CN"/>
        </w:rPr>
        <w:t>说明：“家禽及蔬菜瓜果应急收储奖补资金”资金权重按实际安排预算4438.38万元计算。</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642" w:firstLineChars="200"/>
        <w:textAlignment w:val="auto"/>
        <w:rPr>
          <w:rFonts w:hint="eastAsia" w:ascii="仿宋_GB2312" w:hAnsi="仿宋" w:eastAsia="仿宋_GB2312"/>
          <w:color w:val="auto"/>
          <w:sz w:val="32"/>
          <w:highlight w:val="none"/>
        </w:rPr>
      </w:pPr>
      <w:r>
        <w:rPr>
          <w:rFonts w:hint="eastAsia" w:ascii="仿宋_GB2312" w:eastAsia="仿宋_GB2312"/>
          <w:b/>
          <w:bCs/>
          <w:color w:val="auto"/>
          <w:sz w:val="32"/>
          <w:szCs w:val="32"/>
          <w:highlight w:val="none"/>
          <w:lang w:val="en-US" w:eastAsia="zh-CN"/>
        </w:rPr>
        <w:t>1.</w:t>
      </w:r>
      <w:r>
        <w:rPr>
          <w:rFonts w:hint="eastAsia" w:ascii="仿宋_GB2312" w:eastAsia="仿宋_GB2312"/>
          <w:b/>
          <w:bCs/>
          <w:color w:val="auto"/>
          <w:sz w:val="32"/>
          <w:szCs w:val="32"/>
          <w:highlight w:val="none"/>
        </w:rPr>
        <w:t>投入</w:t>
      </w:r>
      <w:r>
        <w:rPr>
          <w:rFonts w:hint="eastAsia" w:ascii="仿宋_GB2312" w:eastAsia="仿宋_GB2312"/>
          <w:b/>
          <w:bCs/>
          <w:color w:val="auto"/>
          <w:sz w:val="32"/>
          <w:szCs w:val="32"/>
          <w:highlight w:val="none"/>
          <w:lang w:eastAsia="zh-CN"/>
        </w:rPr>
        <w:t>。</w:t>
      </w:r>
      <w:r>
        <w:rPr>
          <w:rFonts w:hint="eastAsia" w:ascii="仿宋_GB2312" w:hAnsi="仿宋" w:eastAsia="仿宋_GB2312"/>
          <w:color w:val="auto"/>
          <w:sz w:val="32"/>
          <w:highlight w:val="none"/>
        </w:rPr>
        <w:t>该指标主要从项目立项和资金落实两个方面考察</w:t>
      </w:r>
      <w:r>
        <w:rPr>
          <w:rFonts w:hint="eastAsia" w:ascii="仿宋_GB2312" w:hAnsi="仿宋_GB2312" w:eastAsia="仿宋_GB2312" w:cs="仿宋_GB2312"/>
          <w:color w:val="auto"/>
          <w:sz w:val="32"/>
          <w:highlight w:val="none"/>
        </w:rPr>
        <w:t>项目论证的充分性，绩效目标的完整性、合理性和可衡量性，制度和计划上的保障措施，资金到位和分配情况</w:t>
      </w:r>
      <w:r>
        <w:rPr>
          <w:rFonts w:hint="eastAsia" w:ascii="仿宋_GB2312" w:hAnsi="仿宋" w:eastAsia="仿宋_GB2312"/>
          <w:color w:val="auto"/>
          <w:sz w:val="32"/>
          <w:highlight w:val="none"/>
        </w:rPr>
        <w:t>。指标分值20分，评价得分</w:t>
      </w:r>
      <w:r>
        <w:rPr>
          <w:rFonts w:hint="eastAsia" w:ascii="仿宋_GB2312" w:hAnsi="仿宋" w:eastAsia="仿宋_GB2312"/>
          <w:color w:val="auto"/>
          <w:sz w:val="32"/>
          <w:highlight w:val="none"/>
          <w:lang w:val="en-US" w:eastAsia="zh-CN"/>
        </w:rPr>
        <w:t>19.45</w:t>
      </w:r>
      <w:r>
        <w:rPr>
          <w:rFonts w:hint="eastAsia" w:ascii="仿宋_GB2312" w:hAnsi="仿宋" w:eastAsia="仿宋_GB2312"/>
          <w:color w:val="auto"/>
          <w:sz w:val="32"/>
          <w:highlight w:val="none"/>
        </w:rPr>
        <w:t>分，得分率为</w:t>
      </w:r>
      <w:r>
        <w:rPr>
          <w:rFonts w:hint="eastAsia" w:ascii="仿宋_GB2312" w:hAnsi="仿宋" w:eastAsia="仿宋_GB2312"/>
          <w:color w:val="auto"/>
          <w:sz w:val="32"/>
          <w:highlight w:val="none"/>
          <w:lang w:val="en-US" w:eastAsia="zh-CN"/>
        </w:rPr>
        <w:t>97.25</w:t>
      </w:r>
      <w:r>
        <w:rPr>
          <w:rFonts w:hint="eastAsia" w:ascii="仿宋_GB2312" w:hAnsi="仿宋" w:eastAsia="仿宋_GB2312"/>
          <w:color w:val="auto"/>
          <w:sz w:val="32"/>
          <w:highlight w:val="none"/>
        </w:rPr>
        <w:t>%。</w:t>
      </w:r>
    </w:p>
    <w:p>
      <w:pPr>
        <w:ind w:firstLine="642" w:firstLineChars="200"/>
        <w:rPr>
          <w:rFonts w:hint="eastAsia" w:ascii="仿宋_GB2312" w:hAnsi="仿宋" w:eastAsia="仿宋_GB2312"/>
          <w:color w:val="auto"/>
          <w:sz w:val="32"/>
          <w:highlight w:val="none"/>
          <w:lang w:val="en-US" w:eastAsia="zh-CN"/>
        </w:rPr>
      </w:pPr>
      <w:bookmarkStart w:id="38" w:name="_Toc39323948"/>
      <w:bookmarkStart w:id="39" w:name="_Toc42021433"/>
      <w:bookmarkStart w:id="40" w:name="_Toc39921328"/>
      <w:bookmarkStart w:id="41" w:name="_Toc5399"/>
      <w:bookmarkStart w:id="42" w:name="_Toc42020742"/>
      <w:bookmarkStart w:id="43" w:name="_Toc41334547"/>
      <w:bookmarkStart w:id="44" w:name="_Toc39324245"/>
      <w:r>
        <w:rPr>
          <w:rFonts w:hint="eastAsia" w:ascii="仿宋_GB2312" w:hAnsi="仿宋" w:eastAsia="仿宋_GB2312" w:cs="Times New Roman"/>
          <w:b/>
          <w:bCs/>
          <w:color w:val="auto"/>
          <w:kern w:val="0"/>
          <w:sz w:val="32"/>
          <w:szCs w:val="32"/>
          <w:highlight w:val="none"/>
          <w:lang w:val="en-US" w:eastAsia="zh-CN" w:bidi="ar-SA"/>
        </w:rPr>
        <w:t>（1）项目立项。</w:t>
      </w:r>
      <w:bookmarkEnd w:id="38"/>
      <w:bookmarkEnd w:id="39"/>
      <w:bookmarkEnd w:id="40"/>
      <w:bookmarkEnd w:id="41"/>
      <w:bookmarkEnd w:id="42"/>
      <w:bookmarkEnd w:id="43"/>
      <w:bookmarkEnd w:id="44"/>
      <w:r>
        <w:rPr>
          <w:rFonts w:hint="eastAsia" w:ascii="仿宋_GB2312" w:hAnsi="仿宋" w:eastAsia="仿宋_GB2312" w:cs="Times New Roman"/>
          <w:color w:val="auto"/>
          <w:kern w:val="0"/>
          <w:sz w:val="32"/>
          <w:szCs w:val="32"/>
          <w:highlight w:val="none"/>
          <w:lang w:val="en-US" w:eastAsia="zh-CN" w:bidi="ar-SA"/>
        </w:rPr>
        <w:t>该指标分值12分，评价得分11.45分，得分率为</w:t>
      </w:r>
      <w:r>
        <w:rPr>
          <w:rFonts w:hint="eastAsia" w:ascii="仿宋_GB2312" w:hAnsi="仿宋" w:eastAsia="仿宋_GB2312" w:cs="Times New Roman"/>
          <w:color w:val="auto"/>
          <w:sz w:val="32"/>
          <w:highlight w:val="none"/>
          <w:lang w:val="en-US" w:eastAsia="zh-CN"/>
        </w:rPr>
        <w:t>95.42</w:t>
      </w:r>
      <w:r>
        <w:rPr>
          <w:rFonts w:hint="eastAsia" w:ascii="仿宋_GB2312" w:hAnsi="仿宋" w:eastAsia="仿宋_GB2312" w:cs="Times New Roman"/>
          <w:color w:val="auto"/>
          <w:sz w:val="32"/>
          <w:highlight w:val="none"/>
        </w:rPr>
        <w:t>%。</w:t>
      </w:r>
      <w:bookmarkStart w:id="45" w:name="_Toc39323949"/>
      <w:bookmarkStart w:id="46" w:name="_Toc39921329"/>
      <w:bookmarkStart w:id="47" w:name="_Toc39324246"/>
      <w:bookmarkStart w:id="48" w:name="_Toc16144"/>
      <w:r>
        <w:rPr>
          <w:rFonts w:hint="eastAsia" w:ascii="仿宋_GB2312" w:hAnsi="仿宋" w:eastAsia="仿宋_GB2312" w:cs="Times New Roman"/>
          <w:color w:val="auto"/>
          <w:sz w:val="32"/>
          <w:highlight w:val="none"/>
          <w:lang w:val="en-US" w:eastAsia="zh-CN"/>
        </w:rPr>
        <w:t>总体上，专项资金设立的</w:t>
      </w:r>
      <w:r>
        <w:rPr>
          <w:rFonts w:hint="eastAsia" w:ascii="仿宋_GB2312" w:hAnsi="仿宋" w:eastAsia="仿宋_GB2312" w:cs="Times New Roman"/>
          <w:color w:val="auto"/>
          <w:sz w:val="32"/>
          <w:highlight w:val="none"/>
        </w:rPr>
        <w:t>决策过程科学合理，资金设立</w:t>
      </w:r>
      <w:r>
        <w:rPr>
          <w:rFonts w:hint="eastAsia" w:ascii="仿宋_GB2312" w:hAnsi="仿宋" w:eastAsia="仿宋_GB2312" w:cs="Times New Roman"/>
          <w:color w:val="auto"/>
          <w:sz w:val="32"/>
          <w:highlight w:val="none"/>
          <w:lang w:eastAsia="zh-CN"/>
        </w:rPr>
        <w:t>程序</w:t>
      </w:r>
      <w:r>
        <w:rPr>
          <w:rFonts w:hint="eastAsia" w:ascii="仿宋_GB2312" w:hAnsi="仿宋" w:eastAsia="仿宋_GB2312" w:cs="Times New Roman"/>
          <w:color w:val="auto"/>
          <w:sz w:val="32"/>
          <w:highlight w:val="none"/>
        </w:rPr>
        <w:t>符合省级专项资金管理办法，资金投向和结</w:t>
      </w:r>
      <w:r>
        <w:rPr>
          <w:rFonts w:hint="eastAsia" w:ascii="仿宋_GB2312" w:hAnsi="仿宋" w:eastAsia="仿宋_GB2312"/>
          <w:color w:val="auto"/>
          <w:sz w:val="32"/>
          <w:highlight w:val="none"/>
        </w:rPr>
        <w:t>构符合公共财政</w:t>
      </w:r>
      <w:r>
        <w:rPr>
          <w:rFonts w:hint="eastAsia" w:ascii="仿宋_GB2312" w:hAnsi="仿宋" w:eastAsia="仿宋_GB2312"/>
          <w:color w:val="auto"/>
          <w:sz w:val="32"/>
          <w:highlight w:val="none"/>
          <w:lang w:eastAsia="zh-CN"/>
        </w:rPr>
        <w:t>支持</w:t>
      </w:r>
      <w:r>
        <w:rPr>
          <w:rFonts w:hint="eastAsia" w:ascii="仿宋_GB2312" w:hAnsi="仿宋" w:eastAsia="仿宋_GB2312"/>
          <w:color w:val="auto"/>
          <w:sz w:val="32"/>
          <w:highlight w:val="none"/>
        </w:rPr>
        <w:t>方向</w:t>
      </w:r>
      <w:bookmarkEnd w:id="45"/>
      <w:bookmarkEnd w:id="46"/>
      <w:bookmarkEnd w:id="47"/>
      <w:bookmarkEnd w:id="48"/>
      <w:r>
        <w:rPr>
          <w:rFonts w:hint="eastAsia" w:ascii="仿宋_GB2312" w:hAnsi="仿宋" w:eastAsia="仿宋_GB2312"/>
          <w:color w:val="auto"/>
          <w:sz w:val="32"/>
          <w:highlight w:val="none"/>
          <w:lang w:eastAsia="zh-CN"/>
        </w:rPr>
        <w:t>。绩效目标设置</w:t>
      </w:r>
      <w:r>
        <w:rPr>
          <w:rFonts w:hint="eastAsia" w:ascii="仿宋_GB2312" w:hAnsi="仿宋" w:eastAsia="仿宋_GB2312"/>
          <w:color w:val="auto"/>
          <w:sz w:val="32"/>
          <w:highlight w:val="none"/>
          <w:lang w:val="en-US" w:eastAsia="zh-CN"/>
        </w:rPr>
        <w:t>较为</w:t>
      </w:r>
      <w:r>
        <w:rPr>
          <w:rFonts w:hint="eastAsia" w:ascii="仿宋_GB2312" w:hAnsi="仿宋" w:eastAsia="仿宋_GB2312"/>
          <w:color w:val="auto"/>
          <w:sz w:val="32"/>
          <w:highlight w:val="none"/>
          <w:lang w:eastAsia="zh-CN"/>
        </w:rPr>
        <w:t>完整，基本符合项目属性、支出内容。相关管理制度完整，能够为项目规范实施提供制度保障。各市能够按照资金安排实计划实施项目，工作安排比较合理。</w:t>
      </w:r>
      <w:r>
        <w:rPr>
          <w:rFonts w:hint="eastAsia" w:ascii="仿宋_GB2312" w:hAnsi="仿宋" w:eastAsia="仿宋_GB2312"/>
          <w:color w:val="auto"/>
          <w:sz w:val="32"/>
          <w:highlight w:val="none"/>
          <w:lang w:val="en-US" w:eastAsia="zh-CN"/>
        </w:rPr>
        <w:t>存在的问题是：3项政策任务绩效目标设置的完整性、合理性和可衡量需要进一步提高。</w:t>
      </w:r>
    </w:p>
    <w:p>
      <w:pPr>
        <w:numPr>
          <w:ilvl w:val="0"/>
          <w:numId w:val="3"/>
        </w:numPr>
        <w:ind w:firstLine="642" w:firstLineChars="200"/>
        <w:rPr>
          <w:rFonts w:hint="eastAsia" w:ascii="仿宋_GB2312" w:hAnsi="仿宋" w:eastAsia="仿宋_GB2312"/>
          <w:b w:val="0"/>
          <w:bCs w:val="0"/>
          <w:color w:val="auto"/>
          <w:sz w:val="32"/>
          <w:highlight w:val="none"/>
          <w:lang w:eastAsia="zh-CN"/>
        </w:rPr>
      </w:pPr>
      <w:r>
        <w:rPr>
          <w:rFonts w:hint="eastAsia" w:ascii="仿宋_GB2312" w:hAnsi="仿宋" w:eastAsia="仿宋_GB2312"/>
          <w:b/>
          <w:bCs/>
          <w:color w:val="auto"/>
          <w:sz w:val="32"/>
          <w:highlight w:val="none"/>
          <w:lang w:val="en-US" w:eastAsia="zh-CN"/>
        </w:rPr>
        <w:t>资金落实</w:t>
      </w:r>
      <w:r>
        <w:rPr>
          <w:rFonts w:hint="eastAsia" w:ascii="仿宋_GB2312" w:hAnsi="仿宋" w:eastAsia="仿宋_GB2312"/>
          <w:b/>
          <w:bCs/>
          <w:color w:val="auto"/>
          <w:sz w:val="32"/>
          <w:highlight w:val="none"/>
          <w:lang w:eastAsia="zh-CN"/>
        </w:rPr>
        <w:t>。</w:t>
      </w:r>
      <w:r>
        <w:rPr>
          <w:rFonts w:hint="eastAsia" w:ascii="仿宋_GB2312" w:hAnsi="仿宋" w:eastAsia="仿宋_GB2312" w:cs="Times New Roman"/>
          <w:color w:val="auto"/>
          <w:sz w:val="32"/>
          <w:highlight w:val="none"/>
        </w:rPr>
        <w:t>该指标分值</w:t>
      </w:r>
      <w:r>
        <w:rPr>
          <w:rFonts w:hint="eastAsia" w:ascii="仿宋_GB2312" w:hAnsi="仿宋" w:eastAsia="仿宋_GB2312" w:cs="Times New Roman"/>
          <w:color w:val="auto"/>
          <w:sz w:val="32"/>
          <w:highlight w:val="none"/>
          <w:lang w:val="en-US" w:eastAsia="zh-CN"/>
        </w:rPr>
        <w:t>8</w:t>
      </w:r>
      <w:r>
        <w:rPr>
          <w:rFonts w:hint="eastAsia" w:ascii="仿宋_GB2312" w:hAnsi="仿宋" w:eastAsia="仿宋_GB2312" w:cs="Times New Roman"/>
          <w:color w:val="auto"/>
          <w:sz w:val="32"/>
          <w:highlight w:val="none"/>
        </w:rPr>
        <w:t>分，评价得分</w:t>
      </w:r>
      <w:r>
        <w:rPr>
          <w:rFonts w:hint="eastAsia" w:ascii="仿宋_GB2312" w:hAnsi="仿宋" w:eastAsia="仿宋_GB2312" w:cs="Times New Roman"/>
          <w:color w:val="auto"/>
          <w:sz w:val="32"/>
          <w:highlight w:val="none"/>
          <w:lang w:val="en-US" w:eastAsia="zh-CN"/>
        </w:rPr>
        <w:t>8</w:t>
      </w:r>
      <w:r>
        <w:rPr>
          <w:rFonts w:hint="eastAsia" w:ascii="仿宋_GB2312" w:hAnsi="仿宋" w:eastAsia="仿宋_GB2312" w:cs="Times New Roman"/>
          <w:color w:val="auto"/>
          <w:sz w:val="32"/>
          <w:highlight w:val="none"/>
        </w:rPr>
        <w:t>分，得分率为</w:t>
      </w:r>
      <w:r>
        <w:rPr>
          <w:rFonts w:hint="eastAsia" w:ascii="仿宋_GB2312" w:hAnsi="仿宋" w:eastAsia="仿宋_GB2312" w:cs="Times New Roman"/>
          <w:color w:val="auto"/>
          <w:sz w:val="32"/>
          <w:highlight w:val="none"/>
          <w:lang w:val="en-US" w:eastAsia="zh-CN"/>
        </w:rPr>
        <w:t>100</w:t>
      </w:r>
      <w:r>
        <w:rPr>
          <w:rFonts w:hint="eastAsia" w:ascii="仿宋_GB2312" w:hAnsi="仿宋" w:eastAsia="仿宋_GB2312" w:cs="Times New Roman"/>
          <w:color w:val="auto"/>
          <w:sz w:val="32"/>
          <w:highlight w:val="none"/>
        </w:rPr>
        <w:t>%。</w:t>
      </w:r>
      <w:r>
        <w:rPr>
          <w:rFonts w:hint="eastAsia" w:ascii="仿宋_GB2312" w:eastAsia="仿宋_GB2312"/>
          <w:color w:val="auto"/>
          <w:sz w:val="32"/>
          <w:highlight w:val="none"/>
          <w:lang w:val="en-US" w:eastAsia="zh-CN"/>
        </w:rPr>
        <w:t>2020年救灾应急专项资金</w:t>
      </w:r>
      <w:r>
        <w:rPr>
          <w:rFonts w:hint="eastAsia" w:ascii="仿宋_GB2312" w:hAnsi="仿宋" w:eastAsia="仿宋_GB2312" w:cs="Times New Roman"/>
          <w:color w:val="auto"/>
          <w:sz w:val="32"/>
          <w:highlight w:val="none"/>
          <w:lang w:eastAsia="zh-CN"/>
        </w:rPr>
        <w:t>全部落实到位，</w:t>
      </w:r>
      <w:r>
        <w:rPr>
          <w:rFonts w:hint="eastAsia" w:ascii="仿宋_GB2312" w:eastAsia="仿宋_GB2312"/>
          <w:color w:val="auto"/>
          <w:sz w:val="32"/>
          <w:highlight w:val="none"/>
          <w:lang w:val="en-US" w:eastAsia="zh-CN"/>
        </w:rPr>
        <w:t>资金及时足额下达至相关单位。</w:t>
      </w:r>
      <w:r>
        <w:rPr>
          <w:rFonts w:hint="eastAsia" w:ascii="仿宋_GB2312" w:hAnsi="仿宋" w:eastAsia="仿宋_GB2312"/>
          <w:color w:val="auto"/>
          <w:sz w:val="32"/>
          <w:szCs w:val="32"/>
          <w:highlight w:val="none"/>
        </w:rPr>
        <w:t>资金按因素法分配，专项资金分配明确合理，扶持对象和主要用途符合相关规定</w:t>
      </w:r>
      <w:r>
        <w:rPr>
          <w:rFonts w:hint="eastAsia" w:ascii="仿宋_GB2312" w:hAnsi="仿宋" w:eastAsia="仿宋_GB2312"/>
          <w:color w:val="auto"/>
          <w:sz w:val="32"/>
          <w:szCs w:val="32"/>
          <w:highlight w:val="none"/>
          <w:lang w:eastAsia="zh-CN"/>
        </w:rPr>
        <w:t>，</w:t>
      </w:r>
      <w:r>
        <w:rPr>
          <w:rFonts w:hint="eastAsia" w:ascii="仿宋_GB2312" w:hAnsi="仿宋" w:eastAsia="仿宋_GB2312"/>
          <w:color w:val="auto"/>
          <w:sz w:val="32"/>
          <w:szCs w:val="32"/>
          <w:highlight w:val="none"/>
          <w:lang w:val="en-US" w:eastAsia="zh-CN"/>
        </w:rPr>
        <w:t>有助于实现绩效目标</w:t>
      </w:r>
      <w:r>
        <w:rPr>
          <w:rFonts w:hint="eastAsia" w:ascii="仿宋_GB2312" w:hAnsi="仿宋" w:eastAsia="仿宋_GB2312"/>
          <w:color w:val="auto"/>
          <w:sz w:val="32"/>
          <w:szCs w:val="32"/>
          <w:highlight w:val="none"/>
        </w:rPr>
        <w:t>。</w:t>
      </w:r>
    </w:p>
    <w:p>
      <w:pPr>
        <w:numPr>
          <w:ilvl w:val="0"/>
          <w:numId w:val="0"/>
        </w:numPr>
        <w:ind w:firstLine="642" w:firstLineChars="200"/>
        <w:rPr>
          <w:rFonts w:hint="eastAsia" w:ascii="仿宋_GB2312" w:hAnsi="仿宋" w:eastAsia="仿宋_GB2312"/>
          <w:b w:val="0"/>
          <w:bCs w:val="0"/>
          <w:color w:val="auto"/>
          <w:sz w:val="32"/>
          <w:highlight w:val="none"/>
          <w:lang w:eastAsia="zh-CN"/>
        </w:rPr>
      </w:pPr>
      <w:r>
        <w:rPr>
          <w:rFonts w:hint="eastAsia" w:ascii="仿宋_GB2312" w:hAnsi="仿宋" w:eastAsia="仿宋_GB2312"/>
          <w:b/>
          <w:bCs/>
          <w:color w:val="auto"/>
          <w:sz w:val="32"/>
          <w:highlight w:val="none"/>
          <w:lang w:val="en-US" w:eastAsia="zh-CN"/>
        </w:rPr>
        <w:t>2.</w:t>
      </w:r>
      <w:r>
        <w:rPr>
          <w:rFonts w:hint="eastAsia" w:ascii="仿宋_GB2312" w:hAnsi="仿宋" w:eastAsia="仿宋_GB2312"/>
          <w:b/>
          <w:bCs/>
          <w:color w:val="auto"/>
          <w:sz w:val="32"/>
          <w:highlight w:val="none"/>
        </w:rPr>
        <w:t>过程</w:t>
      </w:r>
      <w:r>
        <w:rPr>
          <w:rFonts w:hint="eastAsia" w:ascii="仿宋_GB2312" w:hAnsi="仿宋" w:eastAsia="仿宋_GB2312"/>
          <w:b/>
          <w:bCs/>
          <w:color w:val="auto"/>
          <w:sz w:val="32"/>
          <w:highlight w:val="none"/>
          <w:lang w:eastAsia="zh-CN"/>
        </w:rPr>
        <w:t>。</w:t>
      </w:r>
      <w:r>
        <w:rPr>
          <w:rFonts w:hint="eastAsia" w:ascii="仿宋_GB2312" w:hAnsi="仿宋" w:eastAsia="仿宋_GB2312"/>
          <w:b w:val="0"/>
          <w:bCs w:val="0"/>
          <w:color w:val="auto"/>
          <w:sz w:val="32"/>
          <w:highlight w:val="none"/>
          <w:lang w:eastAsia="zh-CN"/>
        </w:rPr>
        <w:t>该指标主要从资金管理和事项管理两个方面考核项目资金支付情况，资金支出的规范性，项目实施的规范性和监管的有效性。指标分值20分，评价得分</w:t>
      </w:r>
      <w:r>
        <w:rPr>
          <w:rFonts w:hint="eastAsia" w:ascii="仿宋_GB2312" w:hAnsi="仿宋" w:eastAsia="仿宋_GB2312"/>
          <w:b w:val="0"/>
          <w:bCs w:val="0"/>
          <w:color w:val="auto"/>
          <w:sz w:val="32"/>
          <w:highlight w:val="none"/>
          <w:lang w:val="en-US" w:eastAsia="zh-CN"/>
        </w:rPr>
        <w:t>20</w:t>
      </w:r>
      <w:r>
        <w:rPr>
          <w:rFonts w:hint="eastAsia" w:ascii="仿宋_GB2312" w:hAnsi="仿宋" w:eastAsia="仿宋_GB2312"/>
          <w:b w:val="0"/>
          <w:bCs w:val="0"/>
          <w:color w:val="auto"/>
          <w:sz w:val="32"/>
          <w:highlight w:val="none"/>
          <w:lang w:eastAsia="zh-CN"/>
        </w:rPr>
        <w:t>分，得分率为</w:t>
      </w:r>
      <w:r>
        <w:rPr>
          <w:rFonts w:hint="eastAsia" w:ascii="仿宋_GB2312" w:hAnsi="仿宋" w:eastAsia="仿宋_GB2312"/>
          <w:b w:val="0"/>
          <w:bCs w:val="0"/>
          <w:color w:val="auto"/>
          <w:sz w:val="32"/>
          <w:highlight w:val="none"/>
          <w:lang w:val="en-US" w:eastAsia="zh-CN"/>
        </w:rPr>
        <w:t>100</w:t>
      </w:r>
      <w:r>
        <w:rPr>
          <w:rFonts w:hint="eastAsia" w:ascii="仿宋_GB2312" w:hAnsi="仿宋" w:eastAsia="仿宋_GB2312"/>
          <w:b w:val="0"/>
          <w:bCs w:val="0"/>
          <w:color w:val="auto"/>
          <w:sz w:val="32"/>
          <w:highlight w:val="none"/>
          <w:lang w:eastAsia="zh-CN"/>
        </w:rPr>
        <w:t>%。</w:t>
      </w:r>
    </w:p>
    <w:p>
      <w:pPr>
        <w:widowControl w:val="0"/>
        <w:numPr>
          <w:ilvl w:val="0"/>
          <w:numId w:val="0"/>
        </w:numPr>
        <w:ind w:firstLine="642" w:firstLineChars="200"/>
        <w:jc w:val="both"/>
        <w:rPr>
          <w:rFonts w:hint="eastAsia" w:ascii="仿宋" w:hAnsi="仿宋" w:eastAsia="仿宋" w:cs="仿宋"/>
          <w:color w:val="auto"/>
          <w:sz w:val="32"/>
          <w:szCs w:val="32"/>
          <w:highlight w:val="none"/>
        </w:rPr>
      </w:pPr>
      <w:r>
        <w:rPr>
          <w:rFonts w:hint="eastAsia" w:ascii="仿宋_GB2312" w:hAnsi="仿宋" w:eastAsia="仿宋_GB2312" w:cs="Times New Roman"/>
          <w:b/>
          <w:bCs/>
          <w:color w:val="auto"/>
          <w:kern w:val="0"/>
          <w:sz w:val="32"/>
          <w:szCs w:val="32"/>
          <w:highlight w:val="none"/>
          <w:lang w:val="en-US" w:eastAsia="zh-CN" w:bidi="ar-SA"/>
        </w:rPr>
        <w:t>（1）资金管理。</w:t>
      </w:r>
      <w:r>
        <w:rPr>
          <w:rFonts w:hint="eastAsia" w:ascii="仿宋_GB2312" w:hAnsi="仿宋" w:eastAsia="仿宋_GB2312" w:cs="Times New Roman"/>
          <w:color w:val="auto"/>
          <w:kern w:val="0"/>
          <w:sz w:val="32"/>
          <w:szCs w:val="32"/>
          <w:highlight w:val="none"/>
          <w:lang w:val="en-US" w:eastAsia="zh-CN" w:bidi="ar-SA"/>
        </w:rPr>
        <w:t>该指标分值12分，评价得分12分，得分率为</w:t>
      </w:r>
      <w:r>
        <w:rPr>
          <w:rFonts w:hint="eastAsia" w:ascii="仿宋_GB2312" w:hAnsi="仿宋" w:eastAsia="仿宋_GB2312" w:cs="Times New Roman"/>
          <w:color w:val="auto"/>
          <w:sz w:val="32"/>
          <w:highlight w:val="none"/>
          <w:lang w:val="en-US" w:eastAsia="zh-CN"/>
        </w:rPr>
        <w:t>100</w:t>
      </w:r>
      <w:r>
        <w:rPr>
          <w:rFonts w:hint="eastAsia" w:ascii="仿宋_GB2312" w:hAnsi="仿宋" w:eastAsia="仿宋_GB2312" w:cs="Times New Roman"/>
          <w:color w:val="auto"/>
          <w:sz w:val="32"/>
          <w:highlight w:val="none"/>
        </w:rPr>
        <w:t>%。</w:t>
      </w:r>
      <w:r>
        <w:rPr>
          <w:rFonts w:hint="eastAsia" w:ascii="仿宋_GB2312" w:hAnsi="仿宋" w:eastAsia="仿宋_GB2312" w:cs="Times New Roman"/>
          <w:color w:val="auto"/>
          <w:sz w:val="32"/>
          <w:highlight w:val="none"/>
          <w:lang w:eastAsia="zh-CN"/>
        </w:rPr>
        <w:t>一是</w:t>
      </w:r>
      <w:r>
        <w:rPr>
          <w:rFonts w:hint="eastAsia" w:ascii="仿宋_GB2312" w:hAnsi="仿宋" w:eastAsia="仿宋_GB2312" w:cs="Times New Roman"/>
          <w:color w:val="auto"/>
          <w:sz w:val="32"/>
          <w:highlight w:val="none"/>
          <w:lang w:val="en-US" w:eastAsia="zh-CN"/>
        </w:rPr>
        <w:t>救灾应急资金预算数全部及时足额到位，实际安排</w:t>
      </w:r>
      <w:r>
        <w:rPr>
          <w:rFonts w:hint="eastAsia" w:ascii="仿宋_GB2312" w:hAnsi="仿宋" w:eastAsia="仿宋_GB2312" w:cs="Times New Roman"/>
          <w:color w:val="auto"/>
          <w:sz w:val="32"/>
          <w:highlight w:val="none"/>
        </w:rPr>
        <w:t>专项资金支出率</w:t>
      </w:r>
      <w:r>
        <w:rPr>
          <w:rFonts w:hint="eastAsia" w:ascii="仿宋_GB2312" w:hAnsi="仿宋" w:eastAsia="仿宋_GB2312" w:cs="Times New Roman"/>
          <w:color w:val="auto"/>
          <w:sz w:val="32"/>
          <w:highlight w:val="none"/>
          <w:lang w:eastAsia="zh-CN"/>
        </w:rPr>
        <w:t>为</w:t>
      </w:r>
      <w:r>
        <w:rPr>
          <w:rFonts w:hint="eastAsia" w:ascii="仿宋_GB2312" w:hAnsi="仿宋" w:eastAsia="仿宋_GB2312" w:cs="Times New Roman"/>
          <w:color w:val="auto"/>
          <w:sz w:val="32"/>
          <w:highlight w:val="none"/>
        </w:rPr>
        <w:t>100%。</w:t>
      </w:r>
      <w:r>
        <w:rPr>
          <w:rFonts w:hint="eastAsia" w:ascii="仿宋_GB2312" w:hAnsi="仿宋" w:eastAsia="仿宋_GB2312" w:cs="Times New Roman"/>
          <w:color w:val="auto"/>
          <w:sz w:val="32"/>
          <w:highlight w:val="none"/>
          <w:lang w:eastAsia="zh-CN"/>
        </w:rPr>
        <w:t>其中：</w:t>
      </w:r>
      <w:r>
        <w:rPr>
          <w:rFonts w:hint="eastAsia" w:ascii="仿宋" w:hAnsi="仿宋" w:eastAsia="仿宋" w:cs="仿宋"/>
          <w:color w:val="auto"/>
          <w:sz w:val="32"/>
          <w:szCs w:val="32"/>
          <w:highlight w:val="none"/>
          <w:lang w:val="en-US" w:eastAsia="zh-CN"/>
        </w:rPr>
        <w:t>家禽及蔬菜瓜果应急收储奖补资金</w:t>
      </w:r>
      <w:r>
        <w:rPr>
          <w:rFonts w:hint="eastAsia" w:ascii="仿宋" w:hAnsi="仿宋" w:eastAsia="仿宋" w:cs="仿宋"/>
          <w:color w:val="auto"/>
          <w:sz w:val="32"/>
          <w:szCs w:val="32"/>
          <w:highlight w:val="none"/>
          <w:lang w:eastAsia="zh-CN"/>
        </w:rPr>
        <w:t>按政策</w:t>
      </w:r>
      <w:r>
        <w:rPr>
          <w:rFonts w:hint="eastAsia" w:ascii="仿宋" w:hAnsi="仿宋" w:eastAsia="仿宋" w:cs="仿宋"/>
          <w:color w:val="auto"/>
          <w:sz w:val="32"/>
          <w:szCs w:val="32"/>
          <w:highlight w:val="none"/>
        </w:rPr>
        <w:t>支出4438.38万元</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实际安排</w:t>
      </w:r>
      <w:r>
        <w:rPr>
          <w:rFonts w:hint="eastAsia" w:ascii="仿宋" w:hAnsi="仿宋" w:eastAsia="仿宋" w:cs="仿宋"/>
          <w:color w:val="auto"/>
          <w:sz w:val="32"/>
          <w:szCs w:val="32"/>
          <w:highlight w:val="none"/>
          <w:lang w:eastAsia="zh-CN"/>
        </w:rPr>
        <w:t>预算</w:t>
      </w:r>
      <w:r>
        <w:rPr>
          <w:rFonts w:hint="eastAsia" w:ascii="仿宋" w:hAnsi="仿宋" w:eastAsia="仿宋" w:cs="仿宋"/>
          <w:color w:val="auto"/>
          <w:sz w:val="32"/>
          <w:szCs w:val="32"/>
          <w:highlight w:val="none"/>
          <w:lang w:val="en-US" w:eastAsia="zh-CN"/>
        </w:rPr>
        <w:t>资金</w:t>
      </w:r>
      <w:r>
        <w:rPr>
          <w:rFonts w:hint="eastAsia" w:ascii="仿宋" w:hAnsi="仿宋" w:eastAsia="仿宋" w:cs="仿宋"/>
          <w:color w:val="auto"/>
          <w:sz w:val="32"/>
          <w:szCs w:val="32"/>
          <w:highlight w:val="none"/>
          <w:lang w:eastAsia="zh-CN"/>
        </w:rPr>
        <w:t>执行率</w:t>
      </w:r>
      <w:r>
        <w:rPr>
          <w:rFonts w:hint="eastAsia" w:ascii="仿宋" w:hAnsi="仿宋" w:eastAsia="仿宋" w:cs="仿宋"/>
          <w:color w:val="auto"/>
          <w:sz w:val="32"/>
          <w:szCs w:val="32"/>
          <w:highlight w:val="none"/>
          <w:lang w:val="en-US" w:eastAsia="zh-CN"/>
        </w:rPr>
        <w:t>100%</w:t>
      </w:r>
      <w:r>
        <w:rPr>
          <w:rFonts w:hint="eastAsia" w:ascii="仿宋" w:hAnsi="仿宋" w:eastAsia="仿宋" w:cs="仿宋"/>
          <w:color w:val="auto"/>
          <w:sz w:val="32"/>
          <w:szCs w:val="32"/>
          <w:highlight w:val="none"/>
          <w:lang w:eastAsia="zh-CN"/>
        </w:rPr>
        <w:t>。</w:t>
      </w:r>
      <w:r>
        <w:rPr>
          <w:rFonts w:hint="eastAsia" w:ascii="仿宋_GB2312" w:eastAsia="仿宋_GB2312"/>
          <w:color w:val="auto"/>
          <w:sz w:val="32"/>
          <w:szCs w:val="32"/>
          <w:highlight w:val="none"/>
          <w:lang w:val="en-US" w:eastAsia="zh-CN"/>
        </w:rPr>
        <w:t>2020年10月，新冠肺炎疫情防控逐步常态化，市场秩序基本恢复正常，省农业农村厅印发通知，要求各地市从2020年11月份停止家禽水产品收储和蔬菜瓜果收购、贮藏应急补贴工作，各市尚未发放的省级补贴资金结余资金3561.62万元由省级财政收回</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红火蚁防控资金</w:t>
      </w:r>
      <w:r>
        <w:rPr>
          <w:rFonts w:hint="eastAsia" w:ascii="仿宋" w:hAnsi="仿宋" w:eastAsia="仿宋" w:cs="仿宋"/>
          <w:color w:val="auto"/>
          <w:sz w:val="32"/>
          <w:szCs w:val="32"/>
          <w:highlight w:val="none"/>
          <w:lang w:eastAsia="zh-CN"/>
        </w:rPr>
        <w:t>预算</w:t>
      </w:r>
      <w:r>
        <w:rPr>
          <w:rFonts w:hint="eastAsia" w:ascii="仿宋" w:hAnsi="仿宋" w:eastAsia="仿宋" w:cs="仿宋"/>
          <w:color w:val="auto"/>
          <w:sz w:val="32"/>
          <w:szCs w:val="32"/>
          <w:highlight w:val="none"/>
          <w:lang w:val="en-US" w:eastAsia="zh-CN"/>
        </w:rPr>
        <w:t>1000</w:t>
      </w:r>
      <w:r>
        <w:rPr>
          <w:rFonts w:hint="eastAsia" w:ascii="仿宋" w:hAnsi="仿宋" w:eastAsia="仿宋" w:cs="仿宋"/>
          <w:color w:val="auto"/>
          <w:sz w:val="32"/>
          <w:szCs w:val="32"/>
          <w:highlight w:val="none"/>
          <w:lang w:eastAsia="zh-CN"/>
        </w:rPr>
        <w:t>万元，实际支出</w:t>
      </w:r>
      <w:r>
        <w:rPr>
          <w:rFonts w:hint="eastAsia" w:ascii="仿宋" w:hAnsi="仿宋" w:eastAsia="仿宋" w:cs="仿宋"/>
          <w:color w:val="auto"/>
          <w:sz w:val="32"/>
          <w:szCs w:val="32"/>
          <w:highlight w:val="none"/>
          <w:lang w:val="en-US" w:eastAsia="zh-CN"/>
        </w:rPr>
        <w:t>1000</w:t>
      </w:r>
      <w:r>
        <w:rPr>
          <w:rFonts w:hint="eastAsia" w:ascii="仿宋" w:hAnsi="仿宋" w:eastAsia="仿宋" w:cs="仿宋"/>
          <w:color w:val="auto"/>
          <w:sz w:val="32"/>
          <w:szCs w:val="32"/>
          <w:highlight w:val="none"/>
          <w:lang w:eastAsia="zh-CN"/>
        </w:rPr>
        <w:t>万元，支出率</w:t>
      </w:r>
      <w:r>
        <w:rPr>
          <w:rFonts w:hint="eastAsia" w:ascii="仿宋" w:hAnsi="仿宋" w:eastAsia="仿宋" w:cs="仿宋"/>
          <w:color w:val="auto"/>
          <w:sz w:val="32"/>
          <w:szCs w:val="32"/>
          <w:highlight w:val="none"/>
          <w:lang w:val="en-US" w:eastAsia="zh-CN"/>
        </w:rPr>
        <w:t>100%。</w:t>
      </w:r>
      <w:r>
        <w:rPr>
          <w:rFonts w:hint="eastAsia" w:ascii="仿宋" w:hAnsi="仿宋" w:eastAsia="仿宋" w:cs="仿宋"/>
          <w:color w:val="auto"/>
          <w:sz w:val="32"/>
          <w:szCs w:val="32"/>
          <w:highlight w:val="none"/>
          <w:lang w:eastAsia="zh-CN"/>
        </w:rPr>
        <w:t>应急种子</w:t>
      </w:r>
      <w:r>
        <w:rPr>
          <w:rFonts w:hint="eastAsia" w:ascii="仿宋" w:hAnsi="仿宋" w:eastAsia="仿宋" w:cs="仿宋"/>
          <w:color w:val="auto"/>
          <w:sz w:val="32"/>
          <w:szCs w:val="32"/>
          <w:highlight w:val="none"/>
        </w:rPr>
        <w:t>储备及调拨</w:t>
      </w:r>
      <w:r>
        <w:rPr>
          <w:rFonts w:hint="eastAsia" w:ascii="仿宋" w:hAnsi="仿宋" w:eastAsia="仿宋" w:cs="仿宋"/>
          <w:color w:val="auto"/>
          <w:sz w:val="32"/>
          <w:szCs w:val="32"/>
          <w:highlight w:val="none"/>
          <w:lang w:eastAsia="zh-CN"/>
        </w:rPr>
        <w:t>资金预算数641.47万元，实际支出641.47万元，支出率</w:t>
      </w:r>
      <w:r>
        <w:rPr>
          <w:rFonts w:hint="eastAsia" w:ascii="仿宋" w:hAnsi="仿宋" w:eastAsia="仿宋" w:cs="仿宋"/>
          <w:color w:val="auto"/>
          <w:sz w:val="32"/>
          <w:szCs w:val="32"/>
          <w:highlight w:val="none"/>
          <w:lang w:val="en-US" w:eastAsia="zh-CN"/>
        </w:rPr>
        <w:t>100%。二是3项政策任务的专项</w:t>
      </w:r>
      <w:r>
        <w:rPr>
          <w:rFonts w:hint="eastAsia" w:ascii="仿宋" w:hAnsi="仿宋" w:eastAsia="仿宋" w:cs="仿宋"/>
          <w:color w:val="auto"/>
          <w:sz w:val="32"/>
          <w:szCs w:val="32"/>
          <w:highlight w:val="none"/>
        </w:rPr>
        <w:t>资金支出的程序较规范</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未发现虚列支出、截留、挤占、挪用资金的情况。</w:t>
      </w:r>
    </w:p>
    <w:p>
      <w:pPr>
        <w:widowControl w:val="0"/>
        <w:numPr>
          <w:ilvl w:val="0"/>
          <w:numId w:val="0"/>
        </w:numPr>
        <w:ind w:firstLine="642" w:firstLineChars="200"/>
        <w:jc w:val="both"/>
        <w:rPr>
          <w:rFonts w:hint="eastAsia" w:ascii="仿宋_GB2312" w:hAnsi="仿宋_GB2312" w:eastAsia="仿宋_GB2312" w:cs="仿宋_GB2312"/>
          <w:color w:val="auto"/>
          <w:sz w:val="32"/>
          <w:highlight w:val="none"/>
          <w:lang w:eastAsia="zh-CN"/>
        </w:rPr>
      </w:pPr>
      <w:r>
        <w:rPr>
          <w:rFonts w:hint="eastAsia" w:ascii="仿宋_GB2312" w:hAnsi="仿宋" w:eastAsia="仿宋_GB2312" w:cs="Times New Roman"/>
          <w:b/>
          <w:bCs/>
          <w:color w:val="auto"/>
          <w:kern w:val="0"/>
          <w:sz w:val="32"/>
          <w:szCs w:val="32"/>
          <w:highlight w:val="none"/>
          <w:lang w:val="en-US" w:eastAsia="zh-CN" w:bidi="ar-SA"/>
        </w:rPr>
        <w:t>（2）事项管理。</w:t>
      </w:r>
      <w:r>
        <w:rPr>
          <w:rFonts w:hint="eastAsia" w:ascii="仿宋_GB2312" w:hAnsi="仿宋" w:eastAsia="仿宋_GB2312" w:cs="Times New Roman"/>
          <w:color w:val="auto"/>
          <w:kern w:val="0"/>
          <w:sz w:val="32"/>
          <w:szCs w:val="32"/>
          <w:highlight w:val="none"/>
          <w:lang w:val="en-US" w:eastAsia="zh-CN" w:bidi="ar-SA"/>
        </w:rPr>
        <w:t>该指标分值8分，评价得分8分，得分率为</w:t>
      </w:r>
      <w:r>
        <w:rPr>
          <w:rFonts w:hint="eastAsia" w:ascii="仿宋_GB2312" w:hAnsi="仿宋" w:eastAsia="仿宋_GB2312" w:cs="Times New Roman"/>
          <w:color w:val="auto"/>
          <w:sz w:val="32"/>
          <w:highlight w:val="none"/>
          <w:lang w:val="en-US" w:eastAsia="zh-CN"/>
        </w:rPr>
        <w:t>100</w:t>
      </w:r>
      <w:r>
        <w:rPr>
          <w:rFonts w:hint="eastAsia" w:ascii="仿宋_GB2312" w:hAnsi="仿宋" w:eastAsia="仿宋_GB2312" w:cs="Times New Roman"/>
          <w:color w:val="auto"/>
          <w:sz w:val="32"/>
          <w:highlight w:val="none"/>
        </w:rPr>
        <w:t>%。</w:t>
      </w:r>
      <w:r>
        <w:rPr>
          <w:rFonts w:hint="eastAsia" w:ascii="仿宋_GB2312" w:hAnsi="仿宋" w:eastAsia="仿宋_GB2312"/>
          <w:color w:val="auto"/>
          <w:sz w:val="32"/>
          <w:szCs w:val="32"/>
          <w:highlight w:val="none"/>
          <w:lang w:eastAsia="zh-CN"/>
        </w:rPr>
        <w:t>我厅</w:t>
      </w:r>
      <w:r>
        <w:rPr>
          <w:rFonts w:ascii="仿宋_GB2312" w:hAnsi="仿宋_GB2312" w:eastAsia="仿宋_GB2312" w:cs="仿宋_GB2312"/>
          <w:color w:val="auto"/>
          <w:sz w:val="32"/>
          <w:highlight w:val="none"/>
        </w:rPr>
        <w:t>制定了比较明确</w:t>
      </w:r>
      <w:r>
        <w:rPr>
          <w:rFonts w:hint="eastAsia" w:ascii="仿宋_GB2312" w:hAnsi="仿宋_GB2312" w:eastAsia="仿宋_GB2312" w:cs="仿宋_GB2312"/>
          <w:color w:val="auto"/>
          <w:sz w:val="32"/>
          <w:highlight w:val="none"/>
        </w:rPr>
        <w:t>的</w:t>
      </w:r>
      <w:r>
        <w:rPr>
          <w:rFonts w:ascii="仿宋_GB2312" w:hAnsi="仿宋_GB2312" w:eastAsia="仿宋_GB2312" w:cs="仿宋_GB2312"/>
          <w:color w:val="auto"/>
          <w:sz w:val="32"/>
          <w:highlight w:val="none"/>
        </w:rPr>
        <w:t>专项资金项目实施程序，</w:t>
      </w:r>
      <w:r>
        <w:rPr>
          <w:rFonts w:hint="eastAsia" w:ascii="仿宋_GB2312" w:hAnsi="仿宋_GB2312" w:eastAsia="仿宋_GB2312" w:cs="仿宋_GB2312"/>
          <w:color w:val="auto"/>
          <w:sz w:val="32"/>
          <w:highlight w:val="none"/>
          <w:lang w:val="en-US" w:eastAsia="zh-CN"/>
        </w:rPr>
        <w:t>落实相关部门的工作责任。</w:t>
      </w:r>
      <w:r>
        <w:rPr>
          <w:rFonts w:hint="eastAsia" w:ascii="仿宋_GB2312" w:hAnsi="仿宋" w:eastAsia="仿宋_GB2312" w:cs="Times New Roman"/>
          <w:b w:val="0"/>
          <w:bCs w:val="0"/>
          <w:color w:val="auto"/>
          <w:sz w:val="32"/>
          <w:highlight w:val="none"/>
          <w:lang w:val="en-US" w:eastAsia="zh-CN"/>
        </w:rPr>
        <w:t>有关单位按专项资金管理办法使用资金，按规定程序实施项目，</w:t>
      </w:r>
      <w:r>
        <w:rPr>
          <w:rFonts w:hint="eastAsia" w:ascii="仿宋_GB2312" w:hAnsi="仿宋_GB2312" w:eastAsia="仿宋_GB2312" w:cs="仿宋_GB2312"/>
          <w:color w:val="auto"/>
          <w:sz w:val="32"/>
          <w:highlight w:val="none"/>
        </w:rPr>
        <w:t>专项资金项目实施过程规范</w:t>
      </w:r>
      <w:r>
        <w:rPr>
          <w:rFonts w:hint="eastAsia" w:ascii="仿宋_GB2312" w:hAnsi="仿宋_GB2312" w:eastAsia="仿宋_GB2312" w:cs="仿宋_GB2312"/>
          <w:color w:val="auto"/>
          <w:sz w:val="32"/>
          <w:highlight w:val="none"/>
          <w:lang w:eastAsia="zh-CN"/>
        </w:rPr>
        <w:t>。</w:t>
      </w:r>
      <w:r>
        <w:rPr>
          <w:rFonts w:hint="eastAsia" w:ascii="仿宋_GB2312" w:hAnsi="仿宋" w:eastAsia="仿宋_GB2312" w:cs="Times New Roman"/>
          <w:b w:val="0"/>
          <w:bCs w:val="0"/>
          <w:color w:val="auto"/>
          <w:kern w:val="2"/>
          <w:sz w:val="32"/>
          <w:szCs w:val="32"/>
          <w:highlight w:val="none"/>
          <w:lang w:val="en-US" w:eastAsia="zh-CN" w:bidi="ar-SA"/>
        </w:rPr>
        <w:t>我厅认真做好监管，督促市县</w:t>
      </w:r>
      <w:r>
        <w:rPr>
          <w:rFonts w:ascii="仿宋_GB2312" w:hAnsi="仿宋" w:eastAsia="仿宋_GB2312" w:cs="Times New Roman"/>
          <w:b w:val="0"/>
          <w:bCs w:val="0"/>
          <w:color w:val="auto"/>
          <w:kern w:val="2"/>
          <w:sz w:val="32"/>
          <w:szCs w:val="32"/>
          <w:highlight w:val="none"/>
          <w:lang w:val="en-US" w:eastAsia="zh-CN" w:bidi="ar-SA"/>
        </w:rPr>
        <w:t>落实管理责任</w:t>
      </w:r>
      <w:r>
        <w:rPr>
          <w:rFonts w:hint="eastAsia" w:ascii="仿宋_GB2312" w:hAnsi="仿宋" w:eastAsia="仿宋_GB2312" w:cs="Times New Roman"/>
          <w:b w:val="0"/>
          <w:bCs w:val="0"/>
          <w:color w:val="auto"/>
          <w:kern w:val="2"/>
          <w:sz w:val="32"/>
          <w:szCs w:val="32"/>
          <w:highlight w:val="none"/>
          <w:lang w:val="en-US" w:eastAsia="zh-CN" w:bidi="ar-SA"/>
        </w:rPr>
        <w:t>，</w:t>
      </w:r>
      <w:r>
        <w:rPr>
          <w:rFonts w:hint="eastAsia" w:ascii="仿宋_GB2312" w:hAnsi="仿宋_GB2312" w:eastAsia="仿宋_GB2312" w:cs="仿宋_GB2312"/>
          <w:color w:val="auto"/>
          <w:sz w:val="32"/>
          <w:highlight w:val="none"/>
          <w:lang w:eastAsia="zh-CN"/>
        </w:rPr>
        <w:t>资金的管理和使用情况的监督检查执行情况良好。</w:t>
      </w:r>
    </w:p>
    <w:p>
      <w:pPr>
        <w:pStyle w:val="2"/>
        <w:numPr>
          <w:ilvl w:val="0"/>
          <w:numId w:val="0"/>
        </w:numPr>
        <w:ind w:firstLine="642" w:firstLineChars="200"/>
        <w:rPr>
          <w:rFonts w:hint="eastAsia" w:ascii="仿宋_GB2312" w:hAnsi="仿宋_GB2312" w:eastAsia="仿宋_GB2312" w:cs="仿宋_GB2312"/>
          <w:color w:val="auto"/>
          <w:sz w:val="32"/>
          <w:highlight w:val="none"/>
        </w:rPr>
      </w:pPr>
      <w:r>
        <w:rPr>
          <w:rFonts w:hint="eastAsia" w:ascii="仿宋_GB2312" w:eastAsia="仿宋_GB2312"/>
          <w:b/>
          <w:bCs/>
          <w:color w:val="auto"/>
          <w:sz w:val="32"/>
          <w:szCs w:val="32"/>
          <w:highlight w:val="none"/>
          <w:lang w:val="en-US" w:eastAsia="zh-CN"/>
        </w:rPr>
        <w:t>3.</w:t>
      </w:r>
      <w:r>
        <w:rPr>
          <w:rFonts w:hint="eastAsia" w:ascii="仿宋_GB2312" w:eastAsia="仿宋_GB2312"/>
          <w:b/>
          <w:bCs/>
          <w:color w:val="auto"/>
          <w:sz w:val="32"/>
          <w:szCs w:val="32"/>
          <w:highlight w:val="none"/>
        </w:rPr>
        <w:t>产出</w:t>
      </w:r>
      <w:r>
        <w:rPr>
          <w:rFonts w:hint="eastAsia" w:ascii="仿宋_GB2312" w:eastAsia="仿宋_GB2312"/>
          <w:b/>
          <w:bCs/>
          <w:color w:val="auto"/>
          <w:sz w:val="32"/>
          <w:szCs w:val="32"/>
          <w:highlight w:val="none"/>
          <w:lang w:eastAsia="zh-CN"/>
        </w:rPr>
        <w:t>。</w:t>
      </w:r>
      <w:r>
        <w:rPr>
          <w:rFonts w:hint="eastAsia" w:ascii="仿宋_GB2312" w:hAnsi="黑体" w:eastAsia="仿宋_GB2312"/>
          <w:color w:val="auto"/>
          <w:sz w:val="32"/>
          <w:highlight w:val="none"/>
        </w:rPr>
        <w:t>该指标主要从经济性和效率性两个方面考察预算</w:t>
      </w:r>
      <w:r>
        <w:rPr>
          <w:rFonts w:hint="eastAsia" w:ascii="仿宋_GB2312" w:hAnsi="黑体" w:eastAsia="仿宋_GB2312"/>
          <w:color w:val="auto"/>
          <w:sz w:val="32"/>
          <w:highlight w:val="none"/>
          <w:lang w:val="en-US" w:eastAsia="zh-CN"/>
        </w:rPr>
        <w:t>控制、成本控制情况</w:t>
      </w:r>
      <w:r>
        <w:rPr>
          <w:rFonts w:hint="eastAsia" w:ascii="仿宋_GB2312" w:hAnsi="黑体" w:eastAsia="仿宋_GB2312"/>
          <w:color w:val="auto"/>
          <w:sz w:val="32"/>
          <w:highlight w:val="none"/>
        </w:rPr>
        <w:t>，</w:t>
      </w:r>
      <w:r>
        <w:rPr>
          <w:rFonts w:hint="eastAsia" w:ascii="仿宋_GB2312" w:hAnsi="黑体" w:eastAsia="仿宋_GB2312"/>
          <w:color w:val="auto"/>
          <w:sz w:val="32"/>
          <w:highlight w:val="none"/>
          <w:lang w:val="en-US" w:eastAsia="zh-CN"/>
        </w:rPr>
        <w:t>以及</w:t>
      </w:r>
      <w:r>
        <w:rPr>
          <w:rFonts w:hint="eastAsia" w:ascii="仿宋_GB2312" w:hAnsi="黑体" w:eastAsia="仿宋_GB2312"/>
          <w:color w:val="auto"/>
          <w:sz w:val="32"/>
          <w:highlight w:val="none"/>
        </w:rPr>
        <w:t>项目完成的进度、质量等产出情况。</w:t>
      </w:r>
      <w:r>
        <w:rPr>
          <w:rFonts w:hint="eastAsia" w:ascii="仿宋_GB2312" w:hAnsi="仿宋_GB2312" w:eastAsia="仿宋_GB2312" w:cs="仿宋_GB2312"/>
          <w:color w:val="auto"/>
          <w:sz w:val="32"/>
          <w:highlight w:val="none"/>
        </w:rPr>
        <w:t>指标分值30分，评价得分</w:t>
      </w:r>
      <w:r>
        <w:rPr>
          <w:rFonts w:hint="eastAsia" w:ascii="仿宋_GB2312" w:hAnsi="仿宋_GB2312" w:eastAsia="仿宋_GB2312" w:cs="仿宋_GB2312"/>
          <w:color w:val="auto"/>
          <w:sz w:val="32"/>
          <w:highlight w:val="none"/>
          <w:lang w:val="en-US" w:eastAsia="zh-CN"/>
        </w:rPr>
        <w:t>28.38</w:t>
      </w:r>
      <w:r>
        <w:rPr>
          <w:rFonts w:hint="eastAsia" w:ascii="仿宋_GB2312" w:hAnsi="仿宋_GB2312" w:eastAsia="仿宋_GB2312" w:cs="仿宋_GB2312"/>
          <w:color w:val="auto"/>
          <w:sz w:val="32"/>
          <w:highlight w:val="none"/>
        </w:rPr>
        <w:t>分，得分率为</w:t>
      </w:r>
      <w:r>
        <w:rPr>
          <w:rFonts w:hint="eastAsia" w:ascii="仿宋_GB2312" w:hAnsi="仿宋_GB2312" w:eastAsia="仿宋_GB2312" w:cs="仿宋_GB2312"/>
          <w:color w:val="auto"/>
          <w:sz w:val="32"/>
          <w:highlight w:val="none"/>
          <w:lang w:val="en-US" w:eastAsia="zh-CN"/>
        </w:rPr>
        <w:t>94.61</w:t>
      </w:r>
      <w:r>
        <w:rPr>
          <w:rFonts w:hint="eastAsia" w:ascii="仿宋_GB2312" w:hAnsi="仿宋_GB2312" w:eastAsia="仿宋_GB2312" w:cs="仿宋_GB2312"/>
          <w:color w:val="auto"/>
          <w:sz w:val="32"/>
          <w:highlight w:val="none"/>
        </w:rPr>
        <w:t>%。</w:t>
      </w:r>
    </w:p>
    <w:p>
      <w:pPr>
        <w:numPr>
          <w:ilvl w:val="0"/>
          <w:numId w:val="0"/>
        </w:numPr>
        <w:ind w:firstLine="642" w:firstLineChars="200"/>
        <w:rPr>
          <w:rFonts w:hint="eastAsia"/>
          <w:color w:val="auto"/>
          <w:highlight w:val="none"/>
        </w:rPr>
      </w:pPr>
      <w:r>
        <w:rPr>
          <w:rFonts w:hint="eastAsia" w:ascii="仿宋_GB2312" w:hAnsi="仿宋" w:eastAsia="仿宋_GB2312" w:cs="Times New Roman"/>
          <w:b/>
          <w:bCs/>
          <w:color w:val="auto"/>
          <w:kern w:val="0"/>
          <w:sz w:val="32"/>
          <w:szCs w:val="32"/>
          <w:highlight w:val="none"/>
          <w:lang w:val="en-US" w:eastAsia="zh-CN" w:bidi="ar-SA"/>
        </w:rPr>
        <w:t>（1）经济性。</w:t>
      </w:r>
      <w:r>
        <w:rPr>
          <w:rFonts w:hint="eastAsia" w:ascii="仿宋_GB2312" w:hAnsi="仿宋" w:eastAsia="仿宋_GB2312" w:cs="Times New Roman"/>
          <w:color w:val="auto"/>
          <w:kern w:val="0"/>
          <w:sz w:val="32"/>
          <w:szCs w:val="32"/>
          <w:highlight w:val="none"/>
          <w:lang w:val="en-US" w:eastAsia="zh-CN" w:bidi="ar-SA"/>
        </w:rPr>
        <w:t>该指标分值5分，评价得分5分，得分率为</w:t>
      </w:r>
      <w:r>
        <w:rPr>
          <w:rFonts w:hint="eastAsia" w:ascii="仿宋_GB2312" w:hAnsi="仿宋" w:eastAsia="仿宋_GB2312" w:cs="Times New Roman"/>
          <w:color w:val="auto"/>
          <w:sz w:val="32"/>
          <w:highlight w:val="none"/>
          <w:lang w:val="en-US" w:eastAsia="zh-CN"/>
        </w:rPr>
        <w:t>100</w:t>
      </w:r>
      <w:r>
        <w:rPr>
          <w:rFonts w:hint="eastAsia" w:ascii="仿宋_GB2312" w:hAnsi="仿宋" w:eastAsia="仿宋_GB2312" w:cs="Times New Roman"/>
          <w:color w:val="auto"/>
          <w:sz w:val="32"/>
          <w:highlight w:val="none"/>
        </w:rPr>
        <w:t>%。预算执行进度与事项完成进度基本匹配，实际支出未超过预算计划，预算得到有效控制。项目实施的成本在合理范围内。</w:t>
      </w:r>
    </w:p>
    <w:p>
      <w:pPr>
        <w:ind w:firstLine="642" w:firstLineChars="200"/>
        <w:rPr>
          <w:rFonts w:hint="eastAsia"/>
          <w:b/>
          <w:bCs/>
          <w:color w:val="auto"/>
          <w:highlight w:val="none"/>
        </w:rPr>
      </w:pPr>
      <w:r>
        <w:rPr>
          <w:rFonts w:hint="eastAsia" w:ascii="仿宋_GB2312" w:hAnsi="仿宋" w:eastAsia="仿宋_GB2312" w:cs="Times New Roman"/>
          <w:b/>
          <w:bCs/>
          <w:color w:val="auto"/>
          <w:kern w:val="0"/>
          <w:sz w:val="32"/>
          <w:szCs w:val="32"/>
          <w:highlight w:val="none"/>
          <w:lang w:val="en-US" w:eastAsia="zh-CN" w:bidi="ar-SA"/>
        </w:rPr>
        <w:t>（2）效率性。</w:t>
      </w:r>
      <w:r>
        <w:rPr>
          <w:rFonts w:hint="eastAsia" w:ascii="仿宋_GB2312" w:hAnsi="仿宋" w:eastAsia="仿宋_GB2312" w:cs="Times New Roman"/>
          <w:color w:val="auto"/>
          <w:kern w:val="0"/>
          <w:sz w:val="32"/>
          <w:szCs w:val="32"/>
          <w:highlight w:val="none"/>
          <w:lang w:val="en-US" w:eastAsia="zh-CN" w:bidi="ar-SA"/>
        </w:rPr>
        <w:t>该指标分值25分，评价得分23.38分，得分率为</w:t>
      </w:r>
      <w:r>
        <w:rPr>
          <w:rFonts w:hint="eastAsia" w:ascii="仿宋_GB2312" w:hAnsi="仿宋" w:eastAsia="仿宋_GB2312" w:cs="Times New Roman"/>
          <w:color w:val="auto"/>
          <w:sz w:val="32"/>
          <w:highlight w:val="none"/>
          <w:lang w:val="en-US" w:eastAsia="zh-CN"/>
        </w:rPr>
        <w:t>93.53</w:t>
      </w:r>
      <w:r>
        <w:rPr>
          <w:rFonts w:hint="eastAsia" w:ascii="仿宋_GB2312" w:hAnsi="仿宋" w:eastAsia="仿宋_GB2312" w:cs="Times New Roman"/>
          <w:color w:val="auto"/>
          <w:sz w:val="32"/>
          <w:highlight w:val="none"/>
        </w:rPr>
        <w:t>%。</w:t>
      </w:r>
      <w:r>
        <w:rPr>
          <w:rFonts w:hint="eastAsia" w:ascii="仿宋_GB2312" w:hAnsi="仿宋" w:eastAsia="仿宋_GB2312" w:cs="Times New Roman"/>
          <w:color w:val="auto"/>
          <w:sz w:val="32"/>
          <w:highlight w:val="none"/>
          <w:lang w:val="en-US" w:eastAsia="zh-CN"/>
        </w:rPr>
        <w:t>家禽及蔬菜瓜果收储执行及时，符合规定。由于疫情常态化防控，市场快速恢复稳定，蔬菜瓜果收储总量未达到计划要求，家禽及蔬菜瓜果应急收储奖补资金收储平均完成率为73.71%；</w:t>
      </w:r>
      <w:r>
        <w:rPr>
          <w:rFonts w:hint="eastAsia" w:ascii="仿宋_GB2312" w:hAnsi="仿宋" w:eastAsia="仿宋_GB2312"/>
          <w:color w:val="auto"/>
          <w:sz w:val="32"/>
          <w:highlight w:val="none"/>
          <w:lang w:val="en-US" w:eastAsia="zh-CN"/>
        </w:rPr>
        <w:t>红火蚁防控资金基本完成绩效目标，完成质量较高；</w:t>
      </w:r>
      <w:r>
        <w:rPr>
          <w:rFonts w:hint="eastAsia" w:ascii="仿宋_GB2312" w:hAnsi="仿宋" w:eastAsia="仿宋_GB2312" w:cs="Times New Roman"/>
          <w:color w:val="auto"/>
          <w:sz w:val="32"/>
          <w:highlight w:val="none"/>
          <w:lang w:val="en-US" w:eastAsia="zh-CN"/>
        </w:rPr>
        <w:t>应急种子储备及调拨资金按时完成绩效目标。</w:t>
      </w:r>
    </w:p>
    <w:p>
      <w:pPr>
        <w:ind w:firstLine="640" w:firstLineChars="200"/>
        <w:rPr>
          <w:rFonts w:hint="eastAsia" w:ascii="仿宋_GB2312" w:hAnsi="仿宋" w:eastAsia="仿宋_GB2312"/>
          <w:b w:val="0"/>
          <w:bCs w:val="0"/>
          <w:color w:val="auto"/>
          <w:sz w:val="32"/>
          <w:highlight w:val="none"/>
        </w:rPr>
      </w:pPr>
      <w:r>
        <w:rPr>
          <w:rFonts w:hint="eastAsia" w:ascii="仿宋_GB2312" w:eastAsia="仿宋_GB2312"/>
          <w:b w:val="0"/>
          <w:bCs w:val="0"/>
          <w:color w:val="auto"/>
          <w:sz w:val="32"/>
          <w:highlight w:val="none"/>
        </w:rPr>
        <w:t>4.</w:t>
      </w:r>
      <w:r>
        <w:rPr>
          <w:rFonts w:hint="eastAsia" w:ascii="仿宋_GB2312" w:eastAsia="仿宋_GB2312"/>
          <w:b/>
          <w:bCs/>
          <w:color w:val="auto"/>
          <w:sz w:val="32"/>
          <w:highlight w:val="none"/>
          <w:lang w:val="en-US" w:eastAsia="zh-CN"/>
        </w:rPr>
        <w:t xml:space="preserve"> </w:t>
      </w:r>
      <w:r>
        <w:rPr>
          <w:rFonts w:hint="eastAsia" w:ascii="仿宋_GB2312" w:hAnsi="仿宋" w:eastAsia="仿宋_GB2312"/>
          <w:b/>
          <w:bCs/>
          <w:color w:val="auto"/>
          <w:sz w:val="32"/>
          <w:highlight w:val="none"/>
        </w:rPr>
        <w:t>效益</w:t>
      </w:r>
      <w:r>
        <w:rPr>
          <w:rFonts w:hint="eastAsia" w:ascii="仿宋_GB2312" w:eastAsia="仿宋_GB2312"/>
          <w:b/>
          <w:bCs/>
          <w:color w:val="auto"/>
          <w:sz w:val="32"/>
          <w:highlight w:val="none"/>
        </w:rPr>
        <w:t>。</w:t>
      </w:r>
      <w:r>
        <w:rPr>
          <w:rFonts w:hint="eastAsia" w:ascii="仿宋_GB2312" w:hAnsi="仿宋" w:eastAsia="仿宋_GB2312"/>
          <w:b w:val="0"/>
          <w:bCs w:val="0"/>
          <w:color w:val="auto"/>
          <w:sz w:val="32"/>
          <w:highlight w:val="none"/>
        </w:rPr>
        <w:t>该指标主要从效果性和公平性两个方面考核</w:t>
      </w:r>
      <w:r>
        <w:rPr>
          <w:rFonts w:hint="eastAsia" w:ascii="仿宋_GB2312" w:hAnsi="仿宋" w:eastAsia="仿宋_GB2312"/>
          <w:b w:val="0"/>
          <w:bCs w:val="0"/>
          <w:color w:val="auto"/>
          <w:sz w:val="32"/>
          <w:highlight w:val="none"/>
          <w:lang w:val="en-US" w:eastAsia="zh-CN"/>
        </w:rPr>
        <w:t>给离岗基层老兽医发放生活困难补助</w:t>
      </w:r>
      <w:r>
        <w:rPr>
          <w:rFonts w:hint="eastAsia" w:ascii="仿宋_GB2312" w:hAnsi="仿宋" w:eastAsia="仿宋_GB2312"/>
          <w:b w:val="0"/>
          <w:bCs w:val="0"/>
          <w:color w:val="auto"/>
          <w:sz w:val="32"/>
          <w:highlight w:val="none"/>
        </w:rPr>
        <w:t>产生的社会效益</w:t>
      </w:r>
      <w:r>
        <w:rPr>
          <w:rFonts w:hint="eastAsia" w:ascii="仿宋_GB2312" w:hAnsi="仿宋" w:eastAsia="仿宋_GB2312"/>
          <w:b w:val="0"/>
          <w:bCs w:val="0"/>
          <w:color w:val="auto"/>
          <w:sz w:val="32"/>
          <w:highlight w:val="none"/>
          <w:lang w:eastAsia="zh-CN"/>
        </w:rPr>
        <w:t>，以及</w:t>
      </w:r>
      <w:r>
        <w:rPr>
          <w:rFonts w:hint="eastAsia" w:ascii="仿宋_GB2312" w:hAnsi="仿宋" w:eastAsia="仿宋_GB2312"/>
          <w:b w:val="0"/>
          <w:bCs w:val="0"/>
          <w:color w:val="auto"/>
          <w:sz w:val="32"/>
          <w:highlight w:val="none"/>
          <w:lang w:val="en-US" w:eastAsia="zh-CN"/>
        </w:rPr>
        <w:t>服务对象的</w:t>
      </w:r>
      <w:r>
        <w:rPr>
          <w:rFonts w:hint="eastAsia" w:ascii="仿宋_GB2312" w:hAnsi="仿宋" w:eastAsia="仿宋_GB2312"/>
          <w:b w:val="0"/>
          <w:bCs w:val="0"/>
          <w:color w:val="auto"/>
          <w:sz w:val="32"/>
          <w:highlight w:val="none"/>
        </w:rPr>
        <w:t>满意度。指标分值30分，评价得分</w:t>
      </w:r>
      <w:r>
        <w:rPr>
          <w:rFonts w:hint="eastAsia" w:ascii="仿宋_GB2312" w:hAnsi="仿宋" w:eastAsia="仿宋_GB2312"/>
          <w:b w:val="0"/>
          <w:bCs w:val="0"/>
          <w:color w:val="auto"/>
          <w:sz w:val="32"/>
          <w:highlight w:val="none"/>
          <w:lang w:val="en-US" w:eastAsia="zh-CN"/>
        </w:rPr>
        <w:t>29.25</w:t>
      </w:r>
      <w:r>
        <w:rPr>
          <w:rFonts w:hint="eastAsia" w:ascii="仿宋_GB2312" w:hAnsi="仿宋" w:eastAsia="仿宋_GB2312"/>
          <w:b w:val="0"/>
          <w:bCs w:val="0"/>
          <w:color w:val="auto"/>
          <w:sz w:val="32"/>
          <w:highlight w:val="none"/>
        </w:rPr>
        <w:t>分，得分率为</w:t>
      </w:r>
      <w:r>
        <w:rPr>
          <w:rFonts w:hint="eastAsia" w:ascii="仿宋_GB2312" w:hAnsi="仿宋" w:eastAsia="仿宋_GB2312"/>
          <w:b w:val="0"/>
          <w:bCs w:val="0"/>
          <w:color w:val="auto"/>
          <w:sz w:val="32"/>
          <w:highlight w:val="none"/>
          <w:lang w:val="en-US" w:eastAsia="zh-CN"/>
        </w:rPr>
        <w:t>97.51</w:t>
      </w:r>
      <w:r>
        <w:rPr>
          <w:rFonts w:hint="eastAsia" w:ascii="仿宋_GB2312" w:hAnsi="仿宋" w:eastAsia="仿宋_GB2312"/>
          <w:b w:val="0"/>
          <w:bCs w:val="0"/>
          <w:color w:val="auto"/>
          <w:sz w:val="32"/>
          <w:highlight w:val="none"/>
        </w:rPr>
        <w:t>%。</w:t>
      </w:r>
    </w:p>
    <w:p>
      <w:pPr>
        <w:ind w:firstLine="642" w:firstLineChars="200"/>
        <w:rPr>
          <w:color w:val="auto"/>
          <w:highlight w:val="none"/>
        </w:rPr>
      </w:pPr>
      <w:r>
        <w:rPr>
          <w:rFonts w:hint="eastAsia" w:ascii="仿宋_GB2312" w:hAnsi="仿宋" w:eastAsia="仿宋_GB2312" w:cs="Times New Roman"/>
          <w:b/>
          <w:bCs/>
          <w:color w:val="auto"/>
          <w:kern w:val="0"/>
          <w:sz w:val="32"/>
          <w:szCs w:val="32"/>
          <w:highlight w:val="none"/>
          <w:lang w:val="en-US" w:eastAsia="zh-CN" w:bidi="ar-SA"/>
        </w:rPr>
        <w:t>（1）效果性。</w:t>
      </w:r>
      <w:r>
        <w:rPr>
          <w:rFonts w:hint="eastAsia" w:ascii="仿宋_GB2312" w:hAnsi="仿宋" w:eastAsia="仿宋_GB2312" w:cs="Times New Roman"/>
          <w:color w:val="auto"/>
          <w:kern w:val="0"/>
          <w:sz w:val="32"/>
          <w:szCs w:val="32"/>
          <w:highlight w:val="none"/>
          <w:lang w:val="en-US" w:eastAsia="zh-CN" w:bidi="ar-SA"/>
        </w:rPr>
        <w:t>该指标分值25分，评价得分24.25分，得分率为</w:t>
      </w:r>
      <w:r>
        <w:rPr>
          <w:rFonts w:hint="eastAsia" w:ascii="仿宋_GB2312" w:hAnsi="仿宋" w:eastAsia="仿宋_GB2312" w:cs="Times New Roman"/>
          <w:color w:val="auto"/>
          <w:sz w:val="32"/>
          <w:highlight w:val="none"/>
          <w:lang w:val="en-US" w:eastAsia="zh-CN"/>
        </w:rPr>
        <w:t>97.01</w:t>
      </w:r>
      <w:r>
        <w:rPr>
          <w:rFonts w:hint="eastAsia" w:ascii="仿宋_GB2312" w:hAnsi="仿宋" w:eastAsia="仿宋_GB2312" w:cs="Times New Roman"/>
          <w:color w:val="auto"/>
          <w:sz w:val="32"/>
          <w:highlight w:val="none"/>
        </w:rPr>
        <w:t>%。</w:t>
      </w:r>
      <w:r>
        <w:rPr>
          <w:rFonts w:hint="eastAsia" w:ascii="仿宋_GB2312" w:hAnsi="仿宋" w:eastAsia="仿宋_GB2312" w:cs="Times New Roman"/>
          <w:color w:val="auto"/>
          <w:sz w:val="32"/>
          <w:highlight w:val="none"/>
          <w:lang w:val="en-US" w:eastAsia="zh-CN"/>
        </w:rPr>
        <w:t>救灾应急资金的使用产生了良好的社会、经济、生态、可持续发展效益。家禽及蔬菜瓜果应急收储奖补资金有力缓解了农产品积压、销售不畅的局面，保障了市场、行业的稳定，促进了农业种植、养殖的健康发展，有益于生态环境的稳定。</w:t>
      </w:r>
      <w:r>
        <w:rPr>
          <w:rFonts w:hint="eastAsia" w:ascii="仿宋_GB2312" w:hAnsi="仿宋" w:eastAsia="仿宋_GB2312"/>
          <w:color w:val="auto"/>
          <w:sz w:val="32"/>
          <w:highlight w:val="none"/>
          <w:lang w:val="en-US" w:eastAsia="zh-CN"/>
        </w:rPr>
        <w:t>红火蚁防控资金项目的实施有效遏制红火蚁疫情蔓延危害，避免了出现红火蚁恶性伤害人畜事件，避免了大面积弃耕现象的发生，减少了农业生产的经济损失。</w:t>
      </w:r>
      <w:r>
        <w:rPr>
          <w:rFonts w:hint="eastAsia" w:ascii="仿宋_GB2312" w:hAnsi="仿宋" w:eastAsia="仿宋_GB2312" w:cs="Times New Roman"/>
          <w:color w:val="auto"/>
          <w:sz w:val="32"/>
          <w:highlight w:val="none"/>
          <w:lang w:val="en-US" w:eastAsia="zh-CN"/>
        </w:rPr>
        <w:t>应急种子储备及调拨资金项目的实施有效保障了灾后恢复粮食生产的用种需要，促进了灾区农业的可持续发展。</w:t>
      </w:r>
    </w:p>
    <w:p>
      <w:pPr>
        <w:pStyle w:val="2"/>
        <w:ind w:left="0" w:leftChars="0" w:firstLine="642" w:firstLineChars="200"/>
        <w:rPr>
          <w:rFonts w:hint="eastAsia"/>
          <w:color w:val="auto"/>
          <w:highlight w:val="none"/>
        </w:rPr>
      </w:pPr>
      <w:r>
        <w:rPr>
          <w:rFonts w:hint="eastAsia" w:ascii="仿宋_GB2312" w:hAnsi="仿宋" w:eastAsia="仿宋_GB2312" w:cs="Times New Roman"/>
          <w:b/>
          <w:bCs/>
          <w:color w:val="auto"/>
          <w:kern w:val="0"/>
          <w:sz w:val="32"/>
          <w:szCs w:val="32"/>
          <w:highlight w:val="none"/>
          <w:lang w:val="en-US" w:eastAsia="zh-CN" w:bidi="ar-SA"/>
        </w:rPr>
        <w:t>（2）公平性。</w:t>
      </w:r>
      <w:r>
        <w:rPr>
          <w:rFonts w:hint="eastAsia" w:ascii="仿宋_GB2312" w:hAnsi="仿宋" w:eastAsia="仿宋_GB2312" w:cs="Times New Roman"/>
          <w:color w:val="auto"/>
          <w:kern w:val="0"/>
          <w:sz w:val="32"/>
          <w:szCs w:val="32"/>
          <w:highlight w:val="none"/>
          <w:lang w:val="en-US" w:eastAsia="zh-CN" w:bidi="ar-SA"/>
        </w:rPr>
        <w:t>该指标分值5分，评价得分5分，得分率为</w:t>
      </w:r>
      <w:r>
        <w:rPr>
          <w:rFonts w:hint="eastAsia" w:ascii="仿宋_GB2312" w:hAnsi="仿宋" w:eastAsia="仿宋_GB2312" w:cs="Times New Roman"/>
          <w:color w:val="auto"/>
          <w:sz w:val="32"/>
          <w:highlight w:val="none"/>
          <w:lang w:val="en-US" w:eastAsia="zh-CN"/>
        </w:rPr>
        <w:t>100</w:t>
      </w:r>
      <w:r>
        <w:rPr>
          <w:rFonts w:hint="eastAsia" w:ascii="仿宋_GB2312" w:hAnsi="仿宋" w:eastAsia="仿宋_GB2312" w:cs="Times New Roman"/>
          <w:color w:val="auto"/>
          <w:sz w:val="32"/>
          <w:highlight w:val="none"/>
        </w:rPr>
        <w:t>%。</w:t>
      </w:r>
      <w:r>
        <w:rPr>
          <w:rFonts w:hint="eastAsia" w:ascii="仿宋_GB2312" w:hAnsi="仿宋" w:eastAsia="仿宋_GB2312" w:cs="Times New Roman"/>
          <w:color w:val="auto"/>
          <w:sz w:val="32"/>
          <w:highlight w:val="none"/>
          <w:lang w:val="en-US" w:eastAsia="zh-CN"/>
        </w:rPr>
        <w:t>救灾应急专项资金的服务对象满意度均达到既定目标值，总体上满意度较高。</w:t>
      </w:r>
    </w:p>
    <w:bookmarkEnd w:id="37"/>
    <w:p>
      <w:pPr>
        <w:pStyle w:val="3"/>
        <w:pageBreakBefore w:val="0"/>
        <w:kinsoku/>
        <w:wordWrap/>
        <w:overflowPunct/>
        <w:topLinePunct w:val="0"/>
        <w:bidi w:val="0"/>
        <w:spacing w:before="0" w:after="0" w:line="360" w:lineRule="auto"/>
        <w:ind w:firstLine="642" w:firstLineChars="200"/>
        <w:outlineLvl w:val="1"/>
        <w:rPr>
          <w:rFonts w:hint="eastAsia" w:ascii="Calibri" w:hAnsi="宋体"/>
          <w:color w:val="auto"/>
          <w:highlight w:val="none"/>
        </w:rPr>
      </w:pPr>
      <w:bookmarkStart w:id="49" w:name="_Toc2084656160_WPSOffice_Level2"/>
      <w:bookmarkStart w:id="50" w:name="_Toc42021444"/>
      <w:r>
        <w:rPr>
          <w:rFonts w:hint="eastAsia" w:ascii="Calibri" w:hAnsi="宋体"/>
          <w:color w:val="auto"/>
          <w:highlight w:val="none"/>
        </w:rPr>
        <w:t>（</w:t>
      </w:r>
      <w:r>
        <w:rPr>
          <w:rFonts w:hint="eastAsia" w:ascii="Calibri" w:hAnsi="宋体"/>
          <w:color w:val="auto"/>
          <w:highlight w:val="none"/>
          <w:lang w:eastAsia="zh-CN"/>
        </w:rPr>
        <w:t>二</w:t>
      </w:r>
      <w:r>
        <w:rPr>
          <w:rFonts w:hint="eastAsia" w:ascii="Calibri" w:hAnsi="宋体"/>
          <w:color w:val="auto"/>
          <w:highlight w:val="none"/>
        </w:rPr>
        <w:t>）专项资金使用绩效</w:t>
      </w:r>
      <w:bookmarkEnd w:id="49"/>
      <w:bookmarkEnd w:id="50"/>
    </w:p>
    <w:p>
      <w:pPr>
        <w:keepNext w:val="0"/>
        <w:keepLines w:val="0"/>
        <w:pageBreakBefore w:val="0"/>
        <w:widowControl w:val="0"/>
        <w:kinsoku/>
        <w:wordWrap/>
        <w:overflowPunct/>
        <w:topLinePunct w:val="0"/>
        <w:autoSpaceDE/>
        <w:autoSpaceDN/>
        <w:bidi w:val="0"/>
        <w:adjustRightInd/>
        <w:snapToGrid/>
        <w:spacing w:beforeLines="0" w:afterLines="0" w:line="360" w:lineRule="auto"/>
        <w:ind w:firstLine="642" w:firstLineChars="200"/>
        <w:textAlignment w:val="auto"/>
        <w:outlineLvl w:val="2"/>
        <w:rPr>
          <w:rFonts w:hint="eastAsia" w:ascii="仿宋_GB2312" w:eastAsia="仿宋_GB2312"/>
          <w:b/>
          <w:bCs/>
          <w:color w:val="auto"/>
          <w:sz w:val="32"/>
          <w:szCs w:val="32"/>
          <w:highlight w:val="none"/>
          <w:lang w:val="en-US" w:eastAsia="zh-CN"/>
        </w:rPr>
      </w:pPr>
      <w:bookmarkStart w:id="51" w:name="_Toc28393"/>
      <w:r>
        <w:rPr>
          <w:rFonts w:hint="eastAsia" w:ascii="仿宋_GB2312" w:eastAsia="仿宋_GB2312"/>
          <w:b/>
          <w:bCs/>
          <w:color w:val="auto"/>
          <w:sz w:val="32"/>
          <w:szCs w:val="32"/>
          <w:highlight w:val="none"/>
          <w:lang w:val="en-US" w:eastAsia="zh-CN"/>
        </w:rPr>
        <w:t>1.专项资金支出情况。</w:t>
      </w:r>
      <w:bookmarkEnd w:id="51"/>
    </w:p>
    <w:p>
      <w:pPr>
        <w:ind w:firstLine="640" w:firstLineChars="200"/>
        <w:rPr>
          <w:rFonts w:hint="default" w:ascii="仿宋" w:hAnsi="仿宋" w:eastAsia="仿宋" w:cs="仿宋"/>
          <w:color w:val="auto"/>
          <w:sz w:val="32"/>
          <w:szCs w:val="32"/>
          <w:highlight w:val="none"/>
          <w:lang w:val="en-US" w:eastAsia="zh-CN"/>
        </w:rPr>
      </w:pPr>
      <w:r>
        <w:rPr>
          <w:rFonts w:hint="eastAsia" w:ascii="仿宋_GB2312" w:eastAsia="仿宋_GB2312"/>
          <w:color w:val="auto"/>
          <w:sz w:val="32"/>
          <w:highlight w:val="none"/>
          <w:lang w:val="en-US" w:eastAsia="zh-CN"/>
        </w:rPr>
        <w:t>2020年省级救灾应急专项资金预算计划安排9641.47万元，包括家禽及蔬菜瓜果应急收储奖补资金8000万元、红火蚁防控专项资金1000万元、应急种子储备及调拨专项资金641.47万元。按政策</w:t>
      </w:r>
      <w:r>
        <w:rPr>
          <w:rFonts w:hint="eastAsia" w:ascii="仿宋" w:hAnsi="仿宋" w:eastAsia="仿宋" w:cs="仿宋"/>
          <w:color w:val="auto"/>
          <w:sz w:val="32"/>
          <w:szCs w:val="32"/>
          <w:highlight w:val="none"/>
          <w:lang w:val="en-US" w:eastAsia="zh-CN"/>
        </w:rPr>
        <w:t>各地市从2020年11月份停止家禽水产品收储和蔬菜瓜果收购、贮藏应急补贴工作，由省财政收回各市尚未发放的省级补贴资金3561.62万元，</w:t>
      </w:r>
      <w:r>
        <w:rPr>
          <w:rFonts w:hint="eastAsia" w:ascii="仿宋_GB2312" w:eastAsia="仿宋_GB2312"/>
          <w:color w:val="auto"/>
          <w:sz w:val="32"/>
          <w:highlight w:val="none"/>
          <w:lang w:val="en-US" w:eastAsia="zh-CN"/>
        </w:rPr>
        <w:t>家禽及蔬菜瓜果应急收储奖补资金</w:t>
      </w:r>
      <w:r>
        <w:rPr>
          <w:rFonts w:hint="eastAsia" w:ascii="仿宋" w:hAnsi="仿宋" w:eastAsia="仿宋" w:cs="仿宋"/>
          <w:color w:val="auto"/>
          <w:sz w:val="32"/>
          <w:szCs w:val="32"/>
          <w:highlight w:val="none"/>
          <w:lang w:val="en-US" w:eastAsia="zh-CN"/>
        </w:rPr>
        <w:t>实际安排预算资金4438.38万元。因此，</w:t>
      </w:r>
      <w:r>
        <w:rPr>
          <w:rFonts w:hint="eastAsia" w:ascii="仿宋_GB2312" w:eastAsia="仿宋_GB2312"/>
          <w:color w:val="auto"/>
          <w:sz w:val="32"/>
          <w:highlight w:val="none"/>
          <w:lang w:val="en-US" w:eastAsia="zh-CN"/>
        </w:rPr>
        <w:t>2020年省级救灾应急专项资金实际安排额度为6079.85万元，实际支出6079.85万元，实际安排额度的预算资金支出率为100%。</w:t>
      </w:r>
    </w:p>
    <w:p>
      <w:pPr>
        <w:ind w:firstLine="642" w:firstLineChars="200"/>
        <w:rPr>
          <w:rFonts w:hint="eastAsia" w:ascii="仿宋_GB2312" w:hAnsi="Times New Roman" w:eastAsia="仿宋_GB2312" w:cs="Times New Roman"/>
          <w:b/>
          <w:bCs/>
          <w:color w:val="auto"/>
          <w:sz w:val="32"/>
          <w:highlight w:val="none"/>
          <w:lang w:val="en-US" w:eastAsia="zh-CN"/>
        </w:rPr>
      </w:pPr>
      <w:r>
        <w:rPr>
          <w:rFonts w:hint="eastAsia" w:ascii="仿宋_GB2312" w:hAnsi="Times New Roman" w:eastAsia="仿宋_GB2312" w:cs="Times New Roman"/>
          <w:b/>
          <w:bCs/>
          <w:color w:val="auto"/>
          <w:sz w:val="32"/>
          <w:highlight w:val="none"/>
          <w:lang w:val="en-US" w:eastAsia="zh-CN"/>
        </w:rPr>
        <w:t>（1）家禽及蔬菜瓜果应急收储奖补资金。</w:t>
      </w:r>
    </w:p>
    <w:p>
      <w:pPr>
        <w:pStyle w:val="2"/>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eastAsia="仿宋_GB2312" w:cs="Times New Roman"/>
          <w:color w:val="auto"/>
          <w:sz w:val="32"/>
          <w:szCs w:val="32"/>
          <w:highlight w:val="none"/>
          <w:lang w:val="en-US" w:eastAsia="zh-CN"/>
        </w:rPr>
      </w:pPr>
      <w:r>
        <w:rPr>
          <w:rFonts w:hint="eastAsia" w:ascii="仿宋_GB2312" w:hAnsi="Times New Roman" w:eastAsia="仿宋_GB2312" w:cs="Times New Roman"/>
          <w:color w:val="auto"/>
          <w:sz w:val="32"/>
          <w:highlight w:val="none"/>
          <w:lang w:val="en-US" w:eastAsia="zh-CN"/>
        </w:rPr>
        <w:t>家禽及蔬菜瓜果应急收储项目下达资金共8000万元，按照各市收贮任务完成情况统计，蔬菜瓜果应急收储奖补资金到位数2000万元，累计发放省级财政补贴资金共计1156.26万元，结余843.74万元。家畜专项资金到位数6000万元，资金支出合计3282.12万元。家禽及蔬菜瓜果应急收储奖补资金实际支出4438.38万元（即实际安排额度预算资金），结余资金共计3561.62</w:t>
      </w:r>
      <w:r>
        <w:rPr>
          <w:rFonts w:hint="eastAsia" w:ascii="仿宋_GB2312" w:eastAsia="仿宋_GB2312" w:cs="Times New Roman"/>
          <w:color w:val="auto"/>
          <w:sz w:val="32"/>
          <w:szCs w:val="32"/>
          <w:highlight w:val="none"/>
          <w:lang w:val="en-US" w:eastAsia="zh-CN"/>
        </w:rPr>
        <w:t>万元按政策退回省级财政。剔除按政策由省财政收回的专项资金3561.62万元后，实际安排额度的预算资金支出率为100%。</w:t>
      </w:r>
    </w:p>
    <w:p>
      <w:pPr>
        <w:pStyle w:val="2"/>
        <w:keepNext w:val="0"/>
        <w:keepLines w:val="0"/>
        <w:pageBreakBefore w:val="0"/>
        <w:widowControl w:val="0"/>
        <w:kinsoku/>
        <w:wordWrap/>
        <w:overflowPunct/>
        <w:topLinePunct w:val="0"/>
        <w:autoSpaceDE/>
        <w:autoSpaceDN/>
        <w:bidi w:val="0"/>
        <w:adjustRightInd/>
        <w:snapToGrid/>
        <w:ind w:left="0" w:leftChars="0" w:firstLine="642" w:firstLineChars="200"/>
        <w:textAlignment w:val="auto"/>
        <w:rPr>
          <w:rFonts w:hint="default" w:ascii="仿宋_GB2312" w:eastAsia="仿宋_GB2312" w:cs="Times New Roman"/>
          <w:b/>
          <w:bCs/>
          <w:color w:val="auto"/>
          <w:sz w:val="32"/>
          <w:szCs w:val="32"/>
          <w:highlight w:val="none"/>
          <w:lang w:val="en-US" w:eastAsia="zh-CN"/>
        </w:rPr>
      </w:pPr>
      <w:r>
        <w:rPr>
          <w:rFonts w:hint="eastAsia" w:ascii="仿宋_GB2312" w:eastAsia="仿宋_GB2312" w:cs="Times New Roman"/>
          <w:b/>
          <w:bCs/>
          <w:color w:val="auto"/>
          <w:sz w:val="32"/>
          <w:szCs w:val="32"/>
          <w:highlight w:val="none"/>
          <w:lang w:val="en-US" w:eastAsia="zh-CN"/>
        </w:rPr>
        <w:t>（2）红火蚁防控资金。</w:t>
      </w:r>
    </w:p>
    <w:p>
      <w:pPr>
        <w:pStyle w:val="2"/>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eastAsia="仿宋_GB2312" w:cs="Times New Roman"/>
          <w:color w:val="auto"/>
          <w:sz w:val="32"/>
          <w:szCs w:val="32"/>
          <w:highlight w:val="none"/>
          <w:lang w:val="en-US" w:eastAsia="zh-CN"/>
        </w:rPr>
      </w:pPr>
      <w:r>
        <w:rPr>
          <w:rFonts w:hint="eastAsia" w:ascii="仿宋_GB2312" w:eastAsia="仿宋_GB2312" w:cs="Times New Roman"/>
          <w:color w:val="auto"/>
          <w:sz w:val="32"/>
          <w:szCs w:val="32"/>
          <w:highlight w:val="none"/>
          <w:lang w:val="en-US" w:eastAsia="zh-CN"/>
        </w:rPr>
        <w:t>红火蚁防控资金预算数1000万元，实际支出合计1000万元，资金支出率为100%。</w:t>
      </w:r>
    </w:p>
    <w:p>
      <w:pPr>
        <w:pStyle w:val="2"/>
        <w:keepNext w:val="0"/>
        <w:keepLines w:val="0"/>
        <w:pageBreakBefore w:val="0"/>
        <w:widowControl w:val="0"/>
        <w:kinsoku/>
        <w:wordWrap/>
        <w:overflowPunct/>
        <w:topLinePunct w:val="0"/>
        <w:autoSpaceDE/>
        <w:autoSpaceDN/>
        <w:bidi w:val="0"/>
        <w:adjustRightInd/>
        <w:snapToGrid/>
        <w:ind w:left="0" w:leftChars="0" w:firstLine="642" w:firstLineChars="200"/>
        <w:textAlignment w:val="auto"/>
        <w:rPr>
          <w:rFonts w:hint="eastAsia" w:ascii="仿宋_GB2312" w:eastAsia="仿宋_GB2312" w:cs="Times New Roman"/>
          <w:b/>
          <w:bCs/>
          <w:color w:val="auto"/>
          <w:sz w:val="32"/>
          <w:szCs w:val="32"/>
          <w:highlight w:val="none"/>
          <w:lang w:val="en-US" w:eastAsia="zh-CN"/>
        </w:rPr>
      </w:pPr>
      <w:r>
        <w:rPr>
          <w:rFonts w:hint="eastAsia" w:ascii="仿宋_GB2312" w:eastAsia="仿宋_GB2312" w:cs="Times New Roman"/>
          <w:b/>
          <w:bCs/>
          <w:color w:val="auto"/>
          <w:sz w:val="32"/>
          <w:szCs w:val="32"/>
          <w:highlight w:val="none"/>
          <w:lang w:val="en-US" w:eastAsia="zh-CN"/>
        </w:rPr>
        <w:t>（3）应急种子储备及调拨资金。</w:t>
      </w:r>
    </w:p>
    <w:p>
      <w:pPr>
        <w:pStyle w:val="2"/>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eastAsia="仿宋_GB2312" w:cs="Times New Roman"/>
          <w:color w:val="auto"/>
          <w:sz w:val="32"/>
          <w:szCs w:val="32"/>
          <w:highlight w:val="none"/>
          <w:lang w:val="en-US" w:eastAsia="zh-CN"/>
        </w:rPr>
      </w:pPr>
      <w:r>
        <w:rPr>
          <w:rFonts w:hint="eastAsia" w:ascii="仿宋_GB2312" w:eastAsia="仿宋_GB2312" w:cs="Times New Roman"/>
          <w:color w:val="auto"/>
          <w:sz w:val="32"/>
          <w:szCs w:val="32"/>
          <w:highlight w:val="none"/>
          <w:lang w:val="en-US" w:eastAsia="zh-CN"/>
        </w:rPr>
        <w:t>应急种子储备及调拨资金专项资金预算数641.47万元，实际支出合计641.47万元，资金支出率为100%。</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642" w:firstLineChars="200"/>
        <w:textAlignment w:val="auto"/>
        <w:outlineLvl w:val="2"/>
        <w:rPr>
          <w:rFonts w:hint="eastAsia" w:ascii="仿宋_GB2312" w:eastAsia="仿宋_GB2312"/>
          <w:b/>
          <w:bCs/>
          <w:color w:val="auto"/>
          <w:sz w:val="32"/>
          <w:szCs w:val="32"/>
          <w:highlight w:val="none"/>
          <w:lang w:val="en-US" w:eastAsia="zh-CN"/>
        </w:rPr>
      </w:pPr>
      <w:bookmarkStart w:id="52" w:name="_Toc5629"/>
      <w:r>
        <w:rPr>
          <w:rFonts w:hint="eastAsia" w:ascii="仿宋_GB2312" w:eastAsia="仿宋_GB2312"/>
          <w:b/>
          <w:bCs/>
          <w:color w:val="auto"/>
          <w:sz w:val="32"/>
          <w:szCs w:val="32"/>
          <w:highlight w:val="none"/>
          <w:lang w:val="en-US" w:eastAsia="zh-CN"/>
        </w:rPr>
        <w:t>2.专项资金完成绩效目标情况。</w:t>
      </w:r>
      <w:bookmarkEnd w:id="52"/>
    </w:p>
    <w:p>
      <w:pPr>
        <w:pStyle w:val="30"/>
        <w:keepNext w:val="0"/>
        <w:keepLines w:val="0"/>
        <w:pageBreakBefore w:val="0"/>
        <w:widowControl w:val="0"/>
        <w:tabs>
          <w:tab w:val="left" w:pos="1843"/>
        </w:tabs>
        <w:kinsoku/>
        <w:wordWrap/>
        <w:overflowPunct/>
        <w:topLinePunct w:val="0"/>
        <w:autoSpaceDE/>
        <w:autoSpaceDN/>
        <w:bidi w:val="0"/>
        <w:adjustRightInd/>
        <w:snapToGrid/>
        <w:spacing w:line="360" w:lineRule="auto"/>
        <w:ind w:firstLine="645" w:firstLineChars="201"/>
        <w:textAlignment w:val="auto"/>
        <w:rPr>
          <w:rFonts w:hint="eastAsia" w:ascii="仿宋_GB2312" w:eastAsia="仿宋_GB2312"/>
          <w:b/>
          <w:bCs/>
          <w:color w:val="auto"/>
          <w:sz w:val="32"/>
          <w:highlight w:val="none"/>
          <w:lang w:val="en-US" w:eastAsia="zh-CN"/>
        </w:rPr>
      </w:pPr>
      <w:r>
        <w:rPr>
          <w:rFonts w:hint="eastAsia" w:ascii="仿宋_GB2312" w:hAnsi="Times New Roman" w:eastAsia="仿宋_GB2312" w:cs="Times New Roman"/>
          <w:b/>
          <w:bCs/>
          <w:color w:val="auto"/>
          <w:sz w:val="32"/>
          <w:highlight w:val="none"/>
          <w:lang w:val="en-US" w:eastAsia="zh-CN"/>
        </w:rPr>
        <w:t>（1）家禽及蔬菜瓜果应急收储奖补资金</w:t>
      </w:r>
      <w:r>
        <w:rPr>
          <w:rFonts w:hint="eastAsia" w:ascii="仿宋_GB2312" w:eastAsia="仿宋_GB2312" w:cs="Times New Roman"/>
          <w:b/>
          <w:bCs/>
          <w:color w:val="auto"/>
          <w:sz w:val="32"/>
          <w:highlight w:val="none"/>
          <w:lang w:val="en-US" w:eastAsia="zh-CN"/>
        </w:rPr>
        <w:t>。</w:t>
      </w:r>
    </w:p>
    <w:p>
      <w:pPr>
        <w:pStyle w:val="2"/>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截至2020年11月，</w:t>
      </w:r>
      <w:r>
        <w:rPr>
          <w:rFonts w:hint="eastAsia" w:ascii="仿宋_GB2312" w:eastAsia="仿宋_GB2312"/>
          <w:color w:val="auto"/>
          <w:sz w:val="32"/>
          <w:szCs w:val="32"/>
          <w:highlight w:val="none"/>
          <w:lang w:val="en-US" w:eastAsia="zh-CN"/>
        </w:rPr>
        <w:t>全省累计完成蔬菜瓜果收贮89315.51吨，已完成收贮计划的77%，</w:t>
      </w:r>
      <w:r>
        <w:rPr>
          <w:rFonts w:hint="default" w:ascii="仿宋_GB2312" w:eastAsia="仿宋_GB2312" w:cs="Times New Roman"/>
          <w:color w:val="auto"/>
          <w:sz w:val="32"/>
          <w:szCs w:val="32"/>
          <w:highlight w:val="none"/>
          <w:lang w:val="en-US" w:eastAsia="zh-CN"/>
        </w:rPr>
        <w:t>汕头、汕尾、东莞、佛山、阳江、湛江、肇庆、揭阳</w:t>
      </w:r>
      <w:r>
        <w:rPr>
          <w:rFonts w:hint="eastAsia" w:ascii="仿宋_GB2312" w:eastAsia="仿宋_GB2312" w:cs="Times New Roman"/>
          <w:color w:val="auto"/>
          <w:sz w:val="32"/>
          <w:szCs w:val="32"/>
          <w:highlight w:val="none"/>
          <w:lang w:val="en-US" w:eastAsia="zh-CN"/>
        </w:rPr>
        <w:t>市等</w:t>
      </w:r>
      <w:r>
        <w:rPr>
          <w:rFonts w:hint="default" w:ascii="仿宋_GB2312" w:eastAsia="仿宋_GB2312" w:cs="Times New Roman"/>
          <w:color w:val="auto"/>
          <w:sz w:val="32"/>
          <w:szCs w:val="32"/>
          <w:highlight w:val="none"/>
          <w:lang w:val="en-US" w:eastAsia="zh-CN"/>
        </w:rPr>
        <w:t>8</w:t>
      </w:r>
      <w:r>
        <w:rPr>
          <w:rFonts w:hint="eastAsia" w:ascii="仿宋_GB2312" w:eastAsia="仿宋_GB2312" w:cs="Times New Roman"/>
          <w:color w:val="auto"/>
          <w:sz w:val="32"/>
          <w:szCs w:val="32"/>
          <w:highlight w:val="none"/>
          <w:lang w:val="en-US" w:eastAsia="zh-CN"/>
        </w:rPr>
        <w:t>个</w:t>
      </w:r>
      <w:r>
        <w:rPr>
          <w:rFonts w:hint="default" w:ascii="仿宋_GB2312" w:eastAsia="仿宋_GB2312" w:cs="Times New Roman"/>
          <w:color w:val="auto"/>
          <w:sz w:val="32"/>
          <w:szCs w:val="32"/>
          <w:highlight w:val="none"/>
          <w:lang w:val="en-US" w:eastAsia="zh-CN"/>
        </w:rPr>
        <w:t>市已完成或超额完成最低收贮任务</w:t>
      </w:r>
      <w:r>
        <w:rPr>
          <w:rFonts w:hint="eastAsia" w:ascii="仿宋_GB2312" w:eastAsia="仿宋_GB2312" w:cs="Times New Roman"/>
          <w:color w:val="auto"/>
          <w:sz w:val="32"/>
          <w:szCs w:val="32"/>
          <w:highlight w:val="none"/>
          <w:lang w:val="en-US" w:eastAsia="zh-CN"/>
        </w:rPr>
        <w:t>，部分地市未达成既定的收储计划，主要原因是疫情防控措施得力。全省家</w:t>
      </w:r>
      <w:r>
        <w:rPr>
          <w:rFonts w:hint="eastAsia" w:ascii="仿宋_GB2312" w:hAnsi="仿宋_GB2312" w:eastAsia="仿宋_GB2312" w:cs="仿宋_GB2312"/>
          <w:color w:val="auto"/>
          <w:sz w:val="32"/>
          <w:szCs w:val="32"/>
          <w:highlight w:val="none"/>
          <w:lang w:val="en-US" w:eastAsia="zh-CN"/>
        </w:rPr>
        <w:t>禽收储数量合计2352.04万只，</w:t>
      </w:r>
      <w:r>
        <w:rPr>
          <w:rFonts w:hint="eastAsia" w:ascii="仿宋_GB2312" w:eastAsia="仿宋_GB2312"/>
          <w:color w:val="auto"/>
          <w:sz w:val="32"/>
          <w:szCs w:val="32"/>
          <w:highlight w:val="none"/>
          <w:lang w:val="en-US" w:eastAsia="zh-CN"/>
        </w:rPr>
        <w:t>完成收储计划的70.42%</w:t>
      </w:r>
      <w:r>
        <w:rPr>
          <w:rFonts w:hint="eastAsia" w:ascii="仿宋_GB2312" w:hAnsi="仿宋_GB2312" w:eastAsia="仿宋_GB2312" w:cs="仿宋_GB2312"/>
          <w:color w:val="auto"/>
          <w:sz w:val="32"/>
          <w:szCs w:val="32"/>
          <w:highlight w:val="none"/>
          <w:lang w:val="en-US" w:eastAsia="zh-CN"/>
        </w:rPr>
        <w:t>。疫情常态化防控，市场快速恢复稳定，虽然蔬菜瓜果收储总量未达到计划要求，但是有效解决新冠肺炎疫情防控期间我省家禽、水产品和蔬菜瓜果积压滞销问题，维护了农业和市场的稳定。因疫情的不可预测性，难以精准预判收储数量和时限，原下达的收储计划并非硬性目标任务，当疫情进入疫情常态化防控阶段，收储工作按政策停止。实际上</w:t>
      </w:r>
      <w:r>
        <w:rPr>
          <w:rFonts w:hint="eastAsia" w:ascii="仿宋_GB2312" w:hAnsi="Times New Roman" w:eastAsia="仿宋_GB2312" w:cs="Times New Roman"/>
          <w:b w:val="0"/>
          <w:bCs w:val="0"/>
          <w:color w:val="auto"/>
          <w:sz w:val="32"/>
          <w:highlight w:val="none"/>
          <w:lang w:val="en-US" w:eastAsia="zh-CN"/>
        </w:rPr>
        <w:t>家禽及蔬菜瓜果应急收储项目已实现政策意图，</w:t>
      </w:r>
      <w:r>
        <w:rPr>
          <w:rFonts w:hint="eastAsia" w:ascii="仿宋_GB2312" w:hAnsi="仿宋_GB2312" w:eastAsia="仿宋_GB2312" w:cs="仿宋_GB2312"/>
          <w:color w:val="auto"/>
          <w:sz w:val="32"/>
          <w:szCs w:val="32"/>
          <w:highlight w:val="none"/>
          <w:lang w:val="en-US" w:eastAsia="zh-CN"/>
        </w:rPr>
        <w:t>基本完成了绩效目标。</w:t>
      </w:r>
    </w:p>
    <w:p>
      <w:pPr>
        <w:pStyle w:val="30"/>
        <w:keepNext w:val="0"/>
        <w:keepLines w:val="0"/>
        <w:pageBreakBefore w:val="0"/>
        <w:widowControl w:val="0"/>
        <w:tabs>
          <w:tab w:val="left" w:pos="1843"/>
        </w:tabs>
        <w:kinsoku/>
        <w:wordWrap/>
        <w:overflowPunct/>
        <w:topLinePunct w:val="0"/>
        <w:autoSpaceDE/>
        <w:autoSpaceDN/>
        <w:bidi w:val="0"/>
        <w:adjustRightInd/>
        <w:snapToGrid/>
        <w:spacing w:line="360" w:lineRule="auto"/>
        <w:ind w:firstLine="645" w:firstLineChars="201"/>
        <w:textAlignment w:val="auto"/>
        <w:rPr>
          <w:rFonts w:hint="eastAsia" w:ascii="仿宋_GB2312" w:eastAsia="仿宋_GB2312"/>
          <w:b/>
          <w:bCs/>
          <w:color w:val="auto"/>
          <w:sz w:val="32"/>
          <w:highlight w:val="none"/>
          <w:lang w:val="en-US" w:eastAsia="zh-CN"/>
        </w:rPr>
      </w:pPr>
      <w:r>
        <w:rPr>
          <w:rFonts w:hint="eastAsia" w:ascii="仿宋_GB2312" w:hAnsi="Times New Roman" w:eastAsia="仿宋_GB2312" w:cs="Times New Roman"/>
          <w:b/>
          <w:bCs/>
          <w:color w:val="auto"/>
          <w:sz w:val="32"/>
          <w:highlight w:val="none"/>
          <w:lang w:val="en-US" w:eastAsia="zh-CN"/>
        </w:rPr>
        <w:t>（2）红火蚁防控资金</w:t>
      </w:r>
      <w:r>
        <w:rPr>
          <w:rFonts w:hint="eastAsia" w:ascii="仿宋_GB2312" w:eastAsia="仿宋_GB2312" w:cs="Times New Roman"/>
          <w:b/>
          <w:bCs/>
          <w:color w:val="auto"/>
          <w:sz w:val="32"/>
          <w:highlight w:val="none"/>
          <w:lang w:val="en-US" w:eastAsia="zh-CN"/>
        </w:rPr>
        <w:t>。</w:t>
      </w:r>
    </w:p>
    <w:p>
      <w:pPr>
        <w:ind w:firstLine="640" w:firstLineChars="200"/>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通过实施项目，支持各市采购红火蚁化学防治药剂，建立应急防控药剂储备机制，组织实施统一防控和应急处置，新发疫情应急处置率达90%，防治效果达85%以上，有效遏制红火蚁疫情蔓延危害，避免了出现红火蚁恶性伤害人畜事件和造成大面积弃耕；全省各地召开防控技术培训宣传活动165期次，召开技术指导培训约5882人次；年度资金执行率91.6%%，无资金重大违规违纪问题，项目区群众满意度达85%以上。专项资金基本实现了绩效目标。</w:t>
      </w:r>
    </w:p>
    <w:p>
      <w:pPr>
        <w:numPr>
          <w:ilvl w:val="0"/>
          <w:numId w:val="0"/>
        </w:numPr>
        <w:ind w:firstLine="642" w:firstLineChars="200"/>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（3）应急种子储备及调拨资金。</w:t>
      </w:r>
    </w:p>
    <w:p>
      <w:pPr>
        <w:pStyle w:val="2"/>
        <w:widowControl w:val="0"/>
        <w:numPr>
          <w:ilvl w:val="0"/>
          <w:numId w:val="0"/>
        </w:numPr>
        <w:spacing w:line="360" w:lineRule="auto"/>
        <w:ind w:firstLine="640" w:firstLineChars="200"/>
        <w:jc w:val="both"/>
        <w:rPr>
          <w:rFonts w:hint="eastAsia"/>
          <w:color w:val="auto"/>
          <w:highlight w:val="none"/>
          <w:lang w:val="en-US" w:eastAsia="zh-CN"/>
        </w:rPr>
      </w:pPr>
      <w:r>
        <w:rPr>
          <w:rFonts w:hint="eastAsia" w:ascii="仿宋_GB2312" w:hAnsi="仿宋_GB2312" w:eastAsia="仿宋_GB2312" w:cs="仿宋_GB2312"/>
          <w:color w:val="auto"/>
          <w:kern w:val="0"/>
          <w:sz w:val="32"/>
          <w:szCs w:val="32"/>
          <w:highlight w:val="none"/>
          <w:lang w:val="en-US" w:eastAsia="zh-CN" w:bidi="ar-SA"/>
        </w:rPr>
        <w:t>完成了2020年度省级应急种子储备150万公斤、调拨省级应急储备种子7752公斤支持灾区恢复农业生产的绩效目标，有力地支持了灾区快速恢复农业生产，保障农业生产安全。专项资金绩效目标全部完成。</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642" w:firstLineChars="200"/>
        <w:textAlignment w:val="auto"/>
        <w:outlineLvl w:val="2"/>
        <w:rPr>
          <w:rFonts w:hint="eastAsia" w:ascii="仿宋_GB2312" w:eastAsia="仿宋_GB2312"/>
          <w:color w:val="auto"/>
          <w:sz w:val="32"/>
          <w:szCs w:val="32"/>
          <w:highlight w:val="none"/>
          <w:lang w:val="en-US" w:eastAsia="zh-CN"/>
        </w:rPr>
      </w:pPr>
      <w:bookmarkStart w:id="53" w:name="_Toc27992"/>
      <w:r>
        <w:rPr>
          <w:rFonts w:hint="eastAsia" w:ascii="仿宋_GB2312" w:eastAsia="仿宋_GB2312"/>
          <w:b/>
          <w:bCs/>
          <w:color w:val="auto"/>
          <w:sz w:val="32"/>
          <w:szCs w:val="32"/>
          <w:highlight w:val="none"/>
          <w:lang w:val="en-US" w:eastAsia="zh-CN"/>
        </w:rPr>
        <w:t>3.专项资金分用途使用绩效。</w:t>
      </w:r>
      <w:bookmarkEnd w:id="53"/>
    </w:p>
    <w:p>
      <w:pPr>
        <w:pStyle w:val="30"/>
        <w:keepNext w:val="0"/>
        <w:keepLines w:val="0"/>
        <w:pageBreakBefore w:val="0"/>
        <w:widowControl w:val="0"/>
        <w:numPr>
          <w:ilvl w:val="0"/>
          <w:numId w:val="4"/>
        </w:numPr>
        <w:tabs>
          <w:tab w:val="left" w:pos="1843"/>
        </w:tabs>
        <w:kinsoku/>
        <w:wordWrap/>
        <w:overflowPunct/>
        <w:topLinePunct w:val="0"/>
        <w:autoSpaceDE/>
        <w:autoSpaceDN/>
        <w:bidi w:val="0"/>
        <w:adjustRightInd/>
        <w:snapToGrid/>
        <w:spacing w:line="360" w:lineRule="auto"/>
        <w:ind w:firstLine="645" w:firstLineChars="201"/>
        <w:textAlignment w:val="auto"/>
        <w:rPr>
          <w:rFonts w:hint="eastAsia" w:ascii="仿宋_GB2312" w:eastAsia="仿宋_GB2312" w:cs="Times New Roman"/>
          <w:b/>
          <w:bCs/>
          <w:color w:val="auto"/>
          <w:sz w:val="32"/>
          <w:highlight w:val="none"/>
          <w:lang w:val="en-US" w:eastAsia="zh-CN"/>
        </w:rPr>
      </w:pPr>
      <w:r>
        <w:rPr>
          <w:rFonts w:hint="eastAsia" w:ascii="仿宋_GB2312" w:hAnsi="Times New Roman" w:eastAsia="仿宋_GB2312" w:cs="Times New Roman"/>
          <w:b/>
          <w:bCs/>
          <w:color w:val="auto"/>
          <w:sz w:val="32"/>
          <w:highlight w:val="none"/>
          <w:lang w:val="en-US" w:eastAsia="zh-CN"/>
        </w:rPr>
        <w:t>家禽及蔬菜瓜果应急收储奖补资金</w:t>
      </w:r>
      <w:r>
        <w:rPr>
          <w:rFonts w:hint="eastAsia" w:ascii="仿宋_GB2312" w:eastAsia="仿宋_GB2312" w:cs="Times New Roman"/>
          <w:b/>
          <w:bCs/>
          <w:color w:val="auto"/>
          <w:sz w:val="32"/>
          <w:highlight w:val="none"/>
          <w:lang w:val="en-US" w:eastAsia="zh-CN"/>
        </w:rPr>
        <w:t>。</w:t>
      </w:r>
    </w:p>
    <w:p>
      <w:pPr>
        <w:ind w:firstLine="642" w:firstLineChars="200"/>
        <w:rPr>
          <w:rFonts w:hint="eastAsia" w:ascii="仿宋_GB2312" w:eastAsia="仿宋_GB2312" w:cs="Times New Roman"/>
          <w:b w:val="0"/>
          <w:bCs w:val="0"/>
          <w:color w:val="auto"/>
          <w:sz w:val="32"/>
          <w:highlight w:val="none"/>
          <w:lang w:val="en-US" w:eastAsia="zh-CN"/>
        </w:rPr>
      </w:pPr>
      <w:r>
        <w:rPr>
          <w:rFonts w:hint="eastAsia" w:ascii="仿宋_GB2312" w:eastAsia="仿宋_GB2312" w:cs="Times New Roman"/>
          <w:b/>
          <w:bCs/>
          <w:color w:val="auto"/>
          <w:sz w:val="32"/>
          <w:highlight w:val="none"/>
          <w:lang w:val="en-US" w:eastAsia="zh-CN"/>
        </w:rPr>
        <w:t>项目总体绩效目标基本达成，为我省“菜篮子”稳产保供。</w:t>
      </w:r>
      <w:r>
        <w:rPr>
          <w:rFonts w:hint="eastAsia" w:ascii="仿宋_GB2312" w:eastAsia="仿宋_GB2312"/>
          <w:color w:val="auto"/>
          <w:sz w:val="32"/>
          <w:szCs w:val="32"/>
          <w:highlight w:val="none"/>
          <w:lang w:val="en-US" w:eastAsia="zh-CN"/>
        </w:rPr>
        <w:t>全省累计完成蔬菜瓜果收贮89315.51吨，</w:t>
      </w:r>
      <w:r>
        <w:rPr>
          <w:rFonts w:hint="eastAsia" w:ascii="仿宋_GB2312" w:hAnsi="仿宋_GB2312" w:eastAsia="仿宋_GB2312" w:cs="仿宋_GB2312"/>
          <w:color w:val="auto"/>
          <w:sz w:val="32"/>
          <w:szCs w:val="32"/>
          <w:highlight w:val="none"/>
          <w:lang w:val="en-US" w:eastAsia="zh-CN"/>
        </w:rPr>
        <w:t>全省家禽收储数量合计2352.04万只，</w:t>
      </w:r>
      <w:r>
        <w:rPr>
          <w:rFonts w:hint="eastAsia" w:ascii="仿宋_GB2312" w:eastAsia="仿宋_GB2312" w:cs="Times New Roman"/>
          <w:b w:val="0"/>
          <w:bCs w:val="0"/>
          <w:color w:val="auto"/>
          <w:sz w:val="32"/>
          <w:highlight w:val="none"/>
          <w:lang w:val="en-US" w:eastAsia="zh-CN"/>
        </w:rPr>
        <w:t>有效缓解了新冠肺炎疫情防控期间全省各地的家禽蔬菜瓜果滞销问题，有效地保障了全省在农业生产的稳定发展。有力缓解了家禽蔬菜瓜果积压、销售不畅的局面，保障了市场的稳定，有利于农业稳定发展，实现下阶段稳产保供，坚决打赢新冠肺炎疫情防控阻击战。同时促进了农业种植、养殖的可持续发展发展，确保农业增效、农民增收。</w:t>
      </w:r>
    </w:p>
    <w:p>
      <w:pPr>
        <w:rPr>
          <w:rFonts w:hint="eastAsia" w:ascii="仿宋_GB2312" w:hAnsi="Times New Roman" w:eastAsia="仿宋_GB2312" w:cs="Times New Roman"/>
          <w:color w:val="auto"/>
          <w:sz w:val="32"/>
          <w:szCs w:val="32"/>
          <w:highlight w:val="none"/>
          <w:lang w:val="en-US" w:eastAsia="zh-CN"/>
        </w:rPr>
      </w:pPr>
      <w:r>
        <w:rPr>
          <w:rFonts w:hint="eastAsia" w:ascii="仿宋_GB2312" w:eastAsia="仿宋_GB2312" w:cs="Times New Roman"/>
          <w:b w:val="0"/>
          <w:bCs w:val="0"/>
          <w:color w:val="auto"/>
          <w:sz w:val="32"/>
          <w:highlight w:val="none"/>
          <w:lang w:val="en-US" w:eastAsia="zh-CN"/>
        </w:rPr>
        <w:t xml:space="preserve">    </w:t>
      </w:r>
      <w:r>
        <w:rPr>
          <w:rFonts w:hint="eastAsia" w:ascii="仿宋_GB2312" w:eastAsia="仿宋_GB2312" w:cs="Times New Roman"/>
          <w:b/>
          <w:bCs/>
          <w:color w:val="auto"/>
          <w:sz w:val="32"/>
          <w:highlight w:val="none"/>
          <w:lang w:val="en-US" w:eastAsia="zh-CN"/>
        </w:rPr>
        <w:t>社会经济效应显著，保护人民群众利益，推动</w:t>
      </w:r>
      <w:r>
        <w:rPr>
          <w:rFonts w:hint="eastAsia" w:ascii="仿宋_GB2312" w:hAnsi="Times New Roman" w:eastAsia="仿宋_GB2312" w:cs="Times New Roman"/>
          <w:b/>
          <w:bCs/>
          <w:color w:val="auto"/>
          <w:sz w:val="32"/>
          <w:szCs w:val="32"/>
          <w:highlight w:val="none"/>
          <w:lang w:val="en-US" w:eastAsia="zh-CN"/>
        </w:rPr>
        <w:t>冷链仓储业的发展。</w:t>
      </w:r>
      <w:r>
        <w:rPr>
          <w:rFonts w:hint="eastAsia" w:ascii="仿宋_GB2312" w:hAnsi="Times New Roman" w:eastAsia="仿宋_GB2312" w:cs="Times New Roman"/>
          <w:b w:val="0"/>
          <w:bCs w:val="0"/>
          <w:color w:val="auto"/>
          <w:sz w:val="32"/>
          <w:highlight w:val="none"/>
          <w:lang w:val="en-US" w:eastAsia="zh-CN"/>
        </w:rPr>
        <w:t>家禽及蔬菜瓜果应急收储</w:t>
      </w:r>
      <w:r>
        <w:rPr>
          <w:rFonts w:hint="eastAsia" w:ascii="仿宋_GB2312" w:hAnsi="Times New Roman" w:eastAsia="仿宋_GB2312" w:cs="Times New Roman"/>
          <w:color w:val="auto"/>
          <w:sz w:val="32"/>
          <w:szCs w:val="32"/>
          <w:highlight w:val="none"/>
          <w:lang w:val="en-US" w:eastAsia="zh-CN"/>
        </w:rPr>
        <w:t>政策</w:t>
      </w:r>
      <w:r>
        <w:rPr>
          <w:rFonts w:hint="eastAsia" w:ascii="仿宋_GB2312" w:eastAsia="仿宋_GB2312" w:cs="Times New Roman"/>
          <w:color w:val="auto"/>
          <w:sz w:val="32"/>
          <w:szCs w:val="32"/>
          <w:highlight w:val="none"/>
          <w:lang w:val="en-US" w:eastAsia="zh-CN"/>
        </w:rPr>
        <w:t>成效显著，一是</w:t>
      </w:r>
      <w:r>
        <w:rPr>
          <w:rFonts w:hint="eastAsia" w:ascii="仿宋_GB2312" w:hAnsi="Times New Roman" w:eastAsia="仿宋_GB2312" w:cs="Times New Roman"/>
          <w:b w:val="0"/>
          <w:bCs w:val="0"/>
          <w:color w:val="auto"/>
          <w:sz w:val="32"/>
          <w:highlight w:val="none"/>
          <w:lang w:val="en-US" w:eastAsia="zh-CN"/>
        </w:rPr>
        <w:t>家禽及蔬菜瓜果应急收储奖补资金大力</w:t>
      </w:r>
      <w:r>
        <w:rPr>
          <w:rFonts w:hint="eastAsia" w:ascii="仿宋_GB2312" w:hAnsi="Times New Roman" w:eastAsia="仿宋_GB2312" w:cs="Times New Roman"/>
          <w:color w:val="auto"/>
          <w:sz w:val="32"/>
          <w:szCs w:val="32"/>
          <w:highlight w:val="none"/>
          <w:lang w:val="en-US" w:eastAsia="zh-CN"/>
        </w:rPr>
        <w:t>缓解</w:t>
      </w:r>
      <w:r>
        <w:rPr>
          <w:rFonts w:hint="eastAsia" w:ascii="仿宋_GB2312" w:eastAsia="仿宋_GB2312" w:cs="Times New Roman"/>
          <w:color w:val="auto"/>
          <w:sz w:val="32"/>
          <w:szCs w:val="32"/>
          <w:highlight w:val="none"/>
          <w:lang w:val="en-US" w:eastAsia="zh-CN"/>
        </w:rPr>
        <w:t>了</w:t>
      </w:r>
      <w:r>
        <w:rPr>
          <w:rFonts w:hint="eastAsia" w:ascii="仿宋_GB2312" w:hAnsi="Times New Roman" w:eastAsia="仿宋_GB2312" w:cs="Times New Roman"/>
          <w:color w:val="auto"/>
          <w:sz w:val="32"/>
          <w:szCs w:val="32"/>
          <w:highlight w:val="none"/>
          <w:lang w:val="en-US" w:eastAsia="zh-CN"/>
        </w:rPr>
        <w:t>新冠肺炎疫情影响带来的家禽、蔬菜瓜果积压</w:t>
      </w:r>
      <w:r>
        <w:rPr>
          <w:rFonts w:hint="eastAsia" w:ascii="仿宋_GB2312" w:eastAsia="仿宋_GB2312" w:cs="Times New Roman"/>
          <w:color w:val="auto"/>
          <w:sz w:val="32"/>
          <w:szCs w:val="32"/>
          <w:highlight w:val="none"/>
          <w:lang w:val="en-US" w:eastAsia="zh-CN"/>
        </w:rPr>
        <w:t>，有效地</w:t>
      </w:r>
      <w:r>
        <w:rPr>
          <w:rFonts w:hint="eastAsia" w:ascii="仿宋_GB2312" w:hAnsi="Times New Roman" w:eastAsia="仿宋_GB2312" w:cs="Times New Roman"/>
          <w:color w:val="auto"/>
          <w:sz w:val="32"/>
          <w:szCs w:val="32"/>
          <w:highlight w:val="none"/>
          <w:lang w:val="en-US" w:eastAsia="zh-CN"/>
        </w:rPr>
        <w:t>保护了种植户和养殖户的利益，对粤西地区北运菜的销售和雷州半岛蔬菜瓜果过海起到了显著促进作用</w:t>
      </w:r>
      <w:r>
        <w:rPr>
          <w:rFonts w:hint="eastAsia" w:ascii="仿宋_GB2312" w:eastAsia="仿宋_GB2312" w:cs="Times New Roman"/>
          <w:color w:val="auto"/>
          <w:sz w:val="32"/>
          <w:szCs w:val="32"/>
          <w:highlight w:val="none"/>
          <w:lang w:val="en-US" w:eastAsia="zh-CN"/>
        </w:rPr>
        <w:t>。</w:t>
      </w:r>
      <w:r>
        <w:rPr>
          <w:rFonts w:hint="eastAsia" w:ascii="仿宋_GB2312" w:hAnsi="Times New Roman" w:eastAsia="仿宋_GB2312" w:cs="Times New Roman"/>
          <w:color w:val="auto"/>
          <w:sz w:val="32"/>
          <w:szCs w:val="32"/>
          <w:highlight w:val="none"/>
          <w:lang w:val="en-US" w:eastAsia="zh-CN"/>
        </w:rPr>
        <w:t>二是一定程度上稳定了家禽和蔬菜瓜果收购价</w:t>
      </w:r>
      <w:r>
        <w:rPr>
          <w:rFonts w:hint="eastAsia" w:ascii="仿宋_GB2312" w:eastAsia="仿宋_GB2312" w:cs="Times New Roman"/>
          <w:color w:val="auto"/>
          <w:sz w:val="32"/>
          <w:szCs w:val="32"/>
          <w:highlight w:val="none"/>
          <w:lang w:val="en-US" w:eastAsia="zh-CN"/>
        </w:rPr>
        <w:t>，</w:t>
      </w:r>
      <w:r>
        <w:rPr>
          <w:rFonts w:hint="eastAsia" w:ascii="仿宋_GB2312" w:hAnsi="Times New Roman" w:eastAsia="仿宋_GB2312" w:cs="Times New Roman"/>
          <w:color w:val="auto"/>
          <w:sz w:val="32"/>
          <w:szCs w:val="32"/>
          <w:highlight w:val="none"/>
          <w:lang w:val="en-US" w:eastAsia="zh-CN"/>
        </w:rPr>
        <w:t>避免价格出现断崖式下降，保持市场稳定秩序。</w:t>
      </w:r>
      <w:r>
        <w:rPr>
          <w:rFonts w:hint="eastAsia" w:ascii="仿宋_GB2312" w:hAnsi="Times New Roman" w:eastAsia="仿宋_GB2312" w:cs="Times New Roman"/>
          <w:b w:val="0"/>
          <w:bCs w:val="0"/>
          <w:color w:val="auto"/>
          <w:sz w:val="32"/>
          <w:szCs w:val="32"/>
          <w:highlight w:val="none"/>
          <w:lang w:val="en-US" w:eastAsia="zh-CN"/>
        </w:rPr>
        <w:t>三是项目提</w:t>
      </w:r>
      <w:r>
        <w:rPr>
          <w:rFonts w:hint="eastAsia" w:ascii="仿宋_GB2312" w:hAnsi="Times New Roman" w:eastAsia="仿宋_GB2312" w:cs="Times New Roman"/>
          <w:color w:val="auto"/>
          <w:sz w:val="32"/>
          <w:szCs w:val="32"/>
          <w:highlight w:val="none"/>
          <w:lang w:val="en-US" w:eastAsia="zh-CN"/>
        </w:rPr>
        <w:t>高了收储企业的积极性</w:t>
      </w:r>
      <w:r>
        <w:rPr>
          <w:rFonts w:hint="eastAsia" w:ascii="仿宋_GB2312" w:eastAsia="仿宋_GB2312" w:cs="Times New Roman"/>
          <w:color w:val="auto"/>
          <w:sz w:val="32"/>
          <w:szCs w:val="32"/>
          <w:highlight w:val="none"/>
          <w:lang w:val="en-US" w:eastAsia="zh-CN"/>
        </w:rPr>
        <w:t>，</w:t>
      </w:r>
      <w:r>
        <w:rPr>
          <w:rFonts w:hint="eastAsia" w:ascii="仿宋_GB2312" w:hAnsi="Times New Roman" w:eastAsia="仿宋_GB2312" w:cs="Times New Roman"/>
          <w:color w:val="auto"/>
          <w:sz w:val="32"/>
          <w:szCs w:val="32"/>
          <w:highlight w:val="none"/>
          <w:lang w:val="en-US" w:eastAsia="zh-CN"/>
        </w:rPr>
        <w:t>部分企业不断扩大冷链仓储量</w:t>
      </w:r>
      <w:r>
        <w:rPr>
          <w:rFonts w:hint="eastAsia" w:ascii="仿宋_GB2312" w:eastAsia="仿宋_GB2312" w:cs="Times New Roman"/>
          <w:color w:val="auto"/>
          <w:sz w:val="32"/>
          <w:szCs w:val="32"/>
          <w:highlight w:val="none"/>
          <w:lang w:val="en-US" w:eastAsia="zh-CN"/>
        </w:rPr>
        <w:t>，</w:t>
      </w:r>
      <w:r>
        <w:rPr>
          <w:rFonts w:hint="eastAsia" w:ascii="仿宋_GB2312" w:hAnsi="Times New Roman" w:eastAsia="仿宋_GB2312" w:cs="Times New Roman"/>
          <w:color w:val="auto"/>
          <w:sz w:val="32"/>
          <w:szCs w:val="32"/>
          <w:highlight w:val="none"/>
          <w:lang w:val="en-US" w:eastAsia="zh-CN"/>
        </w:rPr>
        <w:t>带动了冷链仓储业的发展</w:t>
      </w:r>
      <w:r>
        <w:rPr>
          <w:rFonts w:hint="eastAsia" w:ascii="仿宋_GB2312" w:eastAsia="仿宋_GB2312" w:cs="Times New Roman"/>
          <w:color w:val="auto"/>
          <w:sz w:val="32"/>
          <w:szCs w:val="32"/>
          <w:highlight w:val="none"/>
          <w:lang w:val="en-US" w:eastAsia="zh-CN"/>
        </w:rPr>
        <w:t>。</w:t>
      </w:r>
    </w:p>
    <w:p>
      <w:pPr>
        <w:pStyle w:val="30"/>
        <w:keepNext w:val="0"/>
        <w:keepLines w:val="0"/>
        <w:pageBreakBefore w:val="0"/>
        <w:widowControl w:val="0"/>
        <w:numPr>
          <w:ilvl w:val="0"/>
          <w:numId w:val="4"/>
        </w:numPr>
        <w:tabs>
          <w:tab w:val="left" w:pos="1843"/>
        </w:tabs>
        <w:kinsoku/>
        <w:wordWrap/>
        <w:overflowPunct/>
        <w:topLinePunct w:val="0"/>
        <w:autoSpaceDE/>
        <w:autoSpaceDN/>
        <w:bidi w:val="0"/>
        <w:adjustRightInd/>
        <w:snapToGrid/>
        <w:spacing w:line="360" w:lineRule="auto"/>
        <w:ind w:left="0" w:leftChars="0" w:firstLine="645" w:firstLineChars="201"/>
        <w:textAlignment w:val="auto"/>
        <w:rPr>
          <w:rFonts w:hint="eastAsia" w:ascii="仿宋_GB2312" w:eastAsia="仿宋_GB2312" w:cs="Times New Roman"/>
          <w:b/>
          <w:bCs/>
          <w:color w:val="auto"/>
          <w:sz w:val="32"/>
          <w:highlight w:val="none"/>
          <w:lang w:val="en-US" w:eastAsia="zh-CN"/>
        </w:rPr>
      </w:pPr>
      <w:r>
        <w:rPr>
          <w:rFonts w:hint="eastAsia" w:ascii="仿宋_GB2312" w:hAnsi="Times New Roman" w:eastAsia="仿宋_GB2312" w:cs="Times New Roman"/>
          <w:b/>
          <w:bCs/>
          <w:color w:val="auto"/>
          <w:sz w:val="32"/>
          <w:highlight w:val="none"/>
          <w:lang w:val="en-US" w:eastAsia="zh-CN"/>
        </w:rPr>
        <w:t>红火蚁防控资金</w:t>
      </w:r>
      <w:r>
        <w:rPr>
          <w:rFonts w:hint="eastAsia" w:ascii="仿宋_GB2312" w:eastAsia="仿宋_GB2312" w:cs="Times New Roman"/>
          <w:b/>
          <w:bCs/>
          <w:color w:val="auto"/>
          <w:sz w:val="32"/>
          <w:highlight w:val="none"/>
          <w:lang w:val="en-US" w:eastAsia="zh-CN"/>
        </w:rPr>
        <w:t>。</w:t>
      </w:r>
    </w:p>
    <w:p>
      <w:pPr>
        <w:pStyle w:val="30"/>
        <w:keepNext w:val="0"/>
        <w:keepLines w:val="0"/>
        <w:pageBreakBefore w:val="0"/>
        <w:widowControl w:val="0"/>
        <w:numPr>
          <w:ilvl w:val="0"/>
          <w:numId w:val="0"/>
        </w:numPr>
        <w:tabs>
          <w:tab w:val="left" w:pos="1843"/>
        </w:tabs>
        <w:kinsoku/>
        <w:wordWrap/>
        <w:overflowPunct/>
        <w:topLinePunct w:val="0"/>
        <w:autoSpaceDE/>
        <w:autoSpaceDN/>
        <w:bidi w:val="0"/>
        <w:adjustRightInd/>
        <w:snapToGrid/>
        <w:spacing w:line="360" w:lineRule="auto"/>
        <w:ind w:firstLine="642" w:firstLineChars="200"/>
        <w:jc w:val="both"/>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eastAsia="仿宋_GB2312" w:cs="Times New Roman"/>
          <w:b/>
          <w:bCs/>
          <w:color w:val="auto"/>
          <w:sz w:val="32"/>
          <w:highlight w:val="none"/>
          <w:lang w:val="en-US" w:eastAsia="zh-CN"/>
        </w:rPr>
        <w:t>绩效目标基本达成，红火蚁防控更加专业化，有效保障人民生命财产安全。</w:t>
      </w:r>
      <w:r>
        <w:rPr>
          <w:rFonts w:hint="eastAsia" w:ascii="仿宋_GB2312" w:hAnsi="仿宋_GB2312" w:eastAsia="仿宋_GB2312" w:cs="仿宋_GB2312"/>
          <w:color w:val="auto"/>
          <w:kern w:val="0"/>
          <w:sz w:val="32"/>
          <w:szCs w:val="32"/>
          <w:highlight w:val="none"/>
          <w:lang w:val="en-US" w:eastAsia="zh-CN" w:bidi="ar-SA"/>
        </w:rPr>
        <w:t>全省各地召开防控技术培训宣传活动165期次，召开技术指导培训约5882人次，提高了防控行动的专业化水平，增强防控意识，提升防控效率。</w:t>
      </w:r>
      <w:r>
        <w:rPr>
          <w:rFonts w:hint="eastAsia" w:ascii="仿宋_GB2312" w:eastAsia="仿宋_GB2312" w:cs="Times New Roman"/>
          <w:b w:val="0"/>
          <w:bCs w:val="0"/>
          <w:color w:val="auto"/>
          <w:sz w:val="32"/>
          <w:highlight w:val="none"/>
          <w:lang w:val="en-US" w:eastAsia="zh-CN"/>
        </w:rPr>
        <w:t>根据资金安排，各</w:t>
      </w:r>
      <w:r>
        <w:rPr>
          <w:rFonts w:hint="eastAsia" w:ascii="仿宋_GB2312" w:hAnsi="仿宋_GB2312" w:eastAsia="仿宋_GB2312" w:cs="仿宋_GB2312"/>
          <w:color w:val="auto"/>
          <w:kern w:val="0"/>
          <w:sz w:val="32"/>
          <w:szCs w:val="32"/>
          <w:highlight w:val="none"/>
          <w:lang w:val="en-US" w:eastAsia="zh-CN" w:bidi="ar-SA"/>
        </w:rPr>
        <w:t>地级市采购红火蚁化学防治药剂，建立应急防控药剂储备机制，组织实施统一防控和应急处置，新发疫情应急处置率达90%，防治效果达85%以上。项目的实施有效遏制红火蚁疫情蔓延危害，避免了出现红火蚁恶性伤害人畜事件，保障了人民群众的生命财产安全。</w:t>
      </w:r>
    </w:p>
    <w:p>
      <w:pPr>
        <w:pStyle w:val="30"/>
        <w:keepNext w:val="0"/>
        <w:keepLines w:val="0"/>
        <w:pageBreakBefore w:val="0"/>
        <w:widowControl w:val="0"/>
        <w:numPr>
          <w:ilvl w:val="0"/>
          <w:numId w:val="0"/>
        </w:numPr>
        <w:tabs>
          <w:tab w:val="left" w:pos="1843"/>
        </w:tabs>
        <w:kinsoku/>
        <w:wordWrap/>
        <w:overflowPunct/>
        <w:topLinePunct w:val="0"/>
        <w:autoSpaceDE/>
        <w:autoSpaceDN/>
        <w:bidi w:val="0"/>
        <w:adjustRightInd/>
        <w:snapToGrid/>
        <w:spacing w:line="360" w:lineRule="auto"/>
        <w:ind w:firstLine="642" w:firstLineChars="200"/>
        <w:jc w:val="both"/>
        <w:textAlignment w:val="auto"/>
        <w:rPr>
          <w:rFonts w:hint="eastAsia" w:ascii="仿宋_GB2312" w:hAnsi="仿宋_GB2312" w:eastAsia="仿宋_GB2312" w:cs="仿宋_GB2312"/>
          <w:b w:val="0"/>
          <w:bCs w:val="0"/>
          <w:color w:val="auto"/>
          <w:kern w:val="0"/>
          <w:sz w:val="32"/>
          <w:szCs w:val="32"/>
          <w:highlight w:val="none"/>
          <w:lang w:val="en-US" w:eastAsia="zh-CN" w:bidi="ar-SA"/>
        </w:rPr>
      </w:pPr>
      <w:r>
        <w:rPr>
          <w:rFonts w:hint="eastAsia" w:ascii="仿宋_GB2312" w:hAnsi="仿宋_GB2312" w:eastAsia="仿宋_GB2312" w:cs="仿宋_GB2312"/>
          <w:b/>
          <w:bCs/>
          <w:color w:val="auto"/>
          <w:kern w:val="0"/>
          <w:sz w:val="32"/>
          <w:szCs w:val="32"/>
          <w:highlight w:val="none"/>
          <w:lang w:val="en-US" w:eastAsia="zh-CN" w:bidi="ar-SA"/>
        </w:rPr>
        <w:t>取得良好的农业生态效益，维护了农业生产安全，减少农民经济损失。</w:t>
      </w:r>
      <w:r>
        <w:rPr>
          <w:rFonts w:hint="eastAsia" w:ascii="仿宋_GB2312" w:hAnsi="仿宋_GB2312" w:eastAsia="仿宋_GB2312" w:cs="仿宋_GB2312"/>
          <w:b w:val="0"/>
          <w:bCs w:val="0"/>
          <w:color w:val="auto"/>
          <w:kern w:val="0"/>
          <w:sz w:val="32"/>
          <w:szCs w:val="32"/>
          <w:highlight w:val="none"/>
          <w:lang w:val="en-US" w:eastAsia="zh-CN" w:bidi="ar-SA"/>
        </w:rPr>
        <w:t>红火蚁的发生除了直接威胁人体健康安全外，对农事生产也是一大威胁。据悉，红火蚁可以直接危害50多种农林作物，通过取食植物种子、嫩芽、根系、果实等直接影响作物生长，造成作物减产、品质下降等。同时威胁农事操作，造成农田丢荒。</w:t>
      </w:r>
    </w:p>
    <w:p>
      <w:pPr>
        <w:pStyle w:val="30"/>
        <w:keepNext w:val="0"/>
        <w:keepLines w:val="0"/>
        <w:pageBreakBefore w:val="0"/>
        <w:widowControl w:val="0"/>
        <w:numPr>
          <w:ilvl w:val="0"/>
          <w:numId w:val="0"/>
        </w:numPr>
        <w:tabs>
          <w:tab w:val="left" w:pos="1843"/>
        </w:tabs>
        <w:kinsoku/>
        <w:wordWrap/>
        <w:overflowPunct/>
        <w:topLinePunct w:val="0"/>
        <w:autoSpaceDE/>
        <w:autoSpaceDN/>
        <w:bidi w:val="0"/>
        <w:adjustRightInd/>
        <w:snapToGrid/>
        <w:spacing w:line="360" w:lineRule="auto"/>
        <w:jc w:val="both"/>
        <w:textAlignment w:val="auto"/>
        <w:rPr>
          <w:rFonts w:hint="eastAsia" w:ascii="仿宋_GB2312" w:hAnsi="仿宋_GB2312" w:eastAsia="仿宋_GB2312" w:cs="仿宋_GB2312"/>
          <w:b w:val="0"/>
          <w:bCs w:val="0"/>
          <w:color w:val="auto"/>
          <w:kern w:val="0"/>
          <w:sz w:val="32"/>
          <w:szCs w:val="32"/>
          <w:highlight w:val="none"/>
          <w:lang w:val="en-US" w:eastAsia="zh-CN" w:bidi="ar-SA"/>
        </w:rPr>
      </w:pPr>
      <w:r>
        <w:rPr>
          <w:rFonts w:hint="eastAsia" w:ascii="仿宋_GB2312" w:hAnsi="仿宋_GB2312" w:eastAsia="仿宋_GB2312" w:cs="仿宋_GB2312"/>
          <w:b w:val="0"/>
          <w:bCs w:val="0"/>
          <w:color w:val="auto"/>
          <w:kern w:val="0"/>
          <w:sz w:val="32"/>
          <w:szCs w:val="32"/>
          <w:highlight w:val="none"/>
          <w:lang w:val="en-US" w:eastAsia="zh-CN" w:bidi="ar-SA"/>
        </w:rPr>
        <w:t>通过项目的实施，有效控制红火蚁危害和传播，避免了大面积弃耕现象的发生，保障了农作物产量和安全，大大减少了农业生产的经济损失。</w:t>
      </w:r>
    </w:p>
    <w:p>
      <w:pPr>
        <w:pStyle w:val="30"/>
        <w:keepNext w:val="0"/>
        <w:keepLines w:val="0"/>
        <w:pageBreakBefore w:val="0"/>
        <w:widowControl w:val="0"/>
        <w:numPr>
          <w:ilvl w:val="0"/>
          <w:numId w:val="0"/>
        </w:numPr>
        <w:tabs>
          <w:tab w:val="left" w:pos="1843"/>
        </w:tabs>
        <w:kinsoku/>
        <w:wordWrap/>
        <w:overflowPunct/>
        <w:topLinePunct w:val="0"/>
        <w:autoSpaceDE/>
        <w:autoSpaceDN/>
        <w:bidi w:val="0"/>
        <w:adjustRightInd/>
        <w:snapToGrid/>
        <w:spacing w:line="360" w:lineRule="auto"/>
        <w:ind w:firstLine="642" w:firstLineChars="200"/>
        <w:jc w:val="both"/>
        <w:textAlignment w:val="auto"/>
        <w:rPr>
          <w:rFonts w:hint="eastAsia" w:ascii="仿宋_GB2312" w:hAnsi="仿宋_GB2312" w:eastAsia="仿宋_GB2312" w:cs="仿宋_GB2312"/>
          <w:b w:val="0"/>
          <w:bCs w:val="0"/>
          <w:color w:val="auto"/>
          <w:kern w:val="0"/>
          <w:sz w:val="32"/>
          <w:szCs w:val="32"/>
          <w:highlight w:val="none"/>
          <w:lang w:val="en-US" w:eastAsia="zh-CN" w:bidi="ar-SA"/>
        </w:rPr>
      </w:pPr>
      <w:r>
        <w:rPr>
          <w:rFonts w:hint="eastAsia" w:ascii="仿宋_GB2312" w:hAnsi="仿宋_GB2312" w:eastAsia="仿宋_GB2312" w:cs="仿宋_GB2312"/>
          <w:b/>
          <w:bCs/>
          <w:color w:val="auto"/>
          <w:kern w:val="0"/>
          <w:sz w:val="32"/>
          <w:szCs w:val="32"/>
          <w:highlight w:val="none"/>
          <w:lang w:val="en-US" w:eastAsia="zh-CN" w:bidi="ar-SA"/>
        </w:rPr>
        <w:t>高位推动，建立了防控长效机制。</w:t>
      </w:r>
      <w:r>
        <w:rPr>
          <w:rFonts w:hint="eastAsia" w:ascii="仿宋_GB2312" w:hAnsi="仿宋_GB2312" w:eastAsia="仿宋_GB2312" w:cs="仿宋_GB2312"/>
          <w:b w:val="0"/>
          <w:bCs w:val="0"/>
          <w:color w:val="auto"/>
          <w:kern w:val="0"/>
          <w:sz w:val="32"/>
          <w:szCs w:val="32"/>
          <w:highlight w:val="none"/>
          <w:lang w:val="en-US" w:eastAsia="zh-CN" w:bidi="ar-SA"/>
        </w:rPr>
        <w:t>出台《广东省防控红火蚁若干措施》、《加强红火蚁阻截防控工作的通知》，红火蚁防控工作纳入省推进乡村振兴战略实绩考核和广东省十四五国民经济发展规划。上下联动，合力推进红火蚁防控，建立了防控长效机制。全省组织各有关成员单位及各地在全省范围内开展红火蚁统一防控行动。多措并举，着力提升红火蚁科学防控水平，建立“省、市、县、镇”四级科技指导服务体系</w:t>
      </w:r>
      <w:r>
        <w:rPr>
          <w:rFonts w:hint="default" w:ascii="仿宋_GB2312" w:hAnsi="仿宋_GB2312" w:eastAsia="仿宋_GB2312" w:cs="仿宋_GB2312"/>
          <w:b w:val="0"/>
          <w:bCs w:val="0"/>
          <w:color w:val="auto"/>
          <w:kern w:val="0"/>
          <w:sz w:val="32"/>
          <w:szCs w:val="32"/>
          <w:highlight w:val="none"/>
          <w:lang w:val="en-US" w:eastAsia="zh-CN" w:bidi="ar-SA"/>
        </w:rPr>
        <w:t>，</w:t>
      </w:r>
      <w:r>
        <w:rPr>
          <w:rFonts w:hint="eastAsia" w:ascii="仿宋_GB2312" w:hAnsi="仿宋_GB2312" w:eastAsia="仿宋_GB2312" w:cs="仿宋_GB2312"/>
          <w:b w:val="0"/>
          <w:bCs w:val="0"/>
          <w:color w:val="auto"/>
          <w:kern w:val="0"/>
          <w:sz w:val="32"/>
          <w:szCs w:val="32"/>
          <w:highlight w:val="none"/>
          <w:lang w:val="en-US" w:eastAsia="zh-CN" w:bidi="ar-SA"/>
        </w:rPr>
        <w:t>省</w:t>
      </w:r>
      <w:r>
        <w:rPr>
          <w:rFonts w:hint="default" w:ascii="仿宋_GB2312" w:hAnsi="仿宋_GB2312" w:eastAsia="仿宋_GB2312" w:cs="仿宋_GB2312"/>
          <w:b w:val="0"/>
          <w:bCs w:val="0"/>
          <w:color w:val="auto"/>
          <w:kern w:val="0"/>
          <w:sz w:val="32"/>
          <w:szCs w:val="32"/>
          <w:highlight w:val="none"/>
          <w:lang w:val="en-US" w:eastAsia="zh-CN" w:bidi="ar-SA"/>
        </w:rPr>
        <w:t>制定</w:t>
      </w:r>
      <w:r>
        <w:rPr>
          <w:rFonts w:hint="eastAsia" w:ascii="仿宋_GB2312" w:hAnsi="仿宋_GB2312" w:eastAsia="仿宋_GB2312" w:cs="仿宋_GB2312"/>
          <w:b w:val="0"/>
          <w:bCs w:val="0"/>
          <w:color w:val="auto"/>
          <w:kern w:val="0"/>
          <w:sz w:val="32"/>
          <w:szCs w:val="32"/>
          <w:highlight w:val="none"/>
          <w:lang w:val="en-US" w:eastAsia="zh-CN" w:bidi="ar-SA"/>
        </w:rPr>
        <w:t>防控手册、统一培训教材和科普挂图、折页，分区域划片区安排专家开展</w:t>
      </w:r>
      <w:r>
        <w:rPr>
          <w:rFonts w:hint="default" w:ascii="仿宋_GB2312" w:hAnsi="仿宋_GB2312" w:eastAsia="仿宋_GB2312" w:cs="仿宋_GB2312"/>
          <w:b w:val="0"/>
          <w:bCs w:val="0"/>
          <w:color w:val="auto"/>
          <w:kern w:val="0"/>
          <w:sz w:val="32"/>
          <w:szCs w:val="32"/>
          <w:highlight w:val="none"/>
          <w:lang w:val="en-US" w:eastAsia="zh-CN" w:bidi="ar-SA"/>
        </w:rPr>
        <w:t>技术指导</w:t>
      </w:r>
      <w:r>
        <w:rPr>
          <w:rFonts w:hint="eastAsia" w:ascii="仿宋_GB2312" w:hAnsi="仿宋_GB2312" w:eastAsia="仿宋_GB2312" w:cs="仿宋_GB2312"/>
          <w:b w:val="0"/>
          <w:bCs w:val="0"/>
          <w:color w:val="auto"/>
          <w:kern w:val="0"/>
          <w:sz w:val="32"/>
          <w:szCs w:val="32"/>
          <w:highlight w:val="none"/>
          <w:lang w:val="en-US" w:eastAsia="zh-CN" w:bidi="ar-SA"/>
        </w:rPr>
        <w:t>服务</w:t>
      </w:r>
      <w:r>
        <w:rPr>
          <w:rFonts w:hint="default" w:ascii="仿宋_GB2312" w:hAnsi="仿宋_GB2312" w:eastAsia="仿宋_GB2312" w:cs="仿宋_GB2312"/>
          <w:b w:val="0"/>
          <w:bCs w:val="0"/>
          <w:color w:val="auto"/>
          <w:kern w:val="0"/>
          <w:sz w:val="32"/>
          <w:szCs w:val="32"/>
          <w:highlight w:val="none"/>
          <w:lang w:val="en-US" w:eastAsia="zh-CN" w:bidi="ar-SA"/>
        </w:rPr>
        <w:t>。</w:t>
      </w:r>
      <w:r>
        <w:rPr>
          <w:rFonts w:hint="eastAsia" w:ascii="仿宋_GB2312" w:hAnsi="仿宋_GB2312" w:eastAsia="仿宋_GB2312" w:cs="仿宋_GB2312"/>
          <w:b w:val="0"/>
          <w:bCs w:val="0"/>
          <w:color w:val="auto"/>
          <w:kern w:val="0"/>
          <w:sz w:val="32"/>
          <w:szCs w:val="32"/>
          <w:highlight w:val="none"/>
          <w:lang w:val="en-US" w:eastAsia="zh-CN" w:bidi="ar-SA"/>
        </w:rPr>
        <w:t>在全省1156个乡镇布设红火蚁药剂零售店，做到乡镇销售红火蚁药剂全覆盖，基本解决群众“买药难”问题。</w:t>
      </w:r>
    </w:p>
    <w:p>
      <w:pPr>
        <w:keepNext w:val="0"/>
        <w:keepLines w:val="0"/>
        <w:pageBreakBefore w:val="0"/>
        <w:widowControl w:val="0"/>
        <w:kinsoku/>
        <w:wordWrap/>
        <w:overflowPunct/>
        <w:topLinePunct w:val="0"/>
        <w:autoSpaceDE/>
        <w:autoSpaceDN/>
        <w:bidi w:val="0"/>
        <w:adjustRightInd/>
        <w:snapToGrid/>
        <w:ind w:firstLine="642" w:firstLineChars="200"/>
        <w:rPr>
          <w:rFonts w:hint="eastAsia" w:ascii="仿宋_GB2312" w:hAnsi="Times New Roman" w:eastAsia="仿宋_GB2312" w:cs="Times New Roman"/>
          <w:b/>
          <w:bCs/>
          <w:color w:val="auto"/>
          <w:sz w:val="32"/>
          <w:szCs w:val="32"/>
          <w:highlight w:val="none"/>
          <w:lang w:val="en-US" w:eastAsia="zh-CN"/>
        </w:rPr>
      </w:pPr>
      <w:r>
        <w:rPr>
          <w:rFonts w:hint="eastAsia" w:ascii="仿宋_GB2312" w:hAnsi="Times New Roman" w:eastAsia="仿宋_GB2312" w:cs="Times New Roman"/>
          <w:b/>
          <w:bCs/>
          <w:color w:val="auto"/>
          <w:sz w:val="32"/>
          <w:szCs w:val="32"/>
          <w:highlight w:val="none"/>
          <w:lang w:val="en-US" w:eastAsia="zh-CN"/>
        </w:rPr>
        <w:t>（3）应急种子储备及调拨资金。</w:t>
      </w:r>
    </w:p>
    <w:p>
      <w:pPr>
        <w:keepNext w:val="0"/>
        <w:keepLines w:val="0"/>
        <w:pageBreakBefore w:val="0"/>
        <w:widowControl w:val="0"/>
        <w:kinsoku/>
        <w:wordWrap/>
        <w:overflowPunct/>
        <w:topLinePunct w:val="0"/>
        <w:autoSpaceDE/>
        <w:autoSpaceDN/>
        <w:bidi w:val="0"/>
        <w:adjustRightInd/>
        <w:snapToGrid/>
        <w:ind w:firstLine="642" w:firstLineChars="200"/>
        <w:rPr>
          <w:rFonts w:hint="eastAsia" w:ascii="仿宋_GB2312" w:hAnsi="Times New Roman" w:eastAsia="仿宋_GB2312" w:cs="Times New Roman"/>
          <w:color w:val="auto"/>
          <w:sz w:val="32"/>
          <w:szCs w:val="32"/>
          <w:highlight w:val="none"/>
          <w:lang w:val="en-US" w:eastAsia="zh-CN"/>
        </w:rPr>
      </w:pPr>
      <w:r>
        <w:rPr>
          <w:rFonts w:hint="eastAsia" w:ascii="仿宋_GB2312" w:eastAsia="仿宋_GB2312" w:cs="Times New Roman"/>
          <w:b/>
          <w:bCs/>
          <w:color w:val="auto"/>
          <w:sz w:val="32"/>
          <w:szCs w:val="32"/>
          <w:highlight w:val="none"/>
          <w:lang w:val="en-US" w:eastAsia="zh-CN"/>
        </w:rPr>
        <w:t>专项资金绩效目标全部完成，有效保障灾后恢复用种需要，促进农业生产恢复。</w:t>
      </w:r>
      <w:r>
        <w:rPr>
          <w:rFonts w:hint="eastAsia" w:ascii="仿宋_GB2312" w:hAnsi="Times New Roman" w:eastAsia="仿宋_GB2312" w:cs="Times New Roman"/>
          <w:color w:val="auto"/>
          <w:sz w:val="32"/>
          <w:szCs w:val="32"/>
          <w:highlight w:val="none"/>
          <w:lang w:val="en-US" w:eastAsia="zh-CN"/>
        </w:rPr>
        <w:t>广东省金稻种业有限公司、广东华农大种业有限公司等</w:t>
      </w:r>
      <w:r>
        <w:rPr>
          <w:rFonts w:hint="eastAsia" w:ascii="仿宋_GB2312" w:eastAsia="仿宋_GB2312" w:cs="Times New Roman"/>
          <w:color w:val="auto"/>
          <w:sz w:val="32"/>
          <w:szCs w:val="32"/>
          <w:highlight w:val="none"/>
          <w:lang w:val="en-US" w:eastAsia="zh-CN"/>
        </w:rPr>
        <w:t>8</w:t>
      </w:r>
      <w:r>
        <w:rPr>
          <w:rFonts w:hint="eastAsia" w:ascii="仿宋_GB2312" w:hAnsi="Times New Roman" w:eastAsia="仿宋_GB2312" w:cs="Times New Roman"/>
          <w:color w:val="auto"/>
          <w:sz w:val="32"/>
          <w:szCs w:val="32"/>
          <w:highlight w:val="none"/>
          <w:lang w:val="en-US" w:eastAsia="zh-CN"/>
        </w:rPr>
        <w:t>家承储单位已完成储备20</w:t>
      </w:r>
      <w:r>
        <w:rPr>
          <w:rFonts w:hint="eastAsia" w:ascii="仿宋_GB2312" w:eastAsia="仿宋_GB2312" w:cs="Times New Roman"/>
          <w:color w:val="auto"/>
          <w:sz w:val="32"/>
          <w:szCs w:val="32"/>
          <w:highlight w:val="none"/>
          <w:lang w:val="en-US" w:eastAsia="zh-CN"/>
        </w:rPr>
        <w:t>20</w:t>
      </w:r>
      <w:r>
        <w:rPr>
          <w:rFonts w:hint="eastAsia" w:ascii="仿宋_GB2312" w:hAnsi="Times New Roman" w:eastAsia="仿宋_GB2312" w:cs="Times New Roman"/>
          <w:color w:val="auto"/>
          <w:sz w:val="32"/>
          <w:szCs w:val="32"/>
          <w:highlight w:val="none"/>
          <w:lang w:val="en-US" w:eastAsia="zh-CN"/>
        </w:rPr>
        <w:t>年度省级应急种子</w:t>
      </w:r>
      <w:r>
        <w:rPr>
          <w:rFonts w:hint="eastAsia" w:ascii="仿宋_GB2312" w:eastAsia="仿宋_GB2312" w:cs="Times New Roman"/>
          <w:color w:val="auto"/>
          <w:sz w:val="32"/>
          <w:szCs w:val="32"/>
          <w:highlight w:val="none"/>
          <w:lang w:val="en-US" w:eastAsia="zh-CN"/>
        </w:rPr>
        <w:t>150</w:t>
      </w:r>
      <w:r>
        <w:rPr>
          <w:rFonts w:hint="eastAsia" w:ascii="仿宋_GB2312" w:hAnsi="Times New Roman" w:eastAsia="仿宋_GB2312" w:cs="Times New Roman"/>
          <w:color w:val="auto"/>
          <w:sz w:val="32"/>
          <w:szCs w:val="32"/>
          <w:highlight w:val="none"/>
          <w:lang w:val="en-US" w:eastAsia="zh-CN"/>
        </w:rPr>
        <w:t>万公斤</w:t>
      </w:r>
      <w:r>
        <w:rPr>
          <w:rFonts w:hint="eastAsia" w:ascii="仿宋_GB2312" w:eastAsia="仿宋_GB2312" w:cs="Times New Roman"/>
          <w:color w:val="auto"/>
          <w:sz w:val="32"/>
          <w:szCs w:val="32"/>
          <w:highlight w:val="none"/>
          <w:lang w:val="en-US" w:eastAsia="zh-CN"/>
        </w:rPr>
        <w:t>；根据灾区申请和省农业农村厅、省财政厅联合批复同意，从</w:t>
      </w:r>
      <w:r>
        <w:rPr>
          <w:rFonts w:hint="eastAsia" w:ascii="仿宋_GB2312" w:hAnsi="Times New Roman" w:eastAsia="仿宋_GB2312" w:cs="Times New Roman"/>
          <w:color w:val="auto"/>
          <w:sz w:val="32"/>
          <w:szCs w:val="32"/>
          <w:highlight w:val="none"/>
          <w:lang w:val="en-US" w:eastAsia="zh-CN"/>
        </w:rPr>
        <w:t>广东华农大种业有限公司</w:t>
      </w:r>
      <w:r>
        <w:rPr>
          <w:rFonts w:hint="eastAsia" w:ascii="仿宋_GB2312" w:eastAsia="仿宋_GB2312" w:cs="Times New Roman"/>
          <w:color w:val="auto"/>
          <w:sz w:val="32"/>
          <w:szCs w:val="32"/>
          <w:highlight w:val="none"/>
          <w:lang w:val="en-US" w:eastAsia="zh-CN"/>
        </w:rPr>
        <w:t>承储单位</w:t>
      </w:r>
      <w:r>
        <w:rPr>
          <w:rFonts w:hint="eastAsia" w:ascii="仿宋_GB2312" w:hAnsi="Times New Roman" w:eastAsia="仿宋_GB2312" w:cs="Times New Roman"/>
          <w:color w:val="auto"/>
          <w:sz w:val="32"/>
          <w:szCs w:val="32"/>
          <w:highlight w:val="none"/>
          <w:lang w:val="en-US" w:eastAsia="zh-CN"/>
        </w:rPr>
        <w:t>调用省级应急储备种子</w:t>
      </w:r>
      <w:r>
        <w:rPr>
          <w:rFonts w:hint="eastAsia" w:ascii="仿宋_GB2312" w:eastAsia="仿宋_GB2312" w:cs="Times New Roman"/>
          <w:color w:val="auto"/>
          <w:sz w:val="32"/>
          <w:szCs w:val="32"/>
          <w:highlight w:val="none"/>
          <w:lang w:val="en-US" w:eastAsia="zh-CN"/>
        </w:rPr>
        <w:t>7752</w:t>
      </w:r>
      <w:r>
        <w:rPr>
          <w:rFonts w:hint="eastAsia" w:ascii="仿宋_GB2312" w:hAnsi="Times New Roman" w:eastAsia="仿宋_GB2312" w:cs="Times New Roman"/>
          <w:color w:val="auto"/>
          <w:sz w:val="32"/>
          <w:szCs w:val="32"/>
          <w:highlight w:val="none"/>
          <w:lang w:val="en-US" w:eastAsia="zh-CN"/>
        </w:rPr>
        <w:t>公斤支持</w:t>
      </w:r>
      <w:r>
        <w:rPr>
          <w:rFonts w:hint="eastAsia" w:ascii="仿宋_GB2312" w:eastAsia="仿宋_GB2312" w:cs="Times New Roman"/>
          <w:color w:val="auto"/>
          <w:sz w:val="32"/>
          <w:szCs w:val="32"/>
          <w:highlight w:val="none"/>
          <w:lang w:val="en-US" w:eastAsia="zh-CN"/>
        </w:rPr>
        <w:t>云浮</w:t>
      </w:r>
      <w:r>
        <w:rPr>
          <w:rFonts w:hint="eastAsia" w:ascii="仿宋_GB2312" w:hAnsi="Times New Roman" w:eastAsia="仿宋_GB2312" w:cs="Times New Roman"/>
          <w:color w:val="auto"/>
          <w:sz w:val="32"/>
          <w:szCs w:val="32"/>
          <w:highlight w:val="none"/>
          <w:lang w:val="en-US" w:eastAsia="zh-CN"/>
        </w:rPr>
        <w:t>灾区恢复农业生产</w:t>
      </w:r>
      <w:r>
        <w:rPr>
          <w:rFonts w:hint="eastAsia" w:ascii="仿宋_GB2312" w:eastAsia="仿宋_GB2312" w:cs="Times New Roman"/>
          <w:color w:val="auto"/>
          <w:sz w:val="32"/>
          <w:szCs w:val="32"/>
          <w:highlight w:val="none"/>
          <w:lang w:val="en-US" w:eastAsia="zh-CN"/>
        </w:rPr>
        <w:t>。</w:t>
      </w:r>
      <w:r>
        <w:rPr>
          <w:rFonts w:hint="eastAsia" w:ascii="仿宋_GB2312" w:hAnsi="Times New Roman" w:eastAsia="仿宋_GB2312" w:cs="Times New Roman"/>
          <w:color w:val="auto"/>
          <w:sz w:val="32"/>
          <w:szCs w:val="32"/>
          <w:highlight w:val="none"/>
          <w:lang w:val="en-US" w:eastAsia="zh-CN"/>
        </w:rPr>
        <w:t>20</w:t>
      </w:r>
      <w:r>
        <w:rPr>
          <w:rFonts w:hint="eastAsia" w:ascii="仿宋_GB2312" w:eastAsia="仿宋_GB2312" w:cs="Times New Roman"/>
          <w:color w:val="auto"/>
          <w:sz w:val="32"/>
          <w:szCs w:val="32"/>
          <w:highlight w:val="none"/>
          <w:lang w:val="en-US" w:eastAsia="zh-CN"/>
        </w:rPr>
        <w:t>20</w:t>
      </w:r>
      <w:r>
        <w:rPr>
          <w:rFonts w:hint="eastAsia" w:ascii="仿宋_GB2312" w:hAnsi="Times New Roman" w:eastAsia="仿宋_GB2312" w:cs="Times New Roman"/>
          <w:color w:val="auto"/>
          <w:sz w:val="32"/>
          <w:szCs w:val="32"/>
          <w:highlight w:val="none"/>
          <w:lang w:val="en-US" w:eastAsia="zh-CN"/>
        </w:rPr>
        <w:t>年度省级应急种子储备项目的实施</w:t>
      </w:r>
      <w:r>
        <w:rPr>
          <w:rFonts w:hint="eastAsia" w:ascii="仿宋_GB2312" w:eastAsia="仿宋_GB2312" w:cs="Times New Roman"/>
          <w:color w:val="auto"/>
          <w:sz w:val="32"/>
          <w:szCs w:val="32"/>
          <w:highlight w:val="none"/>
          <w:lang w:val="en-US" w:eastAsia="zh-CN"/>
        </w:rPr>
        <w:t>，有效保障了</w:t>
      </w:r>
      <w:r>
        <w:rPr>
          <w:rFonts w:hint="eastAsia" w:ascii="仿宋_GB2312" w:hAnsi="Times New Roman" w:eastAsia="仿宋_GB2312" w:cs="Times New Roman"/>
          <w:color w:val="auto"/>
          <w:sz w:val="32"/>
          <w:szCs w:val="32"/>
          <w:highlight w:val="none"/>
          <w:lang w:val="en-US" w:eastAsia="zh-CN"/>
        </w:rPr>
        <w:t>灾后恢复粮食生产的用种需要，有力地支持了灾区快速恢复农业生产</w:t>
      </w:r>
      <w:r>
        <w:rPr>
          <w:rFonts w:hint="eastAsia" w:ascii="仿宋_GB2312" w:eastAsia="仿宋_GB2312" w:cs="Times New Roman"/>
          <w:color w:val="auto"/>
          <w:sz w:val="32"/>
          <w:szCs w:val="32"/>
          <w:highlight w:val="none"/>
          <w:lang w:val="en-US" w:eastAsia="zh-CN"/>
        </w:rPr>
        <w:t>。</w:t>
      </w:r>
    </w:p>
    <w:p>
      <w:pPr>
        <w:pStyle w:val="2"/>
        <w:keepNext w:val="0"/>
        <w:keepLines w:val="0"/>
        <w:pageBreakBefore w:val="0"/>
        <w:widowControl w:val="0"/>
        <w:kinsoku/>
        <w:wordWrap/>
        <w:overflowPunct/>
        <w:topLinePunct w:val="0"/>
        <w:autoSpaceDE/>
        <w:autoSpaceDN/>
        <w:bidi w:val="0"/>
        <w:adjustRightInd/>
        <w:snapToGrid/>
        <w:spacing w:after="157" w:afterLines="50"/>
        <w:ind w:left="0" w:leftChars="0" w:firstLine="642" w:firstLineChars="200"/>
        <w:textAlignment w:val="auto"/>
        <w:rPr>
          <w:rFonts w:hint="eastAsia" w:ascii="仿宋_GB2312" w:hAnsi="Times New Roman" w:eastAsia="仿宋_GB2312" w:cs="Times New Roman"/>
          <w:b w:val="0"/>
          <w:bCs w:val="0"/>
          <w:color w:val="auto"/>
          <w:kern w:val="2"/>
          <w:sz w:val="32"/>
          <w:szCs w:val="32"/>
          <w:highlight w:val="none"/>
          <w:lang w:val="en-US" w:eastAsia="zh-CN" w:bidi="ar-SA"/>
        </w:rPr>
      </w:pPr>
      <w:r>
        <w:rPr>
          <w:rFonts w:hint="eastAsia" w:ascii="仿宋_GB2312" w:hAnsi="Times New Roman" w:eastAsia="仿宋_GB2312" w:cs="Times New Roman"/>
          <w:b/>
          <w:bCs/>
          <w:color w:val="auto"/>
          <w:kern w:val="2"/>
          <w:sz w:val="32"/>
          <w:szCs w:val="32"/>
          <w:highlight w:val="none"/>
          <w:lang w:val="en-US" w:eastAsia="zh-CN" w:bidi="ar-SA"/>
        </w:rPr>
        <w:t>资金使用效益显著，促进社会稳定发展，人民满意度、获得感、信任感不断增强。</w:t>
      </w:r>
      <w:r>
        <w:rPr>
          <w:rFonts w:hint="eastAsia" w:ascii="仿宋_GB2312" w:hAnsi="Times New Roman" w:eastAsia="仿宋_GB2312" w:cs="Times New Roman"/>
          <w:b w:val="0"/>
          <w:bCs w:val="0"/>
          <w:color w:val="auto"/>
          <w:kern w:val="2"/>
          <w:sz w:val="32"/>
          <w:szCs w:val="32"/>
          <w:highlight w:val="none"/>
          <w:lang w:val="en-US" w:eastAsia="zh-CN" w:bidi="ar-SA"/>
        </w:rPr>
        <w:t>应急种子</w:t>
      </w:r>
      <w:r>
        <w:rPr>
          <w:rFonts w:hint="eastAsia" w:ascii="仿宋_GB2312" w:hAnsi="Times New Roman" w:eastAsia="仿宋_GB2312" w:cs="Times New Roman"/>
          <w:b w:val="0"/>
          <w:bCs w:val="0"/>
          <w:color w:val="auto"/>
          <w:sz w:val="32"/>
          <w:szCs w:val="32"/>
          <w:highlight w:val="none"/>
          <w:lang w:val="en-US" w:eastAsia="zh-CN"/>
        </w:rPr>
        <w:t>储备</w:t>
      </w:r>
      <w:r>
        <w:rPr>
          <w:rFonts w:hint="eastAsia" w:ascii="仿宋_GB2312" w:hAnsi="Times New Roman" w:eastAsia="仿宋_GB2312" w:cs="Times New Roman"/>
          <w:b w:val="0"/>
          <w:bCs w:val="0"/>
          <w:color w:val="auto"/>
          <w:kern w:val="2"/>
          <w:sz w:val="32"/>
          <w:szCs w:val="32"/>
          <w:highlight w:val="none"/>
          <w:lang w:val="en-US" w:eastAsia="zh-CN" w:bidi="ar-SA"/>
        </w:rPr>
        <w:t>及调拨资金降低了灾区农民损失，为维护社会稳定筑牢了防护堤坝。项目实施意义深远，取得了较好的生态、社会、经济效益，具有可持续发展性，对维持灾区经济发展水平、保障人民收入具有重要作用，进一步提升了群众的满意度、获得感和政府公信力。</w:t>
      </w:r>
      <w:bookmarkStart w:id="54" w:name="_Toc42021449"/>
    </w:p>
    <w:p>
      <w:pPr>
        <w:pStyle w:val="3"/>
        <w:pageBreakBefore w:val="0"/>
        <w:kinsoku/>
        <w:wordWrap/>
        <w:overflowPunct/>
        <w:topLinePunct w:val="0"/>
        <w:bidi w:val="0"/>
        <w:spacing w:before="0" w:after="0" w:line="360" w:lineRule="auto"/>
        <w:ind w:firstLine="642" w:firstLineChars="200"/>
        <w:outlineLvl w:val="1"/>
        <w:rPr>
          <w:rFonts w:hint="eastAsia" w:ascii="Calibri" w:hAnsi="宋体" w:cs="Times New Roman"/>
          <w:color w:val="auto"/>
          <w:highlight w:val="none"/>
          <w:lang w:val="en-US" w:eastAsia="zh-CN"/>
        </w:rPr>
      </w:pPr>
      <w:bookmarkStart w:id="55" w:name="_Toc849506390_WPSOffice_Level2"/>
      <w:r>
        <w:rPr>
          <w:rFonts w:hint="eastAsia" w:ascii="Calibri" w:hAnsi="宋体" w:cs="Times New Roman"/>
          <w:color w:val="auto"/>
          <w:highlight w:val="none"/>
          <w:lang w:val="en-US" w:eastAsia="zh-CN"/>
        </w:rPr>
        <w:t>（三）专项资金使用绩效存在的问题</w:t>
      </w:r>
      <w:bookmarkEnd w:id="54"/>
      <w:bookmarkEnd w:id="55"/>
      <w:bookmarkStart w:id="56" w:name="_Toc42021450"/>
    </w:p>
    <w:p>
      <w:pPr>
        <w:pStyle w:val="2"/>
        <w:numPr>
          <w:ilvl w:val="0"/>
          <w:numId w:val="0"/>
        </w:numPr>
        <w:ind w:left="0" w:leftChars="0" w:firstLine="642" w:firstLineChars="200"/>
        <w:rPr>
          <w:rFonts w:hint="default" w:ascii="仿宋_GB2312" w:hAnsi="Times New Roman" w:eastAsia="仿宋_GB2312" w:cs="Times New Roman"/>
          <w:color w:val="auto"/>
          <w:sz w:val="32"/>
          <w:szCs w:val="32"/>
          <w:highlight w:val="none"/>
          <w:lang w:val="en-US" w:eastAsia="zh-CN"/>
        </w:rPr>
      </w:pPr>
      <w:r>
        <w:rPr>
          <w:rFonts w:hint="eastAsia" w:ascii="仿宋_GB2312" w:hAnsi="仿宋" w:eastAsia="仿宋_GB2312"/>
          <w:b/>
          <w:bCs/>
          <w:color w:val="auto"/>
          <w:sz w:val="32"/>
          <w:highlight w:val="none"/>
          <w:lang w:val="en-US" w:eastAsia="zh-CN"/>
        </w:rPr>
        <w:t>一是</w:t>
      </w:r>
      <w:r>
        <w:rPr>
          <w:rFonts w:hint="eastAsia" w:ascii="仿宋_GB2312" w:hAnsi="仿宋" w:eastAsia="仿宋_GB2312" w:cs="Times New Roman"/>
          <w:b w:val="0"/>
          <w:bCs w:val="0"/>
          <w:color w:val="auto"/>
          <w:sz w:val="32"/>
          <w:highlight w:val="none"/>
          <w:lang w:val="en-US" w:eastAsia="zh-CN"/>
        </w:rPr>
        <w:t>3项政策任务专项</w:t>
      </w:r>
      <w:r>
        <w:rPr>
          <w:rFonts w:hint="eastAsia" w:ascii="仿宋_GB2312" w:hAnsi="仿宋" w:eastAsia="仿宋_GB2312"/>
          <w:b w:val="0"/>
          <w:bCs w:val="0"/>
          <w:color w:val="auto"/>
          <w:sz w:val="32"/>
          <w:highlight w:val="none"/>
          <w:lang w:val="en-US" w:eastAsia="zh-CN"/>
        </w:rPr>
        <w:t>资金项目绩效目标的完整性、合理性和可衡量性有待提高。</w:t>
      </w:r>
      <w:r>
        <w:rPr>
          <w:rFonts w:hint="eastAsia" w:ascii="仿宋_GB2312" w:hAnsi="仿宋" w:eastAsia="仿宋_GB2312" w:cs="Times New Roman"/>
          <w:b/>
          <w:bCs/>
          <w:color w:val="auto"/>
          <w:kern w:val="2"/>
          <w:sz w:val="32"/>
          <w:szCs w:val="44"/>
          <w:highlight w:val="none"/>
          <w:lang w:val="en-US" w:eastAsia="zh-CN" w:bidi="ar-SA"/>
        </w:rPr>
        <w:t>二是</w:t>
      </w:r>
      <w:r>
        <w:rPr>
          <w:rFonts w:hint="eastAsia" w:ascii="仿宋_GB2312" w:hAnsi="仿宋" w:eastAsia="仿宋_GB2312" w:cs="Times New Roman"/>
          <w:b w:val="0"/>
          <w:bCs w:val="0"/>
          <w:color w:val="auto"/>
          <w:kern w:val="2"/>
          <w:sz w:val="32"/>
          <w:szCs w:val="44"/>
          <w:highlight w:val="none"/>
          <w:lang w:val="en-US" w:eastAsia="zh-CN" w:bidi="ar-SA"/>
        </w:rPr>
        <w:t>家禽及蔬菜瓜果应急收储奖补资金支出效率有待提高。</w:t>
      </w:r>
      <w:r>
        <w:rPr>
          <w:rFonts w:hint="eastAsia" w:ascii="仿宋_GB2312" w:eastAsia="仿宋_GB2312" w:cs="Times New Roman"/>
          <w:color w:val="auto"/>
          <w:sz w:val="32"/>
          <w:szCs w:val="32"/>
          <w:highlight w:val="none"/>
          <w:lang w:val="en-US" w:eastAsia="zh-CN"/>
        </w:rPr>
        <w:t>由于对新冠肺炎疫情对市场的影响估计不足，且基层在疫情防控的同时既要充分保证财政资金支出规范性要求、又要在短期内甄别补贴对象和额度，导致部分地区资金支出工作滞后于补贴需求，部分补贴没有及时到位。</w:t>
      </w:r>
      <w:r>
        <w:rPr>
          <w:rFonts w:hint="eastAsia" w:ascii="仿宋_GB2312" w:hAnsi="仿宋" w:eastAsia="仿宋_GB2312" w:cs="Times New Roman"/>
          <w:b w:val="0"/>
          <w:bCs w:val="0"/>
          <w:color w:val="auto"/>
          <w:kern w:val="2"/>
          <w:sz w:val="32"/>
          <w:szCs w:val="44"/>
          <w:highlight w:val="none"/>
          <w:lang w:val="en-US" w:eastAsia="zh-CN" w:bidi="ar-SA"/>
        </w:rPr>
        <w:t>随着疫情快速有效得到控制，全省很快进入常态化防控阶段，部分地市没有完成收储计划，家禽及蔬菜瓜果应急收储奖补资金有较大额度的结余。</w:t>
      </w:r>
      <w:r>
        <w:rPr>
          <w:rFonts w:hint="eastAsia" w:ascii="仿宋_GB2312" w:hAnsi="仿宋" w:eastAsia="仿宋_GB2312"/>
          <w:b/>
          <w:bCs/>
          <w:color w:val="auto"/>
          <w:sz w:val="32"/>
          <w:highlight w:val="none"/>
          <w:lang w:val="en-US" w:eastAsia="zh-CN"/>
        </w:rPr>
        <w:t>三是</w:t>
      </w:r>
      <w:r>
        <w:rPr>
          <w:rFonts w:hint="eastAsia" w:ascii="仿宋_GB2312" w:hAnsi="仿宋" w:eastAsia="仿宋_GB2312"/>
          <w:b w:val="0"/>
          <w:bCs w:val="0"/>
          <w:color w:val="auto"/>
          <w:sz w:val="32"/>
          <w:highlight w:val="none"/>
          <w:lang w:val="en-US" w:eastAsia="zh-CN"/>
        </w:rPr>
        <w:t>种子应急储备及调拨资金使用存在操作难的问题。</w:t>
      </w:r>
      <w:r>
        <w:rPr>
          <w:rFonts w:hint="eastAsia" w:ascii="仿宋_GB2312" w:hAnsi="Times New Roman" w:eastAsia="仿宋_GB2312" w:cs="Times New Roman"/>
          <w:color w:val="auto"/>
          <w:sz w:val="32"/>
          <w:szCs w:val="32"/>
          <w:highlight w:val="none"/>
          <w:lang w:val="en-US" w:eastAsia="zh-CN"/>
        </w:rPr>
        <w:t>有承储单</w:t>
      </w:r>
      <w:r>
        <w:rPr>
          <w:rFonts w:hint="eastAsia" w:ascii="仿宋_GB2312" w:eastAsia="仿宋_GB2312" w:cs="Times New Roman"/>
          <w:color w:val="auto"/>
          <w:sz w:val="32"/>
          <w:szCs w:val="32"/>
          <w:highlight w:val="none"/>
          <w:lang w:val="en-US" w:eastAsia="zh-CN"/>
        </w:rPr>
        <w:t>位</w:t>
      </w:r>
      <w:r>
        <w:rPr>
          <w:rFonts w:hint="eastAsia" w:ascii="仿宋_GB2312" w:hAnsi="Times New Roman" w:eastAsia="仿宋_GB2312" w:cs="Times New Roman"/>
          <w:color w:val="auto"/>
          <w:sz w:val="32"/>
          <w:szCs w:val="32"/>
          <w:highlight w:val="none"/>
          <w:lang w:val="en-US" w:eastAsia="zh-CN"/>
        </w:rPr>
        <w:t>反映按《广东省省级粮食应急种子储备实施方案》规定，在</w:t>
      </w:r>
      <w:r>
        <w:rPr>
          <w:rFonts w:hint="eastAsia" w:ascii="仿宋" w:hAnsi="仿宋" w:eastAsia="仿宋" w:cs="仿宋"/>
          <w:b w:val="0"/>
          <w:bCs w:val="0"/>
          <w:color w:val="auto"/>
          <w:sz w:val="32"/>
          <w:szCs w:val="32"/>
          <w:highlight w:val="none"/>
          <w:lang w:val="en-US" w:eastAsia="zh-CN"/>
        </w:rPr>
        <w:t>应急种子储备及调拨资金</w:t>
      </w:r>
      <w:r>
        <w:rPr>
          <w:rFonts w:hint="eastAsia" w:ascii="仿宋_GB2312" w:hAnsi="Times New Roman" w:eastAsia="仿宋_GB2312" w:cs="Times New Roman"/>
          <w:color w:val="auto"/>
          <w:sz w:val="32"/>
          <w:szCs w:val="32"/>
          <w:highlight w:val="none"/>
          <w:lang w:val="en-US" w:eastAsia="zh-CN"/>
        </w:rPr>
        <w:t>项目实施过程中，种子损耗、削价、转商亏损等难以做账</w:t>
      </w:r>
      <w:r>
        <w:rPr>
          <w:rFonts w:hint="eastAsia" w:ascii="仿宋_GB2312" w:eastAsia="仿宋_GB2312" w:cs="Times New Roman"/>
          <w:color w:val="auto"/>
          <w:sz w:val="32"/>
          <w:szCs w:val="32"/>
          <w:highlight w:val="none"/>
          <w:lang w:val="en-US" w:eastAsia="zh-CN"/>
        </w:rPr>
        <w:t>，自有产权仓储设施设备折旧损失等种子储备成本也无法列支</w:t>
      </w:r>
      <w:r>
        <w:rPr>
          <w:rFonts w:hint="eastAsia" w:ascii="仿宋_GB2312" w:hAnsi="Times New Roman" w:eastAsia="仿宋_GB2312" w:cs="Times New Roman"/>
          <w:color w:val="auto"/>
          <w:sz w:val="32"/>
          <w:szCs w:val="32"/>
          <w:highlight w:val="none"/>
          <w:lang w:val="en-US" w:eastAsia="zh-CN"/>
        </w:rPr>
        <w:t>。</w:t>
      </w:r>
    </w:p>
    <w:p>
      <w:pPr>
        <w:pStyle w:val="13"/>
        <w:pageBreakBefore w:val="0"/>
        <w:numPr>
          <w:ilvl w:val="0"/>
          <w:numId w:val="0"/>
        </w:numPr>
        <w:kinsoku/>
        <w:wordWrap/>
        <w:overflowPunct/>
        <w:topLinePunct w:val="0"/>
        <w:bidi w:val="0"/>
        <w:spacing w:before="0" w:after="0" w:line="360" w:lineRule="auto"/>
        <w:ind w:firstLine="640" w:firstLineChars="200"/>
        <w:jc w:val="both"/>
        <w:rPr>
          <w:rFonts w:hint="eastAsia" w:ascii="黑体" w:hAnsi="黑体"/>
          <w:bCs/>
          <w:color w:val="auto"/>
          <w:highlight w:val="none"/>
        </w:rPr>
      </w:pPr>
      <w:bookmarkStart w:id="57" w:name="_Toc965134885_WPSOffice_Level1"/>
      <w:r>
        <w:rPr>
          <w:rFonts w:hint="eastAsia" w:ascii="黑体" w:hAnsi="黑体"/>
          <w:bCs/>
          <w:color w:val="auto"/>
          <w:highlight w:val="none"/>
          <w:lang w:eastAsia="zh-CN"/>
        </w:rPr>
        <w:t>三、</w:t>
      </w:r>
      <w:r>
        <w:rPr>
          <w:rFonts w:hint="eastAsia" w:ascii="黑体" w:hAnsi="黑体"/>
          <w:bCs/>
          <w:color w:val="auto"/>
          <w:highlight w:val="none"/>
        </w:rPr>
        <w:t>改进意见</w:t>
      </w:r>
      <w:bookmarkEnd w:id="56"/>
      <w:bookmarkEnd w:id="57"/>
    </w:p>
    <w:p>
      <w:pPr>
        <w:pStyle w:val="2"/>
        <w:ind w:left="0" w:leftChars="0" w:firstLine="642" w:firstLineChars="200"/>
        <w:rPr>
          <w:rFonts w:hint="eastAsia" w:ascii="仿宋_GB2312" w:hAnsi="Times New Roman" w:eastAsia="仿宋_GB2312" w:cs="Times New Roman"/>
          <w:b w:val="0"/>
          <w:bCs w:val="0"/>
          <w:color w:val="auto"/>
          <w:kern w:val="2"/>
          <w:sz w:val="32"/>
          <w:szCs w:val="32"/>
          <w:highlight w:val="none"/>
          <w:lang w:val="en-US" w:eastAsia="zh-CN" w:bidi="ar-SA"/>
        </w:rPr>
      </w:pPr>
      <w:r>
        <w:rPr>
          <w:rFonts w:hint="eastAsia" w:ascii="仿宋_GB2312" w:hAnsi="Times New Roman" w:eastAsia="仿宋_GB2312" w:cs="Times New Roman"/>
          <w:b/>
          <w:bCs/>
          <w:color w:val="auto"/>
          <w:kern w:val="2"/>
          <w:sz w:val="32"/>
          <w:szCs w:val="32"/>
          <w:highlight w:val="none"/>
          <w:lang w:val="en-US" w:eastAsia="zh-CN" w:bidi="ar-SA"/>
        </w:rPr>
        <w:t>一是</w:t>
      </w:r>
      <w:r>
        <w:rPr>
          <w:rFonts w:hint="eastAsia" w:ascii="仿宋_GB2312" w:hAnsi="Times New Roman" w:eastAsia="仿宋_GB2312" w:cs="Times New Roman"/>
          <w:b w:val="0"/>
          <w:bCs w:val="0"/>
          <w:color w:val="auto"/>
          <w:kern w:val="2"/>
          <w:sz w:val="32"/>
          <w:szCs w:val="32"/>
          <w:highlight w:val="none"/>
          <w:lang w:val="en-US" w:eastAsia="zh-CN" w:bidi="ar-SA"/>
        </w:rPr>
        <w:t>加强绩效管理，认真落实《中共广东省委 广东省人民政府关于全面实施预算绩效管理的若干意见》（粤发〔2019〕5号）和《广东省省级财政预算绩效目标管理办法（试行）》（粤财绩〔2019〕11号）等有关文件要求，提高绩效目标的完整性、合理性与可衡量性，加强绩效监控，做好绩效评价</w:t>
      </w:r>
      <w:r>
        <w:rPr>
          <w:rFonts w:hint="eastAsia" w:ascii="仿宋" w:hAnsi="仿宋" w:eastAsia="仿宋" w:cs="仿宋"/>
          <w:b w:val="0"/>
          <w:bCs w:val="0"/>
          <w:color w:val="auto"/>
          <w:sz w:val="32"/>
          <w:szCs w:val="32"/>
          <w:highlight w:val="none"/>
          <w:lang w:val="en-US" w:eastAsia="zh-CN"/>
        </w:rPr>
        <w:t>。</w:t>
      </w:r>
      <w:r>
        <w:rPr>
          <w:rFonts w:hint="eastAsia" w:ascii="仿宋_GB2312" w:hAnsi="Times New Roman" w:eastAsia="仿宋_GB2312" w:cs="Times New Roman"/>
          <w:b/>
          <w:bCs/>
          <w:color w:val="auto"/>
          <w:kern w:val="2"/>
          <w:sz w:val="32"/>
          <w:szCs w:val="32"/>
          <w:highlight w:val="none"/>
          <w:lang w:val="en-US" w:eastAsia="zh-CN" w:bidi="ar-SA"/>
        </w:rPr>
        <w:t>二是</w:t>
      </w:r>
      <w:r>
        <w:rPr>
          <w:rFonts w:hint="eastAsia" w:ascii="仿宋_GB2312" w:hAnsi="Times New Roman" w:eastAsia="仿宋_GB2312" w:cs="Times New Roman"/>
          <w:b w:val="0"/>
          <w:bCs w:val="0"/>
          <w:color w:val="auto"/>
          <w:kern w:val="2"/>
          <w:sz w:val="32"/>
          <w:szCs w:val="32"/>
          <w:highlight w:val="none"/>
          <w:lang w:val="en-US" w:eastAsia="zh-CN" w:bidi="ar-SA"/>
        </w:rPr>
        <w:t>优化资金支付流程。针对家禽及蔬菜瓜果应急收储奖补资金项目，</w:t>
      </w:r>
      <w:r>
        <w:rPr>
          <w:rFonts w:hint="default" w:ascii="仿宋_GB2312" w:hAnsi="Times New Roman" w:eastAsia="仿宋_GB2312" w:cs="Times New Roman"/>
          <w:b w:val="0"/>
          <w:bCs w:val="0"/>
          <w:color w:val="auto"/>
          <w:kern w:val="2"/>
          <w:sz w:val="32"/>
          <w:szCs w:val="32"/>
          <w:highlight w:val="none"/>
          <w:lang w:val="en-US" w:eastAsia="zh-CN" w:bidi="ar-SA"/>
        </w:rPr>
        <w:t>建立具有紧急收储</w:t>
      </w:r>
      <w:r>
        <w:rPr>
          <w:rFonts w:hint="eastAsia" w:ascii="仿宋_GB2312" w:hAnsi="Times New Roman" w:eastAsia="仿宋_GB2312" w:cs="Times New Roman"/>
          <w:b w:val="0"/>
          <w:bCs w:val="0"/>
          <w:color w:val="auto"/>
          <w:kern w:val="2"/>
          <w:sz w:val="32"/>
          <w:szCs w:val="32"/>
          <w:highlight w:val="none"/>
          <w:lang w:val="en-US" w:eastAsia="zh-CN" w:bidi="ar-SA"/>
        </w:rPr>
        <w:t>农产品</w:t>
      </w:r>
      <w:r>
        <w:rPr>
          <w:rFonts w:hint="default" w:ascii="仿宋_GB2312" w:hAnsi="Times New Roman" w:eastAsia="仿宋_GB2312" w:cs="Times New Roman"/>
          <w:b w:val="0"/>
          <w:bCs w:val="0"/>
          <w:color w:val="auto"/>
          <w:kern w:val="2"/>
          <w:sz w:val="32"/>
          <w:szCs w:val="32"/>
          <w:highlight w:val="none"/>
          <w:lang w:val="en-US" w:eastAsia="zh-CN" w:bidi="ar-SA"/>
        </w:rPr>
        <w:t>资格的市场主体库名单，确保紧急情况下市场主体的收储能力达到收储要求，保证补贴资金精准快速到位，更好地发挥财政资金效益。</w:t>
      </w:r>
      <w:r>
        <w:rPr>
          <w:rFonts w:hint="eastAsia" w:ascii="仿宋_GB2312" w:hAnsi="Times New Roman" w:eastAsia="仿宋_GB2312" w:cs="Times New Roman"/>
          <w:b/>
          <w:bCs/>
          <w:color w:val="auto"/>
          <w:kern w:val="2"/>
          <w:sz w:val="32"/>
          <w:szCs w:val="32"/>
          <w:highlight w:val="none"/>
          <w:lang w:val="en-US" w:eastAsia="zh-CN" w:bidi="ar-SA"/>
        </w:rPr>
        <w:t>三是</w:t>
      </w:r>
      <w:r>
        <w:rPr>
          <w:rFonts w:hint="eastAsia" w:ascii="仿宋_GB2312" w:hAnsi="Times New Roman" w:eastAsia="仿宋_GB2312" w:cs="Times New Roman"/>
          <w:b w:val="0"/>
          <w:bCs w:val="0"/>
          <w:color w:val="auto"/>
          <w:kern w:val="2"/>
          <w:sz w:val="32"/>
          <w:szCs w:val="32"/>
          <w:highlight w:val="none"/>
          <w:lang w:val="en-US" w:eastAsia="zh-CN" w:bidi="ar-SA"/>
        </w:rPr>
        <w:t>督促市县</w:t>
      </w:r>
      <w:r>
        <w:rPr>
          <w:rFonts w:hint="eastAsia" w:ascii="仿宋_GB2312" w:eastAsia="仿宋_GB2312"/>
          <w:color w:val="auto"/>
          <w:sz w:val="32"/>
          <w:szCs w:val="32"/>
          <w:highlight w:val="none"/>
          <w:lang w:val="en-US" w:eastAsia="zh-CN"/>
        </w:rPr>
        <w:t>红火蚁防控项目</w:t>
      </w:r>
      <w:r>
        <w:rPr>
          <w:rFonts w:hint="eastAsia" w:ascii="仿宋_GB2312" w:hAnsi="Times New Roman" w:eastAsia="仿宋_GB2312" w:cs="Times New Roman"/>
          <w:b w:val="0"/>
          <w:bCs w:val="0"/>
          <w:color w:val="auto"/>
          <w:kern w:val="2"/>
          <w:sz w:val="32"/>
          <w:szCs w:val="32"/>
          <w:highlight w:val="none"/>
          <w:lang w:val="en-US" w:eastAsia="zh-CN" w:bidi="ar-SA"/>
        </w:rPr>
        <w:t>主管部门，加强项目管理，科学合理安排好春秋两季的关键防控工作，按要求完成防控任务。</w:t>
      </w:r>
      <w:r>
        <w:rPr>
          <w:rFonts w:hint="eastAsia" w:ascii="仿宋_GB2312" w:hAnsi="Times New Roman" w:eastAsia="仿宋_GB2312" w:cs="Times New Roman"/>
          <w:b/>
          <w:bCs/>
          <w:color w:val="auto"/>
          <w:kern w:val="2"/>
          <w:sz w:val="32"/>
          <w:szCs w:val="32"/>
          <w:highlight w:val="none"/>
          <w:lang w:val="en-US" w:eastAsia="zh-CN" w:bidi="ar-SA"/>
        </w:rPr>
        <w:t>四是</w:t>
      </w:r>
      <w:r>
        <w:rPr>
          <w:rFonts w:hint="eastAsia" w:ascii="仿宋_GB2312" w:hAnsi="Times New Roman" w:eastAsia="仿宋_GB2312" w:cs="Times New Roman"/>
          <w:b w:val="0"/>
          <w:bCs w:val="0"/>
          <w:color w:val="auto"/>
          <w:kern w:val="2"/>
          <w:sz w:val="32"/>
          <w:szCs w:val="32"/>
          <w:highlight w:val="none"/>
          <w:lang w:val="en-US" w:eastAsia="zh-CN" w:bidi="ar-SA"/>
        </w:rPr>
        <w:t>完善种子应急储备及调拨资金使用管理制度，提高资金使用效率。针对应急种子储备及调拨资金项目中承储单位反映的专项资金使用存在操作难的问题，组织相关专家论证研究，与财政部门进行沟通，希望得到财政部门的指导，尽快补充完善种子应急储备及调拨资金使用操作指南等管理制度。</w:t>
      </w:r>
    </w:p>
    <w:p>
      <w:pPr>
        <w:pStyle w:val="2"/>
        <w:ind w:left="0" w:leftChars="0" w:firstLine="640" w:firstLineChars="200"/>
        <w:rPr>
          <w:rFonts w:hint="eastAsia" w:ascii="仿宋_GB2312" w:hAnsi="Times New Roman" w:eastAsia="仿宋_GB2312" w:cs="Times New Roman"/>
          <w:b w:val="0"/>
          <w:bCs w:val="0"/>
          <w:color w:val="auto"/>
          <w:kern w:val="2"/>
          <w:sz w:val="32"/>
          <w:szCs w:val="32"/>
          <w:highlight w:val="none"/>
          <w:lang w:val="en-US" w:eastAsia="zh-CN" w:bidi="ar-SA"/>
        </w:rPr>
      </w:pPr>
    </w:p>
    <w:p>
      <w:pPr>
        <w:pStyle w:val="2"/>
        <w:ind w:left="0" w:leftChars="0" w:firstLine="640" w:firstLineChars="200"/>
        <w:rPr>
          <w:rFonts w:hint="eastAsia" w:ascii="仿宋_GB2312" w:hAnsi="Times New Roman" w:eastAsia="仿宋_GB2312" w:cs="Times New Roman"/>
          <w:b w:val="0"/>
          <w:bCs w:val="0"/>
          <w:color w:val="auto"/>
          <w:kern w:val="2"/>
          <w:sz w:val="32"/>
          <w:szCs w:val="32"/>
          <w:highlight w:val="none"/>
          <w:lang w:val="en-US" w:eastAsia="zh-CN" w:bidi="ar-SA"/>
        </w:rPr>
      </w:pPr>
    </w:p>
    <w:p>
      <w:pPr>
        <w:pStyle w:val="2"/>
        <w:ind w:left="0" w:leftChars="0" w:firstLine="640" w:firstLineChars="200"/>
        <w:rPr>
          <w:rFonts w:hint="default" w:ascii="仿宋_GB2312" w:hAnsi="Times New Roman" w:eastAsia="仿宋_GB2312" w:cs="Times New Roman"/>
          <w:b w:val="0"/>
          <w:bCs w:val="0"/>
          <w:color w:val="auto"/>
          <w:kern w:val="2"/>
          <w:sz w:val="32"/>
          <w:szCs w:val="32"/>
          <w:highlight w:val="none"/>
          <w:lang w:val="en-US" w:eastAsia="zh-CN" w:bidi="ar-SA"/>
        </w:rPr>
      </w:pPr>
      <w:r>
        <w:rPr>
          <w:rFonts w:hint="default" w:ascii="仿宋_GB2312" w:hAnsi="Times New Roman" w:eastAsia="仿宋_GB2312" w:cs="Times New Roman"/>
          <w:b w:val="0"/>
          <w:bCs w:val="0"/>
          <w:color w:val="auto"/>
          <w:kern w:val="2"/>
          <w:sz w:val="32"/>
          <w:szCs w:val="32"/>
          <w:highlight w:val="none"/>
          <w:lang w:val="en-US" w:eastAsia="zh-CN" w:bidi="ar-SA"/>
        </w:rPr>
        <w:t xml:space="preserve"> </w:t>
      </w:r>
    </w:p>
    <w:p>
      <w:pPr>
        <w:pStyle w:val="2"/>
        <w:rPr>
          <w:rFonts w:hint="default"/>
          <w:color w:val="auto"/>
          <w:highlight w:val="none"/>
          <w:lang w:val="en-US" w:eastAsia="zh-CN"/>
        </w:rPr>
      </w:pPr>
    </w:p>
    <w:sectPr>
      <w:footerReference r:id="rId4" w:type="default"/>
      <w:pgSz w:w="11906" w:h="16838"/>
      <w:pgMar w:top="2041" w:right="1417" w:bottom="1417" w:left="1531"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CC"/>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altName w:val="楷体"/>
    <w:panose1 w:val="02010609030101010101"/>
    <w:charset w:val="86"/>
    <w:family w:val="modern"/>
    <w:pitch w:val="default"/>
    <w:sig w:usb0="00000000" w:usb1="00000000" w:usb2="00000000" w:usb3="00000000" w:csb0="00040000" w:csb1="00000000"/>
  </w:font>
  <w:font w:name="等线 Light">
    <w:altName w:val="汉仪中圆B5"/>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altName w:val="汉仪中圆B5"/>
    <w:panose1 w:val="02010600030101010101"/>
    <w:charset w:val="86"/>
    <w:family w:val="auto"/>
    <w:pitch w:val="default"/>
    <w:sig w:usb0="00000000" w:usb1="00000000" w:usb2="00000016" w:usb3="00000000" w:csb0="0004000F" w:csb1="00000000"/>
  </w:font>
  <w:font w:name="Cambria">
    <w:altName w:val="FreeSerif"/>
    <w:panose1 w:val="02040503050406030204"/>
    <w:charset w:val="00"/>
    <w:family w:val="roman"/>
    <w:pitch w:val="default"/>
    <w:sig w:usb0="00000000" w:usb1="00000000" w:usb2="00000000" w:usb3="00000000" w:csb0="2000019F"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楷体">
    <w:panose1 w:val="02010609060101010101"/>
    <w:charset w:val="86"/>
    <w:family w:val="auto"/>
    <w:pitch w:val="default"/>
    <w:sig w:usb0="800002BF" w:usb1="38CF7CFA" w:usb2="00000016" w:usb3="00000000" w:csb0="00040001" w:csb1="00000000"/>
  </w:font>
  <w:font w:name="等线 Light">
    <w:altName w:val="汉仪仿宋S"/>
    <w:panose1 w:val="00000000000000000000"/>
    <w:charset w:val="00"/>
    <w:family w:val="auto"/>
    <w:pitch w:val="default"/>
    <w:sig w:usb0="00000000" w:usb1="00000000" w:usb2="00000000" w:usb3="00000000" w:csb0="00000000" w:csb1="00000000"/>
  </w:font>
  <w:font w:name="汉仪仿宋S">
    <w:panose1 w:val="00020600040101000101"/>
    <w:charset w:val="86"/>
    <w:family w:val="auto"/>
    <w:pitch w:val="default"/>
    <w:sig w:usb0="A00002BF" w:usb1="38CF7CFA" w:usb2="00000016" w:usb3="00000000" w:csb0="0004009F" w:csb1="00000000"/>
  </w:font>
  <w:font w:name="汉仪中圆B5">
    <w:panose1 w:val="02010600000101010101"/>
    <w:charset w:val="88"/>
    <w:family w:val="auto"/>
    <w:pitch w:val="default"/>
    <w:sig w:usb0="00000001" w:usb1="080E0800" w:usb2="00000002" w:usb3="00000000" w:csb0="00100000" w:csb1="00000000"/>
  </w:font>
  <w:font w:name="等线">
    <w:altName w:val="汉仪仿宋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posOffset>5238750</wp:posOffset>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jc w:val="cente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- 1 -</w:t>
                          </w:r>
                          <w:r>
                            <w:rPr>
                              <w:rFonts w:hint="eastAsia" w:ascii="仿宋" w:hAnsi="仿宋" w:eastAsia="仿宋" w:cs="仿宋"/>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left:412.5pt;margin-top:0pt;height:144pt;width:144pt;mso-position-horizontal-relative:margin;mso-wrap-style:none;z-index:251659264;mso-width-relative:page;mso-height-relative:page;" filled="f" stroked="f" coordsize="21600,21600" o:gfxdata="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HhQlwrWAAAACQEAAA8AAAAAAAAAAQAgAAAAOAAAAGRycy9kb3ducmV2LnhtbFBLAQIUABQA&#10;AAAIAIdO4kCgF26zFQIAABkEAAAOAAAAAAAAAAEAIAAAADsBAABkcnMvZTJvRG9jLnhtbFBLBQYA&#10;AAAABgAGAFkBAADCBQAAAAA=&#10;">
              <v:fill on="f" focussize="0,0"/>
              <v:stroke on="f" weight="0.5pt"/>
              <v:imagedata o:title=""/>
              <o:lock v:ext="edit" aspectratio="f"/>
              <v:textbox inset="0mm,0mm,0mm,0mm" style="mso-fit-shape-to-text:t;">
                <w:txbxContent>
                  <w:p>
                    <w:pPr>
                      <w:pStyle w:val="9"/>
                      <w:jc w:val="cente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- 1 -</w:t>
                    </w:r>
                    <w:r>
                      <w:rPr>
                        <w:rFonts w:hint="eastAsia" w:ascii="仿宋" w:hAnsi="仿宋" w:eastAsia="仿宋" w:cs="仿宋"/>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C6E4E3"/>
    <w:multiLevelType w:val="singleLevel"/>
    <w:tmpl w:val="D4C6E4E3"/>
    <w:lvl w:ilvl="0" w:tentative="0">
      <w:start w:val="4"/>
      <w:numFmt w:val="chineseCounting"/>
      <w:suff w:val="nothing"/>
      <w:lvlText w:val="（%1）"/>
      <w:lvlJc w:val="left"/>
      <w:rPr>
        <w:rFonts w:hint="eastAsia"/>
      </w:rPr>
    </w:lvl>
  </w:abstractNum>
  <w:abstractNum w:abstractNumId="1">
    <w:nsid w:val="E37DF7A5"/>
    <w:multiLevelType w:val="singleLevel"/>
    <w:tmpl w:val="E37DF7A5"/>
    <w:lvl w:ilvl="0" w:tentative="0">
      <w:start w:val="1"/>
      <w:numFmt w:val="decimal"/>
      <w:suff w:val="nothing"/>
      <w:lvlText w:val="（%1）"/>
      <w:lvlJc w:val="left"/>
    </w:lvl>
  </w:abstractNum>
  <w:abstractNum w:abstractNumId="2">
    <w:nsid w:val="3BF92EB9"/>
    <w:multiLevelType w:val="singleLevel"/>
    <w:tmpl w:val="3BF92EB9"/>
    <w:lvl w:ilvl="0" w:tentative="0">
      <w:start w:val="1"/>
      <w:numFmt w:val="chineseCounting"/>
      <w:suff w:val="nothing"/>
      <w:lvlText w:val="（%1）"/>
      <w:lvlJc w:val="left"/>
      <w:rPr>
        <w:rFonts w:hint="eastAsia"/>
      </w:rPr>
    </w:lvl>
  </w:abstractNum>
  <w:abstractNum w:abstractNumId="3">
    <w:nsid w:val="3EA02A3A"/>
    <w:multiLevelType w:val="singleLevel"/>
    <w:tmpl w:val="3EA02A3A"/>
    <w:lvl w:ilvl="0" w:tentative="0">
      <w:start w:val="2"/>
      <w:numFmt w:val="decimal"/>
      <w:suff w:val="nothing"/>
      <w:lvlText w:val="（%1）"/>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DisplayPageBoundaries w:val="true"/>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1D0"/>
    <w:rsid w:val="00007C1C"/>
    <w:rsid w:val="00024539"/>
    <w:rsid w:val="00041063"/>
    <w:rsid w:val="00062AC8"/>
    <w:rsid w:val="00077799"/>
    <w:rsid w:val="000A7DF1"/>
    <w:rsid w:val="000B5C8C"/>
    <w:rsid w:val="000C38BD"/>
    <w:rsid w:val="000D6714"/>
    <w:rsid w:val="001077D4"/>
    <w:rsid w:val="001405D4"/>
    <w:rsid w:val="00152B67"/>
    <w:rsid w:val="00152C65"/>
    <w:rsid w:val="00155962"/>
    <w:rsid w:val="00156E6F"/>
    <w:rsid w:val="00175145"/>
    <w:rsid w:val="001D10EA"/>
    <w:rsid w:val="001D5A64"/>
    <w:rsid w:val="001E064D"/>
    <w:rsid w:val="001F1426"/>
    <w:rsid w:val="0021570B"/>
    <w:rsid w:val="00215CAF"/>
    <w:rsid w:val="0029042F"/>
    <w:rsid w:val="002B7B74"/>
    <w:rsid w:val="003138A7"/>
    <w:rsid w:val="00316B5A"/>
    <w:rsid w:val="003221D0"/>
    <w:rsid w:val="003364A6"/>
    <w:rsid w:val="00345D75"/>
    <w:rsid w:val="0035018B"/>
    <w:rsid w:val="00357D7D"/>
    <w:rsid w:val="00362AEC"/>
    <w:rsid w:val="0039133F"/>
    <w:rsid w:val="003B748E"/>
    <w:rsid w:val="003D7939"/>
    <w:rsid w:val="003E3DC4"/>
    <w:rsid w:val="004269BE"/>
    <w:rsid w:val="00453821"/>
    <w:rsid w:val="0045687C"/>
    <w:rsid w:val="00487168"/>
    <w:rsid w:val="00490666"/>
    <w:rsid w:val="00497A3F"/>
    <w:rsid w:val="004B3401"/>
    <w:rsid w:val="004D7A4A"/>
    <w:rsid w:val="004E2F46"/>
    <w:rsid w:val="00504CD1"/>
    <w:rsid w:val="005174F1"/>
    <w:rsid w:val="00523683"/>
    <w:rsid w:val="005410E6"/>
    <w:rsid w:val="0058684A"/>
    <w:rsid w:val="00593C61"/>
    <w:rsid w:val="005B1699"/>
    <w:rsid w:val="005B2A60"/>
    <w:rsid w:val="005D7252"/>
    <w:rsid w:val="005F65B7"/>
    <w:rsid w:val="006258D1"/>
    <w:rsid w:val="00651E73"/>
    <w:rsid w:val="00652306"/>
    <w:rsid w:val="00674B42"/>
    <w:rsid w:val="006B162A"/>
    <w:rsid w:val="006B2426"/>
    <w:rsid w:val="006B7C4F"/>
    <w:rsid w:val="006F4782"/>
    <w:rsid w:val="0071275A"/>
    <w:rsid w:val="007448F8"/>
    <w:rsid w:val="00745F9C"/>
    <w:rsid w:val="007463AC"/>
    <w:rsid w:val="00751C20"/>
    <w:rsid w:val="00793C1E"/>
    <w:rsid w:val="007B228A"/>
    <w:rsid w:val="007B2BA6"/>
    <w:rsid w:val="007D5CA2"/>
    <w:rsid w:val="007F3FFF"/>
    <w:rsid w:val="007F6541"/>
    <w:rsid w:val="00850A26"/>
    <w:rsid w:val="008A481B"/>
    <w:rsid w:val="008D45AB"/>
    <w:rsid w:val="008E5456"/>
    <w:rsid w:val="008F123E"/>
    <w:rsid w:val="008F1E2D"/>
    <w:rsid w:val="008F1E5E"/>
    <w:rsid w:val="008F6122"/>
    <w:rsid w:val="009006A6"/>
    <w:rsid w:val="00904413"/>
    <w:rsid w:val="00912EFE"/>
    <w:rsid w:val="00963A95"/>
    <w:rsid w:val="00975DE8"/>
    <w:rsid w:val="009A76BF"/>
    <w:rsid w:val="009B381C"/>
    <w:rsid w:val="009C185D"/>
    <w:rsid w:val="009D387C"/>
    <w:rsid w:val="009F365C"/>
    <w:rsid w:val="009F38E3"/>
    <w:rsid w:val="00A15BDD"/>
    <w:rsid w:val="00A42722"/>
    <w:rsid w:val="00A562D2"/>
    <w:rsid w:val="00AA6FD0"/>
    <w:rsid w:val="00AB42D9"/>
    <w:rsid w:val="00AC4792"/>
    <w:rsid w:val="00AE1C03"/>
    <w:rsid w:val="00AF2BA8"/>
    <w:rsid w:val="00B81707"/>
    <w:rsid w:val="00B97B3C"/>
    <w:rsid w:val="00BD2451"/>
    <w:rsid w:val="00BD61DF"/>
    <w:rsid w:val="00BE358B"/>
    <w:rsid w:val="00C02459"/>
    <w:rsid w:val="00C4222E"/>
    <w:rsid w:val="00C666BA"/>
    <w:rsid w:val="00C731CD"/>
    <w:rsid w:val="00C77F18"/>
    <w:rsid w:val="00C81F0F"/>
    <w:rsid w:val="00CC6A27"/>
    <w:rsid w:val="00CD2355"/>
    <w:rsid w:val="00CD36CE"/>
    <w:rsid w:val="00CF1750"/>
    <w:rsid w:val="00D60F67"/>
    <w:rsid w:val="00D943CE"/>
    <w:rsid w:val="00DE799A"/>
    <w:rsid w:val="00E05F81"/>
    <w:rsid w:val="00E16108"/>
    <w:rsid w:val="00E33F3C"/>
    <w:rsid w:val="00E8376A"/>
    <w:rsid w:val="00E94B36"/>
    <w:rsid w:val="00EA19CC"/>
    <w:rsid w:val="00EB1F1E"/>
    <w:rsid w:val="00F01828"/>
    <w:rsid w:val="00F12244"/>
    <w:rsid w:val="00F66928"/>
    <w:rsid w:val="00F67C07"/>
    <w:rsid w:val="00F801C8"/>
    <w:rsid w:val="00FB6015"/>
    <w:rsid w:val="00FC03E5"/>
    <w:rsid w:val="00FE7094"/>
    <w:rsid w:val="01627210"/>
    <w:rsid w:val="0171095C"/>
    <w:rsid w:val="017B2084"/>
    <w:rsid w:val="018D7851"/>
    <w:rsid w:val="01A21D74"/>
    <w:rsid w:val="01AB01A5"/>
    <w:rsid w:val="01F525CE"/>
    <w:rsid w:val="023F5CB3"/>
    <w:rsid w:val="02651338"/>
    <w:rsid w:val="02792BEA"/>
    <w:rsid w:val="027F7101"/>
    <w:rsid w:val="02877425"/>
    <w:rsid w:val="0293741E"/>
    <w:rsid w:val="02C46E62"/>
    <w:rsid w:val="0378149E"/>
    <w:rsid w:val="0397336C"/>
    <w:rsid w:val="03E67CD5"/>
    <w:rsid w:val="03FC10D0"/>
    <w:rsid w:val="04325BFC"/>
    <w:rsid w:val="043C5883"/>
    <w:rsid w:val="04742A5B"/>
    <w:rsid w:val="04896D7D"/>
    <w:rsid w:val="049411A1"/>
    <w:rsid w:val="04A81DBC"/>
    <w:rsid w:val="04AA161D"/>
    <w:rsid w:val="04D35F3E"/>
    <w:rsid w:val="04DB4634"/>
    <w:rsid w:val="04E1731F"/>
    <w:rsid w:val="04E51356"/>
    <w:rsid w:val="04F77FB2"/>
    <w:rsid w:val="051B26EE"/>
    <w:rsid w:val="057633A2"/>
    <w:rsid w:val="065A63C9"/>
    <w:rsid w:val="067351E3"/>
    <w:rsid w:val="06825279"/>
    <w:rsid w:val="06AD336D"/>
    <w:rsid w:val="06B43FED"/>
    <w:rsid w:val="06DD3DEA"/>
    <w:rsid w:val="06EE6530"/>
    <w:rsid w:val="06F43BCC"/>
    <w:rsid w:val="073019F2"/>
    <w:rsid w:val="074B3A16"/>
    <w:rsid w:val="076F2ECD"/>
    <w:rsid w:val="07B246D1"/>
    <w:rsid w:val="07B861A8"/>
    <w:rsid w:val="07BC4290"/>
    <w:rsid w:val="07BD60E0"/>
    <w:rsid w:val="07E45036"/>
    <w:rsid w:val="083A4841"/>
    <w:rsid w:val="08620CB8"/>
    <w:rsid w:val="088F1FB5"/>
    <w:rsid w:val="08D7729F"/>
    <w:rsid w:val="091D6427"/>
    <w:rsid w:val="09747564"/>
    <w:rsid w:val="09F059D3"/>
    <w:rsid w:val="09FC19D9"/>
    <w:rsid w:val="0A8061E2"/>
    <w:rsid w:val="0AC41700"/>
    <w:rsid w:val="0B0E299C"/>
    <w:rsid w:val="0B1B6555"/>
    <w:rsid w:val="0B390286"/>
    <w:rsid w:val="0B411B58"/>
    <w:rsid w:val="0BD3517F"/>
    <w:rsid w:val="0BDB6102"/>
    <w:rsid w:val="0C2942B6"/>
    <w:rsid w:val="0C2C46AF"/>
    <w:rsid w:val="0C6979A0"/>
    <w:rsid w:val="0C697BC1"/>
    <w:rsid w:val="0CA4455C"/>
    <w:rsid w:val="0CBC71FC"/>
    <w:rsid w:val="0CE551DA"/>
    <w:rsid w:val="0D1F4C0C"/>
    <w:rsid w:val="0D535AC4"/>
    <w:rsid w:val="0D65079D"/>
    <w:rsid w:val="0DCA3E55"/>
    <w:rsid w:val="0E773AB4"/>
    <w:rsid w:val="0EAC20A6"/>
    <w:rsid w:val="0EC10CAD"/>
    <w:rsid w:val="0EFC543F"/>
    <w:rsid w:val="0F7A7C39"/>
    <w:rsid w:val="0F9A1334"/>
    <w:rsid w:val="0FC740E3"/>
    <w:rsid w:val="0FD41694"/>
    <w:rsid w:val="0FDB0895"/>
    <w:rsid w:val="1025078F"/>
    <w:rsid w:val="102E70B1"/>
    <w:rsid w:val="105F083F"/>
    <w:rsid w:val="10813B7B"/>
    <w:rsid w:val="10A57D1A"/>
    <w:rsid w:val="10FA444E"/>
    <w:rsid w:val="10FD05CA"/>
    <w:rsid w:val="1119786B"/>
    <w:rsid w:val="113A15B2"/>
    <w:rsid w:val="115D27D4"/>
    <w:rsid w:val="11D74F0A"/>
    <w:rsid w:val="11F50BAB"/>
    <w:rsid w:val="121D5ECA"/>
    <w:rsid w:val="12640487"/>
    <w:rsid w:val="12BF1CCA"/>
    <w:rsid w:val="12E1125E"/>
    <w:rsid w:val="12F82822"/>
    <w:rsid w:val="13554D0D"/>
    <w:rsid w:val="13773B6E"/>
    <w:rsid w:val="13822027"/>
    <w:rsid w:val="13917638"/>
    <w:rsid w:val="13A51F52"/>
    <w:rsid w:val="13C604CB"/>
    <w:rsid w:val="13F07F40"/>
    <w:rsid w:val="14180C5D"/>
    <w:rsid w:val="141A2D37"/>
    <w:rsid w:val="141F532D"/>
    <w:rsid w:val="142563D6"/>
    <w:rsid w:val="14636EE2"/>
    <w:rsid w:val="14B41373"/>
    <w:rsid w:val="14C86408"/>
    <w:rsid w:val="15123642"/>
    <w:rsid w:val="151C4D63"/>
    <w:rsid w:val="152D7AB0"/>
    <w:rsid w:val="1589255F"/>
    <w:rsid w:val="15A60BEE"/>
    <w:rsid w:val="15D92A75"/>
    <w:rsid w:val="16092441"/>
    <w:rsid w:val="161E32D2"/>
    <w:rsid w:val="16254AE6"/>
    <w:rsid w:val="16716FA4"/>
    <w:rsid w:val="16DF75C9"/>
    <w:rsid w:val="16FA2DF7"/>
    <w:rsid w:val="17072E0B"/>
    <w:rsid w:val="170A5BDD"/>
    <w:rsid w:val="17235D0D"/>
    <w:rsid w:val="17263F93"/>
    <w:rsid w:val="175D717B"/>
    <w:rsid w:val="17774FE0"/>
    <w:rsid w:val="1788578F"/>
    <w:rsid w:val="180C6EEA"/>
    <w:rsid w:val="18295A65"/>
    <w:rsid w:val="18357721"/>
    <w:rsid w:val="18AE56AA"/>
    <w:rsid w:val="18AE757C"/>
    <w:rsid w:val="18B1753E"/>
    <w:rsid w:val="18BB66A4"/>
    <w:rsid w:val="19173FA3"/>
    <w:rsid w:val="1938714C"/>
    <w:rsid w:val="19421E45"/>
    <w:rsid w:val="196832B1"/>
    <w:rsid w:val="198E23BD"/>
    <w:rsid w:val="19C64E27"/>
    <w:rsid w:val="1A0003E6"/>
    <w:rsid w:val="1A062B69"/>
    <w:rsid w:val="1A117861"/>
    <w:rsid w:val="1A181932"/>
    <w:rsid w:val="1A1E464B"/>
    <w:rsid w:val="1A3721FE"/>
    <w:rsid w:val="1A4C3B8C"/>
    <w:rsid w:val="1A6311B0"/>
    <w:rsid w:val="1A64095A"/>
    <w:rsid w:val="1A757977"/>
    <w:rsid w:val="1A8515E3"/>
    <w:rsid w:val="1A932028"/>
    <w:rsid w:val="1A9349CF"/>
    <w:rsid w:val="1A98752E"/>
    <w:rsid w:val="1A9D29EF"/>
    <w:rsid w:val="1AA62EEA"/>
    <w:rsid w:val="1ABF03F9"/>
    <w:rsid w:val="1AC2509B"/>
    <w:rsid w:val="1AFF5A14"/>
    <w:rsid w:val="1B0B5181"/>
    <w:rsid w:val="1B886D96"/>
    <w:rsid w:val="1BF52B62"/>
    <w:rsid w:val="1C026A0B"/>
    <w:rsid w:val="1C0A1177"/>
    <w:rsid w:val="1C8F7C2B"/>
    <w:rsid w:val="1C9E4BCD"/>
    <w:rsid w:val="1CA11FF8"/>
    <w:rsid w:val="1CBC6798"/>
    <w:rsid w:val="1D277A67"/>
    <w:rsid w:val="1D505A3B"/>
    <w:rsid w:val="1D795CBF"/>
    <w:rsid w:val="1D8001CF"/>
    <w:rsid w:val="1DA05FD2"/>
    <w:rsid w:val="1DEC768B"/>
    <w:rsid w:val="1DEF79DF"/>
    <w:rsid w:val="1DF970B3"/>
    <w:rsid w:val="1E006219"/>
    <w:rsid w:val="1E024C20"/>
    <w:rsid w:val="1E2B5FD7"/>
    <w:rsid w:val="1E377AF7"/>
    <w:rsid w:val="1E43742A"/>
    <w:rsid w:val="1E633573"/>
    <w:rsid w:val="1E6F292C"/>
    <w:rsid w:val="1F08402C"/>
    <w:rsid w:val="1F0D0CB8"/>
    <w:rsid w:val="1F293EAF"/>
    <w:rsid w:val="1F3F3924"/>
    <w:rsid w:val="1F647B16"/>
    <w:rsid w:val="1F705D0A"/>
    <w:rsid w:val="1F890903"/>
    <w:rsid w:val="1F974213"/>
    <w:rsid w:val="202A39BE"/>
    <w:rsid w:val="206D1D81"/>
    <w:rsid w:val="20DF2DB0"/>
    <w:rsid w:val="20FD68B8"/>
    <w:rsid w:val="215F5BE1"/>
    <w:rsid w:val="21640C0A"/>
    <w:rsid w:val="2165149E"/>
    <w:rsid w:val="21725522"/>
    <w:rsid w:val="217B0B0F"/>
    <w:rsid w:val="217C78EF"/>
    <w:rsid w:val="21B40EDE"/>
    <w:rsid w:val="220E301C"/>
    <w:rsid w:val="2217141E"/>
    <w:rsid w:val="22375DF4"/>
    <w:rsid w:val="22987546"/>
    <w:rsid w:val="22A653F8"/>
    <w:rsid w:val="22BE77E2"/>
    <w:rsid w:val="230C646B"/>
    <w:rsid w:val="235924C7"/>
    <w:rsid w:val="23853B19"/>
    <w:rsid w:val="238E074C"/>
    <w:rsid w:val="238E5E2D"/>
    <w:rsid w:val="23E13761"/>
    <w:rsid w:val="23F303BA"/>
    <w:rsid w:val="242108ED"/>
    <w:rsid w:val="24232EE3"/>
    <w:rsid w:val="246D78D9"/>
    <w:rsid w:val="24727313"/>
    <w:rsid w:val="249A7F71"/>
    <w:rsid w:val="249C5B04"/>
    <w:rsid w:val="24A23D4C"/>
    <w:rsid w:val="24CB0C86"/>
    <w:rsid w:val="24DA0B4C"/>
    <w:rsid w:val="24E50E2F"/>
    <w:rsid w:val="251A461B"/>
    <w:rsid w:val="257A0CB0"/>
    <w:rsid w:val="259B628F"/>
    <w:rsid w:val="25BF2E34"/>
    <w:rsid w:val="25F71E07"/>
    <w:rsid w:val="262D631C"/>
    <w:rsid w:val="26470278"/>
    <w:rsid w:val="265A16A0"/>
    <w:rsid w:val="2668128F"/>
    <w:rsid w:val="26982C97"/>
    <w:rsid w:val="26AB6AB9"/>
    <w:rsid w:val="26E40B20"/>
    <w:rsid w:val="270A6B48"/>
    <w:rsid w:val="276E0050"/>
    <w:rsid w:val="27B11977"/>
    <w:rsid w:val="283B2DC7"/>
    <w:rsid w:val="28574095"/>
    <w:rsid w:val="28615C27"/>
    <w:rsid w:val="28650EAB"/>
    <w:rsid w:val="28755B1F"/>
    <w:rsid w:val="2888071D"/>
    <w:rsid w:val="28A222F8"/>
    <w:rsid w:val="28B7073C"/>
    <w:rsid w:val="28ED019C"/>
    <w:rsid w:val="292306AD"/>
    <w:rsid w:val="294B6BC8"/>
    <w:rsid w:val="29937C68"/>
    <w:rsid w:val="29943A04"/>
    <w:rsid w:val="29BB5E34"/>
    <w:rsid w:val="29E34F1A"/>
    <w:rsid w:val="29E544E7"/>
    <w:rsid w:val="29E64A91"/>
    <w:rsid w:val="2A215464"/>
    <w:rsid w:val="2A735E13"/>
    <w:rsid w:val="2A8A1F00"/>
    <w:rsid w:val="2A8F2F3A"/>
    <w:rsid w:val="2ADC699A"/>
    <w:rsid w:val="2AFE0DAF"/>
    <w:rsid w:val="2B03110E"/>
    <w:rsid w:val="2B1D2653"/>
    <w:rsid w:val="2B4E0F5E"/>
    <w:rsid w:val="2BA063FA"/>
    <w:rsid w:val="2BC44E2A"/>
    <w:rsid w:val="2BD4056E"/>
    <w:rsid w:val="2C045177"/>
    <w:rsid w:val="2CC578D1"/>
    <w:rsid w:val="2CCC2AC0"/>
    <w:rsid w:val="2CF268CC"/>
    <w:rsid w:val="2CF34BD4"/>
    <w:rsid w:val="2D191EBA"/>
    <w:rsid w:val="2D306B61"/>
    <w:rsid w:val="2D341991"/>
    <w:rsid w:val="2D400CEC"/>
    <w:rsid w:val="2D61555D"/>
    <w:rsid w:val="2D8522DC"/>
    <w:rsid w:val="2DB6680D"/>
    <w:rsid w:val="2DC234A9"/>
    <w:rsid w:val="2E103E50"/>
    <w:rsid w:val="2E104919"/>
    <w:rsid w:val="2E5E5779"/>
    <w:rsid w:val="2E7F7EB2"/>
    <w:rsid w:val="2EC54FFE"/>
    <w:rsid w:val="2EDE33AB"/>
    <w:rsid w:val="2F0156EA"/>
    <w:rsid w:val="2F5B03C6"/>
    <w:rsid w:val="2F8B6E46"/>
    <w:rsid w:val="2FA637BB"/>
    <w:rsid w:val="2FBE574C"/>
    <w:rsid w:val="2FD31FC4"/>
    <w:rsid w:val="2FE57AEC"/>
    <w:rsid w:val="307B7C54"/>
    <w:rsid w:val="309836C0"/>
    <w:rsid w:val="30A8164B"/>
    <w:rsid w:val="30E613D5"/>
    <w:rsid w:val="30FC7FB5"/>
    <w:rsid w:val="31066357"/>
    <w:rsid w:val="310D6A0C"/>
    <w:rsid w:val="31112FB8"/>
    <w:rsid w:val="322D2025"/>
    <w:rsid w:val="323C737B"/>
    <w:rsid w:val="324A4BBD"/>
    <w:rsid w:val="32505226"/>
    <w:rsid w:val="328726C9"/>
    <w:rsid w:val="328F4B4C"/>
    <w:rsid w:val="329B1B53"/>
    <w:rsid w:val="32B6153E"/>
    <w:rsid w:val="333D22CA"/>
    <w:rsid w:val="335D3069"/>
    <w:rsid w:val="33664349"/>
    <w:rsid w:val="33BA34F4"/>
    <w:rsid w:val="33CD65D6"/>
    <w:rsid w:val="34384578"/>
    <w:rsid w:val="34505616"/>
    <w:rsid w:val="3481653F"/>
    <w:rsid w:val="34BE582A"/>
    <w:rsid w:val="34D273D8"/>
    <w:rsid w:val="34F313C3"/>
    <w:rsid w:val="352B3CEA"/>
    <w:rsid w:val="356979AE"/>
    <w:rsid w:val="356E0774"/>
    <w:rsid w:val="35895AED"/>
    <w:rsid w:val="35B95099"/>
    <w:rsid w:val="35C61DC8"/>
    <w:rsid w:val="35E02176"/>
    <w:rsid w:val="35EB0C0B"/>
    <w:rsid w:val="36253076"/>
    <w:rsid w:val="362B66F7"/>
    <w:rsid w:val="365264A3"/>
    <w:rsid w:val="36633EA0"/>
    <w:rsid w:val="366505C0"/>
    <w:rsid w:val="36931F4E"/>
    <w:rsid w:val="36973134"/>
    <w:rsid w:val="369D4AFB"/>
    <w:rsid w:val="36A47D9E"/>
    <w:rsid w:val="36B35909"/>
    <w:rsid w:val="36D80B7F"/>
    <w:rsid w:val="36DB4345"/>
    <w:rsid w:val="36EC58E0"/>
    <w:rsid w:val="36F01248"/>
    <w:rsid w:val="37286BFC"/>
    <w:rsid w:val="37300C14"/>
    <w:rsid w:val="373C710A"/>
    <w:rsid w:val="37F3463A"/>
    <w:rsid w:val="381456D7"/>
    <w:rsid w:val="38263DA0"/>
    <w:rsid w:val="386C1915"/>
    <w:rsid w:val="38742402"/>
    <w:rsid w:val="388B09FA"/>
    <w:rsid w:val="38915C50"/>
    <w:rsid w:val="39055C49"/>
    <w:rsid w:val="397E69BE"/>
    <w:rsid w:val="39876C41"/>
    <w:rsid w:val="399D4DF5"/>
    <w:rsid w:val="39DC57EE"/>
    <w:rsid w:val="3A120531"/>
    <w:rsid w:val="3A2B180B"/>
    <w:rsid w:val="3A4A4F03"/>
    <w:rsid w:val="3A6406C3"/>
    <w:rsid w:val="3A672E20"/>
    <w:rsid w:val="3A8E5908"/>
    <w:rsid w:val="3ADA3776"/>
    <w:rsid w:val="3B055E84"/>
    <w:rsid w:val="3B432B4A"/>
    <w:rsid w:val="3B4D5FE3"/>
    <w:rsid w:val="3B825CC6"/>
    <w:rsid w:val="3B9552C2"/>
    <w:rsid w:val="3B97203E"/>
    <w:rsid w:val="3BA93FC4"/>
    <w:rsid w:val="3BC30761"/>
    <w:rsid w:val="3BDD6EFB"/>
    <w:rsid w:val="3BEB6F06"/>
    <w:rsid w:val="3BF34CA2"/>
    <w:rsid w:val="3C221152"/>
    <w:rsid w:val="3C3B7D69"/>
    <w:rsid w:val="3C49121B"/>
    <w:rsid w:val="3C906486"/>
    <w:rsid w:val="3CCB705B"/>
    <w:rsid w:val="3CE50D05"/>
    <w:rsid w:val="3D20116D"/>
    <w:rsid w:val="3D3122AD"/>
    <w:rsid w:val="3D4536DB"/>
    <w:rsid w:val="3D544521"/>
    <w:rsid w:val="3D602918"/>
    <w:rsid w:val="3D8375CF"/>
    <w:rsid w:val="3DB251DC"/>
    <w:rsid w:val="3DFC6F2A"/>
    <w:rsid w:val="3DFF0D90"/>
    <w:rsid w:val="3E65491C"/>
    <w:rsid w:val="3E9F214D"/>
    <w:rsid w:val="3EA15B24"/>
    <w:rsid w:val="3EAB664F"/>
    <w:rsid w:val="3ECC3D62"/>
    <w:rsid w:val="3EDE5957"/>
    <w:rsid w:val="3F4C4AAC"/>
    <w:rsid w:val="3FA353D1"/>
    <w:rsid w:val="3FFC3EE0"/>
    <w:rsid w:val="40285734"/>
    <w:rsid w:val="404606C5"/>
    <w:rsid w:val="404F43F2"/>
    <w:rsid w:val="40C33E8C"/>
    <w:rsid w:val="40C47A66"/>
    <w:rsid w:val="40C50C06"/>
    <w:rsid w:val="40CF0E2E"/>
    <w:rsid w:val="40D375B3"/>
    <w:rsid w:val="40D52CD4"/>
    <w:rsid w:val="40DC0547"/>
    <w:rsid w:val="40F22086"/>
    <w:rsid w:val="410055EA"/>
    <w:rsid w:val="410B5F36"/>
    <w:rsid w:val="411A496E"/>
    <w:rsid w:val="413B4A9E"/>
    <w:rsid w:val="414554EA"/>
    <w:rsid w:val="41734B32"/>
    <w:rsid w:val="41985742"/>
    <w:rsid w:val="41A767BA"/>
    <w:rsid w:val="42030EFA"/>
    <w:rsid w:val="420600B5"/>
    <w:rsid w:val="42137E49"/>
    <w:rsid w:val="423B491C"/>
    <w:rsid w:val="423E34FC"/>
    <w:rsid w:val="427E23AB"/>
    <w:rsid w:val="42AD30F5"/>
    <w:rsid w:val="42FF280A"/>
    <w:rsid w:val="430A7A25"/>
    <w:rsid w:val="43291DB2"/>
    <w:rsid w:val="43597FF0"/>
    <w:rsid w:val="435D7F7A"/>
    <w:rsid w:val="436B059C"/>
    <w:rsid w:val="436C6FF9"/>
    <w:rsid w:val="4372602B"/>
    <w:rsid w:val="438117CF"/>
    <w:rsid w:val="43997839"/>
    <w:rsid w:val="44B10EE9"/>
    <w:rsid w:val="44C74BFE"/>
    <w:rsid w:val="45325EA8"/>
    <w:rsid w:val="456D228A"/>
    <w:rsid w:val="45D67A09"/>
    <w:rsid w:val="45F73B10"/>
    <w:rsid w:val="46692CE5"/>
    <w:rsid w:val="466A6B0C"/>
    <w:rsid w:val="46A67EFA"/>
    <w:rsid w:val="46BE4002"/>
    <w:rsid w:val="46C37154"/>
    <w:rsid w:val="470D05B5"/>
    <w:rsid w:val="470E016E"/>
    <w:rsid w:val="475C5B96"/>
    <w:rsid w:val="476E292E"/>
    <w:rsid w:val="47B55C38"/>
    <w:rsid w:val="47E04B82"/>
    <w:rsid w:val="480B4E1D"/>
    <w:rsid w:val="4837659A"/>
    <w:rsid w:val="48912283"/>
    <w:rsid w:val="492B0560"/>
    <w:rsid w:val="496013F6"/>
    <w:rsid w:val="49891431"/>
    <w:rsid w:val="49924968"/>
    <w:rsid w:val="49A31940"/>
    <w:rsid w:val="49A54E81"/>
    <w:rsid w:val="49AA5DF0"/>
    <w:rsid w:val="49B72CF1"/>
    <w:rsid w:val="49E51357"/>
    <w:rsid w:val="4A5E7304"/>
    <w:rsid w:val="4ACF253B"/>
    <w:rsid w:val="4AEE4E55"/>
    <w:rsid w:val="4B2E1F51"/>
    <w:rsid w:val="4B4675A6"/>
    <w:rsid w:val="4B655078"/>
    <w:rsid w:val="4B790B54"/>
    <w:rsid w:val="4B831C64"/>
    <w:rsid w:val="4B9750EA"/>
    <w:rsid w:val="4BB44E59"/>
    <w:rsid w:val="4BCD10AB"/>
    <w:rsid w:val="4BFC7E29"/>
    <w:rsid w:val="4C082092"/>
    <w:rsid w:val="4C1314B6"/>
    <w:rsid w:val="4C161E30"/>
    <w:rsid w:val="4C1C30CF"/>
    <w:rsid w:val="4C7873AB"/>
    <w:rsid w:val="4C7B348D"/>
    <w:rsid w:val="4C82561F"/>
    <w:rsid w:val="4C9C309D"/>
    <w:rsid w:val="4CD15E24"/>
    <w:rsid w:val="4D2D4F03"/>
    <w:rsid w:val="4D433C85"/>
    <w:rsid w:val="4D4914C0"/>
    <w:rsid w:val="4D71452F"/>
    <w:rsid w:val="4D734E69"/>
    <w:rsid w:val="4D971D71"/>
    <w:rsid w:val="4DB4008D"/>
    <w:rsid w:val="4DC1358A"/>
    <w:rsid w:val="4DC94F7A"/>
    <w:rsid w:val="4DD106AC"/>
    <w:rsid w:val="4DED3AAA"/>
    <w:rsid w:val="4E074DBD"/>
    <w:rsid w:val="4E3D13BA"/>
    <w:rsid w:val="4E491EF4"/>
    <w:rsid w:val="4EA8676B"/>
    <w:rsid w:val="4F70137C"/>
    <w:rsid w:val="4F7218A2"/>
    <w:rsid w:val="4F8B1191"/>
    <w:rsid w:val="4FAD66F4"/>
    <w:rsid w:val="500348AB"/>
    <w:rsid w:val="501A31A9"/>
    <w:rsid w:val="502D3DD0"/>
    <w:rsid w:val="504D4F4C"/>
    <w:rsid w:val="50666CEF"/>
    <w:rsid w:val="510A7086"/>
    <w:rsid w:val="511D1383"/>
    <w:rsid w:val="51686DE0"/>
    <w:rsid w:val="516E18F6"/>
    <w:rsid w:val="51813954"/>
    <w:rsid w:val="519A0115"/>
    <w:rsid w:val="51CB79AB"/>
    <w:rsid w:val="51CE7A1A"/>
    <w:rsid w:val="51D64A0D"/>
    <w:rsid w:val="51EE45F7"/>
    <w:rsid w:val="51F16F40"/>
    <w:rsid w:val="5261264D"/>
    <w:rsid w:val="52A32873"/>
    <w:rsid w:val="52A4714D"/>
    <w:rsid w:val="52D5405B"/>
    <w:rsid w:val="537C620E"/>
    <w:rsid w:val="53B353C4"/>
    <w:rsid w:val="53E12686"/>
    <w:rsid w:val="53FF2B0A"/>
    <w:rsid w:val="542E2387"/>
    <w:rsid w:val="54375765"/>
    <w:rsid w:val="547635C3"/>
    <w:rsid w:val="547D0220"/>
    <w:rsid w:val="54966A37"/>
    <w:rsid w:val="54AE0E21"/>
    <w:rsid w:val="54B11BF7"/>
    <w:rsid w:val="54BC6BC2"/>
    <w:rsid w:val="54BD36D6"/>
    <w:rsid w:val="54E32795"/>
    <w:rsid w:val="550035EB"/>
    <w:rsid w:val="552408A2"/>
    <w:rsid w:val="552B495D"/>
    <w:rsid w:val="55521606"/>
    <w:rsid w:val="55632CF6"/>
    <w:rsid w:val="557E415E"/>
    <w:rsid w:val="559C3B78"/>
    <w:rsid w:val="55A45A35"/>
    <w:rsid w:val="55B50024"/>
    <w:rsid w:val="55B9087C"/>
    <w:rsid w:val="55DA487D"/>
    <w:rsid w:val="562B6930"/>
    <w:rsid w:val="56604132"/>
    <w:rsid w:val="56631897"/>
    <w:rsid w:val="568825B9"/>
    <w:rsid w:val="56966DA2"/>
    <w:rsid w:val="56BB6E53"/>
    <w:rsid w:val="56DB2751"/>
    <w:rsid w:val="56FD7A71"/>
    <w:rsid w:val="571D7AD2"/>
    <w:rsid w:val="576E797B"/>
    <w:rsid w:val="57A42E69"/>
    <w:rsid w:val="57B761DB"/>
    <w:rsid w:val="57CC07C7"/>
    <w:rsid w:val="57E74426"/>
    <w:rsid w:val="583527FE"/>
    <w:rsid w:val="58493639"/>
    <w:rsid w:val="584C6011"/>
    <w:rsid w:val="584F60EE"/>
    <w:rsid w:val="589301F4"/>
    <w:rsid w:val="589E5684"/>
    <w:rsid w:val="58B026DF"/>
    <w:rsid w:val="59372AA2"/>
    <w:rsid w:val="595E7566"/>
    <w:rsid w:val="598C3A79"/>
    <w:rsid w:val="599812E5"/>
    <w:rsid w:val="59B9671F"/>
    <w:rsid w:val="59CC4EE0"/>
    <w:rsid w:val="59EF4490"/>
    <w:rsid w:val="5A337429"/>
    <w:rsid w:val="5A606BFC"/>
    <w:rsid w:val="5A7536F8"/>
    <w:rsid w:val="5A8A6FE4"/>
    <w:rsid w:val="5A921A6F"/>
    <w:rsid w:val="5A94527D"/>
    <w:rsid w:val="5AA14217"/>
    <w:rsid w:val="5AED246F"/>
    <w:rsid w:val="5B2C5C96"/>
    <w:rsid w:val="5B345F67"/>
    <w:rsid w:val="5B577E76"/>
    <w:rsid w:val="5B6A3C15"/>
    <w:rsid w:val="5B6D3F39"/>
    <w:rsid w:val="5BA86B79"/>
    <w:rsid w:val="5BAB57F8"/>
    <w:rsid w:val="5BE54158"/>
    <w:rsid w:val="5BF11894"/>
    <w:rsid w:val="5C6A0C6B"/>
    <w:rsid w:val="5C7240D4"/>
    <w:rsid w:val="5C8B2909"/>
    <w:rsid w:val="5CBA6764"/>
    <w:rsid w:val="5CC0312F"/>
    <w:rsid w:val="5CCB2156"/>
    <w:rsid w:val="5CCF6F29"/>
    <w:rsid w:val="5CF90314"/>
    <w:rsid w:val="5D396AF3"/>
    <w:rsid w:val="5D651C60"/>
    <w:rsid w:val="5D77084D"/>
    <w:rsid w:val="5D981475"/>
    <w:rsid w:val="5DB07601"/>
    <w:rsid w:val="5DF80830"/>
    <w:rsid w:val="5E2C47BA"/>
    <w:rsid w:val="5E3509FD"/>
    <w:rsid w:val="5E6205CA"/>
    <w:rsid w:val="5E666C1C"/>
    <w:rsid w:val="5E89337E"/>
    <w:rsid w:val="5EC36660"/>
    <w:rsid w:val="5EDC74F1"/>
    <w:rsid w:val="5EF76AF1"/>
    <w:rsid w:val="5F0E466E"/>
    <w:rsid w:val="5F493F95"/>
    <w:rsid w:val="5F7712B3"/>
    <w:rsid w:val="5F891558"/>
    <w:rsid w:val="5F990C37"/>
    <w:rsid w:val="5F9E0AB5"/>
    <w:rsid w:val="6005415B"/>
    <w:rsid w:val="6035649E"/>
    <w:rsid w:val="603776DA"/>
    <w:rsid w:val="60797ECD"/>
    <w:rsid w:val="608379BC"/>
    <w:rsid w:val="609D6CD6"/>
    <w:rsid w:val="60A924A6"/>
    <w:rsid w:val="60F5036B"/>
    <w:rsid w:val="61106A90"/>
    <w:rsid w:val="612B548C"/>
    <w:rsid w:val="6133160F"/>
    <w:rsid w:val="617C6B62"/>
    <w:rsid w:val="619D34BB"/>
    <w:rsid w:val="61AB51D0"/>
    <w:rsid w:val="61AF19C8"/>
    <w:rsid w:val="61B25CAB"/>
    <w:rsid w:val="61DA138A"/>
    <w:rsid w:val="61E80FE9"/>
    <w:rsid w:val="6236544E"/>
    <w:rsid w:val="62661BC0"/>
    <w:rsid w:val="62905E0E"/>
    <w:rsid w:val="62B74455"/>
    <w:rsid w:val="633544AB"/>
    <w:rsid w:val="633767A9"/>
    <w:rsid w:val="63800F4A"/>
    <w:rsid w:val="64180CD3"/>
    <w:rsid w:val="64354802"/>
    <w:rsid w:val="643826C6"/>
    <w:rsid w:val="64CD28AC"/>
    <w:rsid w:val="64D51848"/>
    <w:rsid w:val="65416457"/>
    <w:rsid w:val="656C4491"/>
    <w:rsid w:val="65716BAE"/>
    <w:rsid w:val="65833513"/>
    <w:rsid w:val="65B2515C"/>
    <w:rsid w:val="65B7046E"/>
    <w:rsid w:val="65FF7928"/>
    <w:rsid w:val="66025E2A"/>
    <w:rsid w:val="660F47D1"/>
    <w:rsid w:val="662C1AAA"/>
    <w:rsid w:val="667B55C0"/>
    <w:rsid w:val="66822F5F"/>
    <w:rsid w:val="668E0DF8"/>
    <w:rsid w:val="66A81885"/>
    <w:rsid w:val="670A0C0D"/>
    <w:rsid w:val="670B3AD6"/>
    <w:rsid w:val="670E24A3"/>
    <w:rsid w:val="67114B39"/>
    <w:rsid w:val="67254A0C"/>
    <w:rsid w:val="67815F3D"/>
    <w:rsid w:val="678D73DA"/>
    <w:rsid w:val="679D29F1"/>
    <w:rsid w:val="67B832CD"/>
    <w:rsid w:val="67BA4FAF"/>
    <w:rsid w:val="67D70D69"/>
    <w:rsid w:val="67D976D5"/>
    <w:rsid w:val="67F8351F"/>
    <w:rsid w:val="67F911EE"/>
    <w:rsid w:val="680F122E"/>
    <w:rsid w:val="6826548A"/>
    <w:rsid w:val="683F30FE"/>
    <w:rsid w:val="68683080"/>
    <w:rsid w:val="68B42E16"/>
    <w:rsid w:val="69054E81"/>
    <w:rsid w:val="69313B09"/>
    <w:rsid w:val="69A004FC"/>
    <w:rsid w:val="6A0C1E3A"/>
    <w:rsid w:val="6A2477ED"/>
    <w:rsid w:val="6A496B74"/>
    <w:rsid w:val="6ABE1033"/>
    <w:rsid w:val="6B340C6B"/>
    <w:rsid w:val="6B695969"/>
    <w:rsid w:val="6B750D8C"/>
    <w:rsid w:val="6B975345"/>
    <w:rsid w:val="6B9833BE"/>
    <w:rsid w:val="6BAE722A"/>
    <w:rsid w:val="6BE3540D"/>
    <w:rsid w:val="6C3F7978"/>
    <w:rsid w:val="6C772A2C"/>
    <w:rsid w:val="6CF45DAC"/>
    <w:rsid w:val="6DAB3ED9"/>
    <w:rsid w:val="6DB34A63"/>
    <w:rsid w:val="6DC1145A"/>
    <w:rsid w:val="6DF84EE3"/>
    <w:rsid w:val="6E034E25"/>
    <w:rsid w:val="6E152A45"/>
    <w:rsid w:val="6E3A1CA5"/>
    <w:rsid w:val="6E7D42A3"/>
    <w:rsid w:val="6E8B32FE"/>
    <w:rsid w:val="6E8D61CD"/>
    <w:rsid w:val="6E8F7D82"/>
    <w:rsid w:val="6EC34C6F"/>
    <w:rsid w:val="6F102712"/>
    <w:rsid w:val="6F850CE8"/>
    <w:rsid w:val="6F8651C6"/>
    <w:rsid w:val="6FD03C8D"/>
    <w:rsid w:val="708745A7"/>
    <w:rsid w:val="70975C2C"/>
    <w:rsid w:val="70C42741"/>
    <w:rsid w:val="70C648F6"/>
    <w:rsid w:val="70F63163"/>
    <w:rsid w:val="70F800EB"/>
    <w:rsid w:val="70F92CD6"/>
    <w:rsid w:val="710B6121"/>
    <w:rsid w:val="711427E5"/>
    <w:rsid w:val="713D372A"/>
    <w:rsid w:val="7144719B"/>
    <w:rsid w:val="71561E5E"/>
    <w:rsid w:val="71B72F62"/>
    <w:rsid w:val="71C967A0"/>
    <w:rsid w:val="724849E6"/>
    <w:rsid w:val="7271745F"/>
    <w:rsid w:val="728656FE"/>
    <w:rsid w:val="72DA151E"/>
    <w:rsid w:val="730F64FC"/>
    <w:rsid w:val="734E1139"/>
    <w:rsid w:val="73A33BD5"/>
    <w:rsid w:val="73BC07AA"/>
    <w:rsid w:val="73E96659"/>
    <w:rsid w:val="74246842"/>
    <w:rsid w:val="74471E9E"/>
    <w:rsid w:val="745A2085"/>
    <w:rsid w:val="746D6F23"/>
    <w:rsid w:val="74750647"/>
    <w:rsid w:val="748F15B9"/>
    <w:rsid w:val="74C92346"/>
    <w:rsid w:val="74E03E87"/>
    <w:rsid w:val="755556EE"/>
    <w:rsid w:val="75837206"/>
    <w:rsid w:val="75D10B11"/>
    <w:rsid w:val="75E41E79"/>
    <w:rsid w:val="75EB5152"/>
    <w:rsid w:val="75FF5CAF"/>
    <w:rsid w:val="76461C08"/>
    <w:rsid w:val="76491C49"/>
    <w:rsid w:val="769A409C"/>
    <w:rsid w:val="76C62B85"/>
    <w:rsid w:val="76D50E91"/>
    <w:rsid w:val="76FE0E6C"/>
    <w:rsid w:val="77317359"/>
    <w:rsid w:val="776F5602"/>
    <w:rsid w:val="77C3215C"/>
    <w:rsid w:val="77D342D3"/>
    <w:rsid w:val="781B4757"/>
    <w:rsid w:val="78282F82"/>
    <w:rsid w:val="78793763"/>
    <w:rsid w:val="78EA1606"/>
    <w:rsid w:val="793D0C1F"/>
    <w:rsid w:val="79771051"/>
    <w:rsid w:val="79964D9E"/>
    <w:rsid w:val="79A23B15"/>
    <w:rsid w:val="79CC256C"/>
    <w:rsid w:val="79FC78F7"/>
    <w:rsid w:val="7A447204"/>
    <w:rsid w:val="7A6E29DC"/>
    <w:rsid w:val="7A6F307E"/>
    <w:rsid w:val="7A721CF6"/>
    <w:rsid w:val="7A7C1790"/>
    <w:rsid w:val="7ABE5DB5"/>
    <w:rsid w:val="7AC7687E"/>
    <w:rsid w:val="7AEA2D29"/>
    <w:rsid w:val="7B564300"/>
    <w:rsid w:val="7B86775B"/>
    <w:rsid w:val="7B8C2F50"/>
    <w:rsid w:val="7BD00AC7"/>
    <w:rsid w:val="7BD87F3B"/>
    <w:rsid w:val="7C315AAD"/>
    <w:rsid w:val="7C362596"/>
    <w:rsid w:val="7C5D0803"/>
    <w:rsid w:val="7C8D009F"/>
    <w:rsid w:val="7C950A0B"/>
    <w:rsid w:val="7CEE2E9A"/>
    <w:rsid w:val="7D2A29F1"/>
    <w:rsid w:val="7D2B0BD0"/>
    <w:rsid w:val="7D3E71B2"/>
    <w:rsid w:val="7D3F4E53"/>
    <w:rsid w:val="7D4520AD"/>
    <w:rsid w:val="7D7C4568"/>
    <w:rsid w:val="7D8B57B4"/>
    <w:rsid w:val="7D9C5C1D"/>
    <w:rsid w:val="7DB55EDE"/>
    <w:rsid w:val="7DCE7A21"/>
    <w:rsid w:val="7DD055D2"/>
    <w:rsid w:val="7DD42213"/>
    <w:rsid w:val="7DF67C77"/>
    <w:rsid w:val="7E27664C"/>
    <w:rsid w:val="7E4436DC"/>
    <w:rsid w:val="7E522C7B"/>
    <w:rsid w:val="7E6A3BB9"/>
    <w:rsid w:val="7E725FD3"/>
    <w:rsid w:val="7E89234E"/>
    <w:rsid w:val="7E8C0973"/>
    <w:rsid w:val="7E9E4723"/>
    <w:rsid w:val="7EDE3D97"/>
    <w:rsid w:val="7EE6449F"/>
    <w:rsid w:val="7EFF5F5E"/>
    <w:rsid w:val="7F2A7062"/>
    <w:rsid w:val="7F4169A9"/>
    <w:rsid w:val="7F923D51"/>
    <w:rsid w:val="7FAD687A"/>
    <w:rsid w:val="7FEB1173"/>
    <w:rsid w:val="B59DA9B5"/>
    <w:rsid w:val="EFEFD9C1"/>
    <w:rsid w:val="FFF680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3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5"/>
    <w:qFormat/>
    <w:uiPriority w:val="9"/>
    <w:pPr>
      <w:keepNext/>
      <w:keepLines/>
      <w:spacing w:before="340" w:after="330" w:line="578" w:lineRule="auto"/>
      <w:outlineLvl w:val="0"/>
    </w:pPr>
    <w:rPr>
      <w:rFonts w:eastAsia="楷体_GB2312"/>
      <w:b/>
      <w:bCs/>
      <w:kern w:val="44"/>
      <w:sz w:val="32"/>
      <w:szCs w:val="44"/>
    </w:rPr>
  </w:style>
  <w:style w:type="paragraph" w:styleId="4">
    <w:name w:val="heading 2"/>
    <w:basedOn w:val="1"/>
    <w:next w:val="1"/>
    <w:link w:val="23"/>
    <w:qFormat/>
    <w:uiPriority w:val="9"/>
    <w:pPr>
      <w:keepNext/>
      <w:keepLines/>
      <w:spacing w:before="260" w:after="260" w:line="416" w:lineRule="auto"/>
      <w:outlineLvl w:val="1"/>
    </w:pPr>
    <w:rPr>
      <w:rFonts w:ascii="等线 Light" w:hAnsi="等线 Light" w:eastAsia="楷体_GB2312"/>
      <w:b/>
      <w:bCs/>
      <w:kern w:val="0"/>
      <w:sz w:val="32"/>
      <w:szCs w:val="32"/>
    </w:rPr>
  </w:style>
  <w:style w:type="paragraph" w:styleId="5">
    <w:name w:val="heading 3"/>
    <w:basedOn w:val="1"/>
    <w:next w:val="1"/>
    <w:link w:val="19"/>
    <w:unhideWhenUsed/>
    <w:qFormat/>
    <w:uiPriority w:val="9"/>
    <w:pPr>
      <w:keepNext/>
      <w:keepLines/>
      <w:spacing w:before="260" w:after="260" w:line="415" w:lineRule="auto"/>
      <w:ind w:left="200" w:leftChars="200"/>
      <w:outlineLvl w:val="2"/>
      <w:pPrChange w:id="0" w:author="XIE XIN" w:date="2020-06-02T20:01:00Z">
        <w:pPr>
          <w:keepNext/>
          <w:keepLines/>
          <w:widowControl w:val="0"/>
          <w:spacing w:before="260" w:after="260" w:line="416" w:lineRule="auto"/>
          <w:jc w:val="both"/>
          <w:outlineLvl w:val="2"/>
        </w:pPr>
      </w:pPrChange>
    </w:pPr>
    <w:rPr>
      <w:rFonts w:eastAsia="仿宋_GB2312"/>
      <w:b/>
      <w:bCs/>
      <w:sz w:val="32"/>
      <w:szCs w:val="32"/>
      <w:rPrChange w:id="1" w:author="XIE XIN" w:date="2020-06-02T20:01:00Z">
        <w:rPr>
          <w:rFonts w:eastAsia="仿宋_GB2312"/>
          <w:bCs/>
          <w:kern w:val="2"/>
          <w:sz w:val="32"/>
          <w:szCs w:val="32"/>
          <w:lang w:val="en-US" w:eastAsia="zh-CN" w:bidi="ar-SA"/>
        </w:rPr>
      </w:rPrChange>
    </w:rPr>
  </w:style>
  <w:style w:type="character" w:default="1" w:styleId="15">
    <w:name w:val="Default Paragraph Font"/>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toc 2"/>
    <w:basedOn w:val="1"/>
    <w:next w:val="1"/>
    <w:unhideWhenUsed/>
    <w:qFormat/>
    <w:uiPriority w:val="39"/>
    <w:pPr>
      <w:spacing w:line="360" w:lineRule="auto"/>
      <w:ind w:left="420" w:leftChars="200"/>
    </w:pPr>
    <w:rPr>
      <w:rFonts w:ascii="Calibri" w:hAnsi="Calibri"/>
      <w:kern w:val="0"/>
      <w:szCs w:val="32"/>
    </w:rPr>
  </w:style>
  <w:style w:type="paragraph" w:styleId="6">
    <w:name w:val="annotation text"/>
    <w:basedOn w:val="1"/>
    <w:semiHidden/>
    <w:unhideWhenUsed/>
    <w:qFormat/>
    <w:uiPriority w:val="99"/>
    <w:pPr>
      <w:jc w:val="left"/>
    </w:pPr>
  </w:style>
  <w:style w:type="paragraph" w:styleId="7">
    <w:name w:val="toc 3"/>
    <w:basedOn w:val="1"/>
    <w:next w:val="1"/>
    <w:unhideWhenUsed/>
    <w:qFormat/>
    <w:uiPriority w:val="39"/>
    <w:pPr>
      <w:widowControl/>
      <w:spacing w:after="100" w:line="259" w:lineRule="auto"/>
      <w:ind w:left="440"/>
      <w:jc w:val="left"/>
    </w:pPr>
    <w:rPr>
      <w:rFonts w:asciiTheme="minorHAnsi" w:hAnsiTheme="minorHAnsi" w:eastAsiaTheme="minorEastAsia"/>
      <w:kern w:val="0"/>
      <w:sz w:val="22"/>
      <w:szCs w:val="22"/>
    </w:rPr>
  </w:style>
  <w:style w:type="paragraph" w:styleId="8">
    <w:name w:val="Balloon Text"/>
    <w:basedOn w:val="1"/>
    <w:link w:val="20"/>
    <w:semiHidden/>
    <w:unhideWhenUsed/>
    <w:qFormat/>
    <w:uiPriority w:val="99"/>
    <w:rPr>
      <w:sz w:val="18"/>
      <w:szCs w:val="18"/>
    </w:rPr>
  </w:style>
  <w:style w:type="paragraph" w:styleId="9">
    <w:name w:val="footer"/>
    <w:basedOn w:val="1"/>
    <w:link w:val="28"/>
    <w:unhideWhenUsed/>
    <w:qFormat/>
    <w:uiPriority w:val="99"/>
    <w:pPr>
      <w:tabs>
        <w:tab w:val="center" w:pos="4153"/>
        <w:tab w:val="right" w:pos="8306"/>
      </w:tabs>
      <w:snapToGrid w:val="0"/>
      <w:jc w:val="left"/>
    </w:pPr>
    <w:rPr>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2">
    <w:name w:val="Subtitle"/>
    <w:basedOn w:val="1"/>
    <w:next w:val="1"/>
    <w:link w:val="21"/>
    <w:qFormat/>
    <w:uiPriority w:val="11"/>
    <w:pPr>
      <w:spacing w:before="240" w:after="60" w:line="312" w:lineRule="auto"/>
      <w:jc w:val="center"/>
      <w:outlineLvl w:val="1"/>
    </w:pPr>
    <w:rPr>
      <w:rFonts w:ascii="等线 Light" w:hAnsi="等线 Light"/>
      <w:b/>
      <w:bCs/>
      <w:kern w:val="28"/>
      <w:sz w:val="32"/>
      <w:szCs w:val="32"/>
    </w:rPr>
  </w:style>
  <w:style w:type="paragraph" w:styleId="13">
    <w:name w:val="Title"/>
    <w:basedOn w:val="3"/>
    <w:next w:val="1"/>
    <w:link w:val="24"/>
    <w:qFormat/>
    <w:uiPriority w:val="0"/>
    <w:pPr>
      <w:spacing w:line="360" w:lineRule="auto"/>
      <w:ind w:firstLine="880" w:firstLineChars="200"/>
      <w:jc w:val="left"/>
    </w:pPr>
    <w:rPr>
      <w:rFonts w:ascii="Cambria" w:hAnsi="Cambria" w:eastAsia="黑体"/>
      <w:b w:val="0"/>
      <w:bCs w:val="0"/>
      <w:kern w:val="2"/>
    </w:rPr>
  </w:style>
  <w:style w:type="character" w:styleId="16">
    <w:name w:val="Hyperlink"/>
    <w:basedOn w:val="15"/>
    <w:unhideWhenUsed/>
    <w:qFormat/>
    <w:uiPriority w:val="99"/>
    <w:rPr>
      <w:color w:val="0563C1" w:themeColor="hyperlink"/>
      <w:u w:val="single"/>
      <w14:textFill>
        <w14:solidFill>
          <w14:schemeClr w14:val="hlink"/>
        </w14:solidFill>
      </w14:textFill>
    </w:rPr>
  </w:style>
  <w:style w:type="character" w:styleId="17">
    <w:name w:val="annotation reference"/>
    <w:basedOn w:val="15"/>
    <w:semiHidden/>
    <w:unhideWhenUsed/>
    <w:qFormat/>
    <w:uiPriority w:val="99"/>
    <w:rPr>
      <w:sz w:val="21"/>
      <w:szCs w:val="21"/>
    </w:rPr>
  </w:style>
  <w:style w:type="paragraph" w:customStyle="1" w:styleId="18">
    <w:name w:val="样式1"/>
    <w:basedOn w:val="5"/>
    <w:next w:val="1"/>
    <w:qFormat/>
    <w:uiPriority w:val="0"/>
    <w:pPr>
      <w:keepNext w:val="0"/>
      <w:keepLines w:val="0"/>
      <w:widowControl/>
      <w:spacing w:before="100" w:beforeAutospacing="1" w:after="100" w:afterAutospacing="1" w:line="360" w:lineRule="auto"/>
      <w:ind w:firstLine="880" w:firstLineChars="200"/>
      <w:jc w:val="left"/>
    </w:pPr>
    <w:rPr>
      <w:rFonts w:ascii="Arial" w:hAnsi="Arial"/>
      <w:b w:val="0"/>
      <w:kern w:val="0"/>
      <w:szCs w:val="27"/>
    </w:rPr>
  </w:style>
  <w:style w:type="character" w:customStyle="1" w:styleId="19">
    <w:name w:val="标题 3 字符"/>
    <w:basedOn w:val="15"/>
    <w:link w:val="5"/>
    <w:qFormat/>
    <w:uiPriority w:val="9"/>
    <w:rPr>
      <w:rFonts w:eastAsia="仿宋_GB2312"/>
      <w:b/>
      <w:bCs/>
      <w:kern w:val="2"/>
      <w:sz w:val="32"/>
      <w:szCs w:val="32"/>
    </w:rPr>
  </w:style>
  <w:style w:type="character" w:customStyle="1" w:styleId="20">
    <w:name w:val="批注框文本 字符"/>
    <w:basedOn w:val="15"/>
    <w:link w:val="8"/>
    <w:semiHidden/>
    <w:qFormat/>
    <w:uiPriority w:val="99"/>
    <w:rPr>
      <w:rFonts w:ascii="Times New Roman" w:hAnsi="Times New Roman" w:eastAsia="宋体" w:cs="Times New Roman"/>
      <w:sz w:val="18"/>
      <w:szCs w:val="18"/>
    </w:rPr>
  </w:style>
  <w:style w:type="character" w:customStyle="1" w:styleId="21">
    <w:name w:val="副标题 字符"/>
    <w:basedOn w:val="15"/>
    <w:link w:val="12"/>
    <w:qFormat/>
    <w:uiPriority w:val="11"/>
    <w:rPr>
      <w:rFonts w:ascii="等线 Light" w:hAnsi="等线 Light" w:eastAsia="宋体" w:cs="Times New Roman"/>
      <w:b/>
      <w:bCs/>
      <w:kern w:val="28"/>
      <w:sz w:val="32"/>
      <w:szCs w:val="32"/>
    </w:rPr>
  </w:style>
  <w:style w:type="paragraph" w:customStyle="1" w:styleId="22">
    <w:name w:val="1."/>
    <w:basedOn w:val="5"/>
    <w:qFormat/>
    <w:uiPriority w:val="0"/>
    <w:pPr>
      <w:keepNext w:val="0"/>
      <w:keepLines w:val="0"/>
      <w:widowControl/>
      <w:spacing w:before="100" w:beforeAutospacing="1" w:after="100" w:afterAutospacing="1" w:line="360" w:lineRule="auto"/>
      <w:ind w:firstLine="880" w:firstLineChars="200"/>
      <w:jc w:val="left"/>
    </w:pPr>
    <w:rPr>
      <w:rFonts w:ascii="宋体" w:hAnsi="宋体"/>
      <w:kern w:val="0"/>
      <w:szCs w:val="27"/>
    </w:rPr>
  </w:style>
  <w:style w:type="character" w:customStyle="1" w:styleId="23">
    <w:name w:val="标题 2 字符"/>
    <w:basedOn w:val="15"/>
    <w:link w:val="4"/>
    <w:qFormat/>
    <w:uiPriority w:val="9"/>
    <w:rPr>
      <w:rFonts w:ascii="等线 Light" w:hAnsi="等线 Light" w:eastAsia="楷体_GB2312"/>
      <w:b/>
      <w:bCs/>
      <w:sz w:val="32"/>
      <w:szCs w:val="32"/>
    </w:rPr>
  </w:style>
  <w:style w:type="character" w:customStyle="1" w:styleId="24">
    <w:name w:val="标题 字符"/>
    <w:basedOn w:val="15"/>
    <w:link w:val="13"/>
    <w:qFormat/>
    <w:uiPriority w:val="0"/>
    <w:rPr>
      <w:rFonts w:ascii="Cambria" w:hAnsi="Cambria" w:eastAsia="黑体" w:cs="Times New Roman"/>
      <w:sz w:val="32"/>
      <w:szCs w:val="44"/>
    </w:rPr>
  </w:style>
  <w:style w:type="character" w:customStyle="1" w:styleId="25">
    <w:name w:val="标题 1 字符"/>
    <w:basedOn w:val="15"/>
    <w:link w:val="3"/>
    <w:qFormat/>
    <w:uiPriority w:val="9"/>
    <w:rPr>
      <w:rFonts w:eastAsia="楷体_GB2312"/>
      <w:b/>
      <w:bCs/>
      <w:kern w:val="44"/>
      <w:sz w:val="32"/>
      <w:szCs w:val="44"/>
    </w:rPr>
  </w:style>
  <w:style w:type="paragraph" w:customStyle="1" w:styleId="26">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Cs w:val="32"/>
    </w:rPr>
  </w:style>
  <w:style w:type="character" w:customStyle="1" w:styleId="27">
    <w:name w:val="页眉 字符"/>
    <w:basedOn w:val="15"/>
    <w:link w:val="10"/>
    <w:qFormat/>
    <w:uiPriority w:val="99"/>
    <w:rPr>
      <w:rFonts w:ascii="Times New Roman" w:hAnsi="Times New Roman" w:eastAsia="宋体" w:cs="Times New Roman"/>
      <w:sz w:val="18"/>
      <w:szCs w:val="18"/>
    </w:rPr>
  </w:style>
  <w:style w:type="character" w:customStyle="1" w:styleId="28">
    <w:name w:val="页脚 字符"/>
    <w:basedOn w:val="15"/>
    <w:link w:val="9"/>
    <w:qFormat/>
    <w:uiPriority w:val="99"/>
    <w:rPr>
      <w:rFonts w:ascii="Times New Roman" w:hAnsi="Times New Roman" w:eastAsia="宋体" w:cs="Times New Roman"/>
      <w:sz w:val="18"/>
      <w:szCs w:val="18"/>
    </w:rPr>
  </w:style>
  <w:style w:type="paragraph" w:customStyle="1" w:styleId="29">
    <w:name w:val="（一）"/>
    <w:basedOn w:val="4"/>
    <w:next w:val="1"/>
    <w:qFormat/>
    <w:uiPriority w:val="0"/>
    <w:pPr>
      <w:spacing w:line="360" w:lineRule="auto"/>
    </w:pPr>
    <w:rPr>
      <w:rFonts w:eastAsia="楷体_GB2312"/>
      <w:b w:val="0"/>
    </w:rPr>
  </w:style>
  <w:style w:type="paragraph" w:customStyle="1" w:styleId="30">
    <w:name w:val="_Style 1"/>
    <w:basedOn w:val="1"/>
    <w:qFormat/>
    <w:uiPriority w:val="0"/>
    <w:pPr>
      <w:ind w:firstLine="420"/>
    </w:pPr>
  </w:style>
  <w:style w:type="character" w:customStyle="1" w:styleId="31">
    <w:name w:val="font51"/>
    <w:basedOn w:val="15"/>
    <w:qFormat/>
    <w:uiPriority w:val="0"/>
    <w:rPr>
      <w:rFonts w:ascii="宋体" w:hAnsi="宋体" w:eastAsia="宋体" w:cs="宋体"/>
      <w:b/>
      <w:color w:val="000000"/>
      <w:sz w:val="24"/>
      <w:szCs w:val="24"/>
      <w:u w:val="none"/>
    </w:rPr>
  </w:style>
  <w:style w:type="character" w:customStyle="1" w:styleId="32">
    <w:name w:val="NormalCharacter"/>
    <w:link w:val="1"/>
    <w:semiHidden/>
    <w:qFormat/>
    <w:uiPriority w:val="0"/>
    <w:rPr>
      <w:rFonts w:ascii="Times New Roman" w:hAnsi="Times New Roman" w:eastAsia="宋体" w:cs="Times New Roman"/>
      <w:kern w:val="2"/>
      <w:sz w:val="21"/>
      <w:szCs w:val="24"/>
      <w:lang w:val="en-US" w:eastAsia="zh-CN" w:bidi="ar-SA"/>
    </w:rPr>
  </w:style>
  <w:style w:type="character" w:customStyle="1" w:styleId="33">
    <w:name w:val="font23"/>
    <w:basedOn w:val="15"/>
    <w:qFormat/>
    <w:uiPriority w:val="0"/>
    <w:rPr>
      <w:rFonts w:hint="eastAsia" w:ascii="宋体" w:hAnsi="宋体" w:eastAsia="宋体" w:cs="宋体"/>
      <w:color w:val="363434"/>
      <w:sz w:val="17"/>
      <w:szCs w:val="17"/>
      <w:u w:val="none"/>
    </w:rPr>
  </w:style>
  <w:style w:type="character" w:customStyle="1" w:styleId="34">
    <w:name w:val="font01"/>
    <w:basedOn w:val="15"/>
    <w:qFormat/>
    <w:uiPriority w:val="0"/>
    <w:rPr>
      <w:rFonts w:hint="eastAsia" w:ascii="宋体" w:hAnsi="宋体" w:eastAsia="宋体" w:cs="宋体"/>
      <w:color w:val="494949"/>
      <w:sz w:val="17"/>
      <w:szCs w:val="17"/>
      <w:u w:val="none"/>
    </w:rPr>
  </w:style>
  <w:style w:type="character" w:customStyle="1" w:styleId="35">
    <w:name w:val="font11"/>
    <w:basedOn w:val="15"/>
    <w:qFormat/>
    <w:uiPriority w:val="0"/>
    <w:rPr>
      <w:rFonts w:hint="eastAsia" w:ascii="宋体" w:hAnsi="宋体" w:eastAsia="宋体" w:cs="宋体"/>
      <w:color w:val="6D6D6D"/>
      <w:sz w:val="17"/>
      <w:szCs w:val="17"/>
      <w:u w:val="none"/>
    </w:rPr>
  </w:style>
  <w:style w:type="character" w:customStyle="1" w:styleId="36">
    <w:name w:val="font91"/>
    <w:basedOn w:val="15"/>
    <w:qFormat/>
    <w:uiPriority w:val="0"/>
    <w:rPr>
      <w:rFonts w:hint="eastAsia" w:ascii="宋体" w:hAnsi="宋体" w:eastAsia="宋体" w:cs="宋体"/>
      <w:color w:val="757575"/>
      <w:sz w:val="16"/>
      <w:szCs w:val="16"/>
      <w:u w:val="none"/>
    </w:rPr>
  </w:style>
  <w:style w:type="character" w:customStyle="1" w:styleId="37">
    <w:name w:val="font101"/>
    <w:basedOn w:val="15"/>
    <w:qFormat/>
    <w:uiPriority w:val="0"/>
    <w:rPr>
      <w:rFonts w:hint="eastAsia" w:ascii="宋体" w:hAnsi="宋体" w:eastAsia="宋体" w:cs="宋体"/>
      <w:color w:val="3D3D3D"/>
      <w:sz w:val="16"/>
      <w:szCs w:val="16"/>
      <w:u w:val="none"/>
    </w:rPr>
  </w:style>
  <w:style w:type="character" w:customStyle="1" w:styleId="38">
    <w:name w:val="font121"/>
    <w:basedOn w:val="15"/>
    <w:qFormat/>
    <w:uiPriority w:val="0"/>
    <w:rPr>
      <w:rFonts w:hint="eastAsia" w:ascii="宋体" w:hAnsi="宋体" w:eastAsia="宋体" w:cs="宋体"/>
      <w:color w:val="606060"/>
      <w:sz w:val="16"/>
      <w:szCs w:val="16"/>
      <w:u w:val="none"/>
    </w:rPr>
  </w:style>
  <w:style w:type="character" w:customStyle="1" w:styleId="39">
    <w:name w:val="font112"/>
    <w:basedOn w:val="15"/>
    <w:qFormat/>
    <w:uiPriority w:val="0"/>
    <w:rPr>
      <w:rFonts w:hint="eastAsia" w:ascii="宋体" w:hAnsi="宋体" w:eastAsia="宋体" w:cs="宋体"/>
      <w:color w:val="6E6E6E"/>
      <w:sz w:val="17"/>
      <w:szCs w:val="17"/>
      <w:u w:val="none"/>
    </w:rPr>
  </w:style>
  <w:style w:type="character" w:customStyle="1" w:styleId="40">
    <w:name w:val="font161"/>
    <w:basedOn w:val="15"/>
    <w:qFormat/>
    <w:uiPriority w:val="0"/>
    <w:rPr>
      <w:rFonts w:hint="eastAsia" w:ascii="宋体" w:hAnsi="宋体" w:eastAsia="宋体" w:cs="宋体"/>
      <w:color w:val="363636"/>
      <w:sz w:val="17"/>
      <w:szCs w:val="17"/>
      <w:u w:val="none"/>
    </w:rPr>
  </w:style>
  <w:style w:type="character" w:customStyle="1" w:styleId="41">
    <w:name w:val="font81"/>
    <w:basedOn w:val="15"/>
    <w:qFormat/>
    <w:uiPriority w:val="0"/>
    <w:rPr>
      <w:rFonts w:hint="eastAsia" w:ascii="宋体" w:hAnsi="宋体" w:eastAsia="宋体" w:cs="宋体"/>
      <w:color w:val="4B4B4B"/>
      <w:sz w:val="17"/>
      <w:szCs w:val="17"/>
      <w:u w:val="none"/>
    </w:rPr>
  </w:style>
  <w:style w:type="character" w:customStyle="1" w:styleId="42">
    <w:name w:val="font151"/>
    <w:basedOn w:val="15"/>
    <w:qFormat/>
    <w:uiPriority w:val="0"/>
    <w:rPr>
      <w:rFonts w:hint="eastAsia" w:ascii="宋体" w:hAnsi="宋体" w:eastAsia="宋体" w:cs="宋体"/>
      <w:color w:val="6B6B6B"/>
      <w:sz w:val="17"/>
      <w:szCs w:val="17"/>
      <w:u w:val="none"/>
    </w:rPr>
  </w:style>
  <w:style w:type="character" w:customStyle="1" w:styleId="43">
    <w:name w:val="font191"/>
    <w:basedOn w:val="15"/>
    <w:qFormat/>
    <w:uiPriority w:val="0"/>
    <w:rPr>
      <w:rFonts w:hint="eastAsia" w:ascii="宋体" w:hAnsi="宋体" w:eastAsia="宋体" w:cs="宋体"/>
      <w:color w:val="7C7C7C"/>
      <w:sz w:val="17"/>
      <w:szCs w:val="17"/>
      <w:u w:val="none"/>
    </w:rPr>
  </w:style>
  <w:style w:type="character" w:customStyle="1" w:styleId="44">
    <w:name w:val="font141"/>
    <w:basedOn w:val="15"/>
    <w:qFormat/>
    <w:uiPriority w:val="0"/>
    <w:rPr>
      <w:rFonts w:hint="eastAsia" w:ascii="宋体" w:hAnsi="宋体" w:eastAsia="宋体" w:cs="宋体"/>
      <w:color w:val="3A3A38"/>
      <w:sz w:val="17"/>
      <w:szCs w:val="17"/>
      <w:u w:val="none"/>
    </w:rPr>
  </w:style>
  <w:style w:type="character" w:customStyle="1" w:styleId="45">
    <w:name w:val="font131"/>
    <w:basedOn w:val="15"/>
    <w:qFormat/>
    <w:uiPriority w:val="0"/>
    <w:rPr>
      <w:rFonts w:hint="eastAsia" w:ascii="宋体" w:hAnsi="宋体" w:eastAsia="宋体" w:cs="宋体"/>
      <w:color w:val="565656"/>
      <w:sz w:val="17"/>
      <w:szCs w:val="17"/>
      <w:u w:val="none"/>
    </w:rPr>
  </w:style>
  <w:style w:type="character" w:customStyle="1" w:styleId="46">
    <w:name w:val="font181"/>
    <w:basedOn w:val="15"/>
    <w:qFormat/>
    <w:uiPriority w:val="0"/>
    <w:rPr>
      <w:rFonts w:hint="eastAsia" w:ascii="宋体" w:hAnsi="宋体" w:eastAsia="宋体" w:cs="宋体"/>
      <w:color w:val="757575"/>
      <w:sz w:val="17"/>
      <w:szCs w:val="17"/>
      <w:u w:val="none"/>
    </w:rPr>
  </w:style>
  <w:style w:type="character" w:customStyle="1" w:styleId="47">
    <w:name w:val="font171"/>
    <w:basedOn w:val="15"/>
    <w:qFormat/>
    <w:uiPriority w:val="0"/>
    <w:rPr>
      <w:rFonts w:hint="eastAsia" w:ascii="宋体" w:hAnsi="宋体" w:eastAsia="宋体" w:cs="宋体"/>
      <w:color w:val="5E5E5E"/>
      <w:sz w:val="17"/>
      <w:szCs w:val="17"/>
      <w:u w:val="none"/>
    </w:rPr>
  </w:style>
  <w:style w:type="character" w:customStyle="1" w:styleId="48">
    <w:name w:val="font251"/>
    <w:basedOn w:val="15"/>
    <w:qFormat/>
    <w:uiPriority w:val="0"/>
    <w:rPr>
      <w:rFonts w:hint="eastAsia" w:ascii="宋体" w:hAnsi="宋体" w:eastAsia="宋体" w:cs="宋体"/>
      <w:color w:val="707070"/>
      <w:sz w:val="17"/>
      <w:szCs w:val="17"/>
      <w:u w:val="none"/>
    </w:rPr>
  </w:style>
  <w:style w:type="character" w:customStyle="1" w:styleId="49">
    <w:name w:val="font301"/>
    <w:basedOn w:val="15"/>
    <w:qFormat/>
    <w:uiPriority w:val="0"/>
    <w:rPr>
      <w:rFonts w:hint="eastAsia" w:ascii="宋体" w:hAnsi="宋体" w:eastAsia="宋体" w:cs="宋体"/>
      <w:color w:val="3B3A3A"/>
      <w:sz w:val="17"/>
      <w:szCs w:val="17"/>
      <w:u w:val="none"/>
    </w:rPr>
  </w:style>
  <w:style w:type="character" w:customStyle="1" w:styleId="50">
    <w:name w:val="font71"/>
    <w:basedOn w:val="15"/>
    <w:qFormat/>
    <w:uiPriority w:val="0"/>
    <w:rPr>
      <w:rFonts w:hint="eastAsia" w:ascii="宋体" w:hAnsi="宋体" w:eastAsia="宋体" w:cs="宋体"/>
      <w:color w:val="595959"/>
      <w:sz w:val="17"/>
      <w:szCs w:val="17"/>
      <w:u w:val="none"/>
    </w:rPr>
  </w:style>
  <w:style w:type="character" w:customStyle="1" w:styleId="51">
    <w:name w:val="font291"/>
    <w:basedOn w:val="15"/>
    <w:qFormat/>
    <w:uiPriority w:val="0"/>
    <w:rPr>
      <w:rFonts w:hint="eastAsia" w:ascii="宋体" w:hAnsi="宋体" w:eastAsia="宋体" w:cs="宋体"/>
      <w:color w:val="727272"/>
      <w:sz w:val="17"/>
      <w:szCs w:val="17"/>
      <w:u w:val="none"/>
    </w:rPr>
  </w:style>
  <w:style w:type="character" w:customStyle="1" w:styleId="52">
    <w:name w:val="font241"/>
    <w:basedOn w:val="15"/>
    <w:qFormat/>
    <w:uiPriority w:val="0"/>
    <w:rPr>
      <w:rFonts w:hint="eastAsia" w:ascii="宋体" w:hAnsi="宋体" w:eastAsia="宋体" w:cs="宋体"/>
      <w:color w:val="838383"/>
      <w:sz w:val="17"/>
      <w:szCs w:val="17"/>
      <w:u w:val="none"/>
    </w:rPr>
  </w:style>
  <w:style w:type="character" w:customStyle="1" w:styleId="53">
    <w:name w:val="font232"/>
    <w:basedOn w:val="15"/>
    <w:qFormat/>
    <w:uiPriority w:val="0"/>
    <w:rPr>
      <w:rFonts w:hint="eastAsia" w:ascii="宋体" w:hAnsi="宋体" w:eastAsia="宋体" w:cs="宋体"/>
      <w:color w:val="3B3A38"/>
      <w:sz w:val="16"/>
      <w:szCs w:val="16"/>
      <w:u w:val="none"/>
    </w:rPr>
  </w:style>
  <w:style w:type="character" w:customStyle="1" w:styleId="54">
    <w:name w:val="font221"/>
    <w:basedOn w:val="15"/>
    <w:qFormat/>
    <w:uiPriority w:val="0"/>
    <w:rPr>
      <w:rFonts w:hint="eastAsia" w:ascii="宋体" w:hAnsi="宋体" w:eastAsia="宋体" w:cs="宋体"/>
      <w:color w:val="6E6E6E"/>
      <w:sz w:val="16"/>
      <w:szCs w:val="16"/>
      <w:u w:val="none"/>
    </w:rPr>
  </w:style>
  <w:style w:type="character" w:customStyle="1" w:styleId="55">
    <w:name w:val="font211"/>
    <w:basedOn w:val="15"/>
    <w:qFormat/>
    <w:uiPriority w:val="0"/>
    <w:rPr>
      <w:rFonts w:hint="eastAsia" w:ascii="宋体" w:hAnsi="宋体" w:eastAsia="宋体" w:cs="宋体"/>
      <w:color w:val="747272"/>
      <w:sz w:val="17"/>
      <w:szCs w:val="17"/>
      <w:u w:val="none"/>
    </w:rPr>
  </w:style>
  <w:style w:type="character" w:customStyle="1" w:styleId="56">
    <w:name w:val="font281"/>
    <w:basedOn w:val="15"/>
    <w:qFormat/>
    <w:uiPriority w:val="0"/>
    <w:rPr>
      <w:rFonts w:hint="eastAsia" w:ascii="宋体" w:hAnsi="宋体" w:eastAsia="宋体" w:cs="宋体"/>
      <w:color w:val="5D5B5B"/>
      <w:sz w:val="17"/>
      <w:szCs w:val="17"/>
      <w:u w:val="none"/>
    </w:rPr>
  </w:style>
  <w:style w:type="character" w:customStyle="1" w:styleId="57">
    <w:name w:val="font271"/>
    <w:basedOn w:val="15"/>
    <w:qFormat/>
    <w:uiPriority w:val="0"/>
    <w:rPr>
      <w:rFonts w:hint="eastAsia" w:ascii="宋体" w:hAnsi="宋体" w:eastAsia="宋体" w:cs="宋体"/>
      <w:color w:val="3A3838"/>
      <w:sz w:val="17"/>
      <w:szCs w:val="17"/>
      <w:u w:val="none"/>
    </w:rPr>
  </w:style>
  <w:style w:type="character" w:customStyle="1" w:styleId="58">
    <w:name w:val="font201"/>
    <w:basedOn w:val="15"/>
    <w:qFormat/>
    <w:uiPriority w:val="0"/>
    <w:rPr>
      <w:rFonts w:hint="eastAsia" w:ascii="宋体" w:hAnsi="宋体" w:eastAsia="宋体" w:cs="宋体"/>
      <w:color w:val="464444"/>
      <w:sz w:val="17"/>
      <w:szCs w:val="17"/>
      <w:u w:val="none"/>
    </w:rPr>
  </w:style>
  <w:style w:type="character" w:customStyle="1" w:styleId="59">
    <w:name w:val="font261"/>
    <w:basedOn w:val="15"/>
    <w:qFormat/>
    <w:uiPriority w:val="0"/>
    <w:rPr>
      <w:rFonts w:hint="eastAsia" w:ascii="宋体" w:hAnsi="宋体" w:eastAsia="宋体" w:cs="宋体"/>
      <w:color w:val="6D6D6D"/>
      <w:sz w:val="16"/>
      <w:szCs w:val="16"/>
      <w:u w:val="none"/>
    </w:rPr>
  </w:style>
  <w:style w:type="paragraph" w:customStyle="1" w:styleId="60">
    <w:name w:val="WPSOffice手动目录 1"/>
    <w:qFormat/>
    <w:uiPriority w:val="0"/>
    <w:pPr>
      <w:ind w:leftChars="0"/>
    </w:pPr>
    <w:rPr>
      <w:rFonts w:ascii="Times New Roman" w:hAnsi="Times New Roman" w:eastAsia="宋体" w:cs="Times New Roman"/>
      <w:sz w:val="20"/>
      <w:szCs w:val="20"/>
    </w:rPr>
  </w:style>
  <w:style w:type="paragraph" w:customStyle="1" w:styleId="61">
    <w:name w:val="WPSOffice手动目录 2"/>
    <w:qFormat/>
    <w:uiPriority w:val="0"/>
    <w:pPr>
      <w:ind w:leftChars="200"/>
    </w:pPr>
    <w:rPr>
      <w:rFonts w:ascii="Times New Roman" w:hAnsi="Times New Roman" w:eastAsia="宋体" w:cs="Times New Roman"/>
      <w:sz w:val="20"/>
      <w:szCs w:val="20"/>
    </w:rPr>
  </w:style>
  <w:style w:type="paragraph" w:customStyle="1" w:styleId="62">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15eff18-0139-4ed9-9b29-4d2521d75bcf}"/>
        <w:style w:val=""/>
        <w:category>
          <w:name w:val="常规"/>
          <w:gallery w:val="placeholder"/>
        </w:category>
        <w:types>
          <w:type w:val="bbPlcHdr"/>
        </w:types>
        <w:behaviors>
          <w:behavior w:val="content"/>
        </w:behaviors>
        <w:description w:val=""/>
        <w:guid w:val="{615eff18-0139-4ed9-9b29-4d2521d75bcf}"/>
      </w:docPartPr>
      <w:docPartBody>
        <w:p>
          <w:r>
            <w:rPr>
              <w:color w:val="808080"/>
            </w:rPr>
            <w:t>单击此处输入文字。</w:t>
          </w:r>
        </w:p>
      </w:docPartBody>
    </w:docPart>
    <w:docPart>
      <w:docPartPr>
        <w:name w:val="{a0b09983-77af-4e8f-9937-1087c59ada69}"/>
        <w:style w:val=""/>
        <w:category>
          <w:name w:val="常规"/>
          <w:gallery w:val="placeholder"/>
        </w:category>
        <w:types>
          <w:type w:val="bbPlcHdr"/>
        </w:types>
        <w:behaviors>
          <w:behavior w:val="content"/>
        </w:behaviors>
        <w:description w:val=""/>
        <w:guid w:val="{a0b09983-77af-4e8f-9937-1087c59ada69}"/>
      </w:docPartPr>
      <w:docPartBody>
        <w:p>
          <w:r>
            <w:rPr>
              <w:color w:val="808080"/>
            </w:rPr>
            <w:t>单击此处输入文字。</w:t>
          </w:r>
        </w:p>
      </w:docPartBody>
    </w:docPart>
    <w:docPart>
      <w:docPartPr>
        <w:name w:val="{b9e9535c-5361-44f5-9fff-19d033476650}"/>
        <w:style w:val=""/>
        <w:category>
          <w:name w:val="常规"/>
          <w:gallery w:val="placeholder"/>
        </w:category>
        <w:types>
          <w:type w:val="bbPlcHdr"/>
        </w:types>
        <w:behaviors>
          <w:behavior w:val="content"/>
        </w:behaviors>
        <w:description w:val=""/>
        <w:guid w:val="{b9e9535c-5361-44f5-9fff-19d033476650}"/>
      </w:docPartPr>
      <w:docPartBody>
        <w:p>
          <w:r>
            <w:rPr>
              <w:color w:val="808080"/>
            </w:rPr>
            <w:t>单击此处输入文字。</w:t>
          </w:r>
        </w:p>
      </w:docPartBody>
    </w:docPart>
    <w:docPart>
      <w:docPartPr>
        <w:name w:val="{39c23b56-7fb6-40fa-a642-fb39dfbcf1cf}"/>
        <w:style w:val=""/>
        <w:category>
          <w:name w:val="常规"/>
          <w:gallery w:val="placeholder"/>
        </w:category>
        <w:types>
          <w:type w:val="bbPlcHdr"/>
        </w:types>
        <w:behaviors>
          <w:behavior w:val="content"/>
        </w:behaviors>
        <w:description w:val=""/>
        <w:guid w:val="{39c23b56-7fb6-40fa-a642-fb39dfbcf1cf}"/>
      </w:docPartPr>
      <w:docPartBody>
        <w:p>
          <w:r>
            <w:rPr>
              <w:color w:val="808080"/>
            </w:rPr>
            <w:t>单击此处输入文字。</w:t>
          </w:r>
        </w:p>
      </w:docPartBody>
    </w:docPart>
    <w:docPart>
      <w:docPartPr>
        <w:name w:val="{c04e0eaf-a3c7-4754-87db-171451ed28c7}"/>
        <w:style w:val=""/>
        <w:category>
          <w:name w:val="常规"/>
          <w:gallery w:val="placeholder"/>
        </w:category>
        <w:types>
          <w:type w:val="bbPlcHdr"/>
        </w:types>
        <w:behaviors>
          <w:behavior w:val="content"/>
        </w:behaviors>
        <w:description w:val=""/>
        <w:guid w:val="{c04e0eaf-a3c7-4754-87db-171451ed28c7}"/>
      </w:docPartPr>
      <w:docPartBody>
        <w:p>
          <w:r>
            <w:rPr>
              <w:color w:val="808080"/>
            </w:rPr>
            <w:t>单击此处输入文字。</w:t>
          </w:r>
        </w:p>
      </w:docPartBody>
    </w:docPart>
    <w:docPart>
      <w:docPartPr>
        <w:name w:val="{72b7a64a-e4ae-4fba-8b9d-c8133ceb0625}"/>
        <w:style w:val=""/>
        <w:category>
          <w:name w:val="常规"/>
          <w:gallery w:val="placeholder"/>
        </w:category>
        <w:types>
          <w:type w:val="bbPlcHdr"/>
        </w:types>
        <w:behaviors>
          <w:behavior w:val="content"/>
        </w:behaviors>
        <w:description w:val=""/>
        <w:guid w:val="{72b7a64a-e4ae-4fba-8b9d-c8133ceb0625}"/>
      </w:docPartPr>
      <w:docPartBody>
        <w:p>
          <w:r>
            <w:rPr>
              <w:color w:val="808080"/>
            </w:rPr>
            <w:t>单击此处输入文字。</w:t>
          </w:r>
        </w:p>
      </w:docPartBody>
    </w:docPart>
    <w:docPart>
      <w:docPartPr>
        <w:name w:val="{925ebf03-91e3-4e1e-ad93-18dc07ff9233}"/>
        <w:style w:val=""/>
        <w:category>
          <w:name w:val="常规"/>
          <w:gallery w:val="placeholder"/>
        </w:category>
        <w:types>
          <w:type w:val="bbPlcHdr"/>
        </w:types>
        <w:behaviors>
          <w:behavior w:val="content"/>
        </w:behaviors>
        <w:description w:val=""/>
        <w:guid w:val="{925ebf03-91e3-4e1e-ad93-18dc07ff9233}"/>
      </w:docPartPr>
      <w:docPartBody>
        <w:p>
          <w:r>
            <w:rPr>
              <w:color w:val="808080"/>
            </w:rPr>
            <w:t>单击此处输入文字。</w:t>
          </w:r>
        </w:p>
      </w:docPartBody>
    </w:docPart>
    <w:docPart>
      <w:docPartPr>
        <w:name w:val="{33882c6e-a91f-419d-9450-6d2c01ff5f20}"/>
        <w:style w:val=""/>
        <w:category>
          <w:name w:val="常规"/>
          <w:gallery w:val="placeholder"/>
        </w:category>
        <w:types>
          <w:type w:val="bbPlcHdr"/>
        </w:types>
        <w:behaviors>
          <w:behavior w:val="content"/>
        </w:behaviors>
        <w:description w:val=""/>
        <w:guid w:val="{33882c6e-a91f-419d-9450-6d2c01ff5f20}"/>
      </w:docPartPr>
      <w:docPartBody>
        <w:p>
          <w:r>
            <w:rPr>
              <w:color w:val="808080"/>
            </w:rPr>
            <w:t>单击此处输入文字。</w:t>
          </w:r>
        </w:p>
      </w:docPartBody>
    </w:docPart>
    <w:docPart>
      <w:docPartPr>
        <w:name w:val="{04d808bf-63c1-48eb-96d5-2892d0547ff6}"/>
        <w:style w:val=""/>
        <w:category>
          <w:name w:val="常规"/>
          <w:gallery w:val="placeholder"/>
        </w:category>
        <w:types>
          <w:type w:val="bbPlcHdr"/>
        </w:types>
        <w:behaviors>
          <w:behavior w:val="content"/>
        </w:behaviors>
        <w:description w:val=""/>
        <w:guid w:val="{04d808bf-63c1-48eb-96d5-2892d0547ff6}"/>
      </w:docPartPr>
      <w:docPartBody>
        <w:p>
          <w:r>
            <w:rPr>
              <w:color w:val="808080"/>
            </w:rPr>
            <w:t>单击此处输入文字。</w:t>
          </w:r>
        </w:p>
      </w:docPartBody>
    </w:docPart>
    <w:docPart>
      <w:docPartPr>
        <w:name w:val="{d9ae6954-6419-47e3-a241-ba8b46109179}"/>
        <w:style w:val=""/>
        <w:category>
          <w:name w:val="常规"/>
          <w:gallery w:val="placeholder"/>
        </w:category>
        <w:types>
          <w:type w:val="bbPlcHdr"/>
        </w:types>
        <w:behaviors>
          <w:behavior w:val="content"/>
        </w:behaviors>
        <w:description w:val=""/>
        <w:guid w:val="{d9ae6954-6419-47e3-a241-ba8b46109179}"/>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true"/>
  <w:compat>
    <w:useFELayout/>
    <w:splitPgBreakAndParaMark/>
    <w:compatSetting w:name="compatibilityMode" w:uri="http://schemas.microsoft.com/office/word" w:val="15"/>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1738</Words>
  <Characters>9911</Characters>
  <Lines>82</Lines>
  <Paragraphs>23</Paragraphs>
  <TotalTime>4</TotalTime>
  <ScaleCrop>false</ScaleCrop>
  <LinksUpToDate>false</LinksUpToDate>
  <CharactersWithSpaces>11626</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2020-05-23T08:44:00Z</dcterms:created>
  <dc:creator>XIE XIN</dc:creator>
  <cp:lastModifiedBy>user</cp:lastModifiedBy>
  <cp:lastPrinted>2020-06-25T06:33:00Z</cp:lastPrinted>
  <dcterms:modified xsi:type="dcterms:W3CDTF">2021-10-18T09:52:42Z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ribbonExt">
    <vt:lpwstr>{"WPSExtOfficeTab":{"OnGetEnabled":false,"OnGetVisible":false}}</vt:lpwstr>
  </property>
  <property fmtid="{D5CDD505-2E9C-101B-9397-08002B2CF9AE}" pid="4" name="ICV">
    <vt:lpwstr>11DB9F9B24FC46F09371DFF239DA6939</vt:lpwstr>
  </property>
</Properties>
</file>