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pageBreakBefore w:val="0"/>
        <w:kinsoku/>
        <w:wordWrap/>
        <w:overflowPunct/>
        <w:topLinePunct w:val="0"/>
        <w:bidi w:val="0"/>
        <w:spacing w:line="360" w:lineRule="auto"/>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   </w:t>
      </w:r>
    </w:p>
    <w:p>
      <w:pPr>
        <w:pageBreakBefore w:val="0"/>
        <w:kinsoku/>
        <w:wordWrap/>
        <w:overflowPunct/>
        <w:topLinePunct w:val="0"/>
        <w:bidi w:val="0"/>
        <w:spacing w:line="360" w:lineRule="auto"/>
        <w:ind w:firstLine="0" w:firstLineChars="0"/>
        <w:jc w:val="center"/>
        <w:rPr>
          <w:rFonts w:hint="eastAsia" w:ascii="方正小标宋简体" w:hAnsi="方正小标宋简体" w:eastAsia="方正小标宋简体" w:cs="方正小标宋简体"/>
          <w:color w:val="auto"/>
          <w:sz w:val="44"/>
          <w:szCs w:val="44"/>
          <w:highlight w:val="none"/>
          <w:lang w:val="en-US" w:eastAsia="zh-CN"/>
        </w:rPr>
      </w:pPr>
    </w:p>
    <w:p>
      <w:pPr>
        <w:pageBreakBefore w:val="0"/>
        <w:kinsoku/>
        <w:wordWrap/>
        <w:overflowPunct/>
        <w:topLinePunct w:val="0"/>
        <w:bidi w:val="0"/>
        <w:spacing w:line="360" w:lineRule="auto"/>
        <w:ind w:firstLine="0" w:firstLineChars="0"/>
        <w:jc w:val="center"/>
        <w:rPr>
          <w:rFonts w:hint="eastAsia" w:ascii="仿宋_GB2312" w:eastAsia="仿宋_GB2312"/>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val="en-US" w:eastAsia="zh-CN"/>
        </w:rPr>
        <w:t>项目</w:t>
      </w:r>
      <w:r>
        <w:rPr>
          <w:rFonts w:hint="eastAsia" w:ascii="方正小标宋简体" w:hAnsi="方正小标宋简体" w:eastAsia="方正小标宋简体" w:cs="方正小标宋简体"/>
          <w:color w:val="auto"/>
          <w:sz w:val="44"/>
          <w:szCs w:val="44"/>
          <w:highlight w:val="none"/>
        </w:rPr>
        <w:t>绩效自评报告</w:t>
      </w: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专项资金</w:t>
      </w:r>
      <w:r>
        <w:rPr>
          <w:rFonts w:hint="eastAsia" w:ascii="仿宋_GB2312" w:eastAsia="仿宋_GB2312"/>
          <w:color w:val="auto"/>
          <w:sz w:val="32"/>
          <w:szCs w:val="32"/>
          <w:highlight w:val="none"/>
          <w:lang w:eastAsia="zh-CN"/>
        </w:rPr>
        <w:t>“财政事权”</w:t>
      </w:r>
      <w:r>
        <w:rPr>
          <w:rFonts w:hint="eastAsia" w:ascii="仿宋_GB2312" w:eastAsia="仿宋_GB2312"/>
          <w:color w:val="auto"/>
          <w:sz w:val="32"/>
          <w:szCs w:val="32"/>
          <w:highlight w:val="none"/>
        </w:rPr>
        <w:t>名称：</w:t>
      </w:r>
      <w:r>
        <w:rPr>
          <w:rFonts w:hint="eastAsia" w:ascii="仿宋_GB2312" w:eastAsia="仿宋_GB2312"/>
          <w:color w:val="auto"/>
          <w:sz w:val="32"/>
          <w:szCs w:val="32"/>
          <w:highlight w:val="none"/>
          <w:lang w:val="en-US" w:eastAsia="zh-CN"/>
        </w:rPr>
        <w:t>救灾应急资金</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left="4158" w:leftChars="304" w:hanging="3520" w:hangingChars="11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对应“政策任务”数量：3项（家禽水产品及蔬菜瓜果应急收储奖补资金、红火蚁防控、应急种子储备及调拨）</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省级预算部门：</w:t>
      </w:r>
      <w:r>
        <w:rPr>
          <w:rFonts w:hint="eastAsia" w:ascii="仿宋_GB2312" w:eastAsia="仿宋_GB2312"/>
          <w:color w:val="auto"/>
          <w:sz w:val="32"/>
          <w:szCs w:val="32"/>
          <w:highlight w:val="none"/>
          <w:lang w:eastAsia="zh-CN"/>
        </w:rPr>
        <w:t>广东省农业农村厅</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highlight w:val="none"/>
          <w:lang w:val="en-US" w:eastAsia="zh-CN"/>
        </w:rPr>
      </w:pPr>
    </w:p>
    <w:p>
      <w:pPr>
        <w:pStyle w:val="2"/>
        <w:rPr>
          <w:rFonts w:hint="eastAsia" w:ascii="仿宋_GB2312" w:eastAsia="仿宋_GB2312"/>
          <w:color w:val="auto"/>
          <w:sz w:val="32"/>
          <w:szCs w:val="32"/>
          <w:highlight w:val="none"/>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jc w:val="center"/>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填报日期：</w:t>
      </w:r>
      <w:r>
        <w:rPr>
          <w:rFonts w:hint="eastAsia" w:ascii="仿宋_GB2312" w:eastAsia="仿宋_GB2312"/>
          <w:color w:val="auto"/>
          <w:sz w:val="32"/>
          <w:szCs w:val="32"/>
          <w:highlight w:val="none"/>
          <w:lang w:val="en-US" w:eastAsia="zh-CN"/>
        </w:rPr>
        <w:t>2021年9月28日</w:t>
      </w:r>
    </w:p>
    <w:p>
      <w:pPr>
        <w:pStyle w:val="13"/>
        <w:pageBreakBefore w:val="0"/>
        <w:kinsoku/>
        <w:wordWrap/>
        <w:overflowPunct/>
        <w:topLinePunct w:val="0"/>
        <w:bidi w:val="0"/>
        <w:spacing w:before="0" w:after="0" w:line="360" w:lineRule="auto"/>
        <w:ind w:firstLine="640"/>
        <w:jc w:val="both"/>
        <w:outlineLvl w:val="9"/>
        <w:rPr>
          <w:rFonts w:hint="eastAsia" w:ascii="黑体" w:hAnsi="黑体"/>
          <w:bCs/>
          <w:color w:val="auto"/>
          <w:highlight w:val="none"/>
        </w:rPr>
      </w:pPr>
    </w:p>
    <w:p>
      <w:pPr>
        <w:rPr>
          <w:rFonts w:hint="eastAsia" w:ascii="黑体" w:hAnsi="黑体"/>
          <w:bCs/>
          <w:color w:val="auto"/>
          <w:highlight w:val="none"/>
        </w:rPr>
      </w:pPr>
    </w:p>
    <w:p>
      <w:pPr>
        <w:pStyle w:val="2"/>
        <w:rPr>
          <w:rFonts w:hint="eastAsia" w:ascii="黑体" w:hAnsi="黑体"/>
          <w:bCs/>
          <w:color w:val="auto"/>
          <w:highlight w:val="none"/>
        </w:rPr>
      </w:pPr>
    </w:p>
    <w:p>
      <w:pPr>
        <w:rPr>
          <w:rFonts w:hint="eastAsia" w:ascii="黑体" w:hAnsi="黑体"/>
          <w:bCs/>
          <w:color w:val="auto"/>
          <w:highlight w:val="none"/>
        </w:rPr>
      </w:pPr>
    </w:p>
    <w:sdt>
      <w:sdtPr>
        <w:rPr>
          <w:rFonts w:ascii="宋体" w:hAnsi="宋体" w:eastAsia="宋体" w:cs="Times New Roman"/>
          <w:kern w:val="2"/>
          <w:sz w:val="21"/>
          <w:szCs w:val="24"/>
          <w:lang w:val="en-US" w:eastAsia="zh-CN" w:bidi="ar-SA"/>
        </w:rPr>
        <w:id w:val="200943089"/>
      </w:sdtPr>
      <w:sdtEndPr>
        <w:rPr>
          <w:rFonts w:hint="eastAsia" w:ascii="黑体" w:hAnsi="黑体" w:eastAsia="黑体" w:cs="黑体"/>
          <w:b/>
          <w:bCs/>
          <w:kern w:val="2"/>
          <w:sz w:val="32"/>
          <w:szCs w:val="32"/>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sz w:val="36"/>
              <w:szCs w:val="36"/>
            </w:rPr>
          </w:pPr>
          <w:bookmarkStart w:id="58" w:name="_GoBack"/>
          <w:bookmarkEnd w:id="58"/>
          <w:bookmarkStart w:id="0" w:name="_Toc894549025_WPSOffice_Type2"/>
          <w:r>
            <w:rPr>
              <w:rFonts w:hint="eastAsia" w:ascii="黑体" w:hAnsi="黑体" w:eastAsia="黑体" w:cs="黑体"/>
              <w:sz w:val="36"/>
              <w:szCs w:val="36"/>
            </w:rPr>
            <w:t>目</w:t>
          </w:r>
          <w:r>
            <w:rPr>
              <w:rFonts w:hint="eastAsia" w:ascii="黑体" w:hAnsi="黑体" w:eastAsia="黑体" w:cs="黑体"/>
              <w:sz w:val="36"/>
              <w:szCs w:val="36"/>
              <w:lang w:val="en-US" w:eastAsia="zh-CN"/>
            </w:rPr>
            <w:t xml:space="preserve"> </w:t>
          </w:r>
          <w:r>
            <w:rPr>
              <w:rFonts w:hint="eastAsia" w:ascii="黑体" w:hAnsi="黑体" w:eastAsia="黑体" w:cs="黑体"/>
              <w:sz w:val="36"/>
              <w:szCs w:val="36"/>
            </w:rPr>
            <w:t>录</w:t>
          </w:r>
        </w:p>
        <w:p>
          <w:pPr>
            <w:pStyle w:val="60"/>
            <w:tabs>
              <w:tab w:val="right" w:leader="dot" w:pos="8958"/>
            </w:tabs>
            <w:rPr>
              <w:rFonts w:hint="eastAsia" w:ascii="黑体" w:hAnsi="黑体" w:eastAsia="黑体" w:cs="黑体"/>
              <w:sz w:val="32"/>
              <w:szCs w:val="32"/>
            </w:rPr>
          </w:pPr>
          <w:r>
            <w:rPr>
              <w:rFonts w:hint="eastAsia" w:ascii="黑体" w:hAnsi="黑体" w:eastAsia="黑体" w:cs="黑体"/>
              <w:b/>
              <w:bCs/>
              <w:sz w:val="32"/>
              <w:szCs w:val="32"/>
            </w:rPr>
            <w:fldChar w:fldCharType="begin"/>
          </w:r>
          <w:r>
            <w:rPr>
              <w:rFonts w:hint="eastAsia" w:ascii="黑体" w:hAnsi="黑体" w:eastAsia="黑体" w:cs="黑体"/>
              <w:sz w:val="32"/>
              <w:szCs w:val="32"/>
            </w:rPr>
            <w:instrText xml:space="preserve"> HYPERLINK \l _Toc1350573793_WPSOffice_Level1 </w:instrText>
          </w:r>
          <w:r>
            <w:rPr>
              <w:rFonts w:hint="eastAsia" w:ascii="黑体" w:hAnsi="黑体" w:eastAsia="黑体" w:cs="黑体"/>
              <w:b/>
              <w:bCs/>
              <w:sz w:val="32"/>
              <w:szCs w:val="32"/>
            </w:rPr>
            <w:fldChar w:fldCharType="separate"/>
          </w:r>
          <w:sdt>
            <w:sdtPr>
              <w:rPr>
                <w:rFonts w:hint="eastAsia" w:ascii="黑体" w:hAnsi="黑体" w:eastAsia="黑体" w:cs="黑体"/>
                <w:b/>
                <w:bCs/>
                <w:kern w:val="2"/>
                <w:sz w:val="32"/>
                <w:szCs w:val="32"/>
                <w:lang w:val="en-US" w:eastAsia="zh-CN" w:bidi="ar-SA"/>
              </w:rPr>
              <w:id w:val="200943089"/>
              <w:placeholder>
                <w:docPart w:val="{615eff18-0139-4ed9-9b29-4d2521d75bcf}"/>
              </w:placeholder>
            </w:sdtPr>
            <w:sdtEndPr>
              <w:rPr>
                <w:rFonts w:hint="eastAsia" w:ascii="黑体" w:hAnsi="黑体" w:eastAsia="黑体" w:cs="黑体"/>
                <w:b/>
                <w:bCs/>
                <w:kern w:val="2"/>
                <w:sz w:val="32"/>
                <w:szCs w:val="32"/>
                <w:lang w:val="en-US" w:eastAsia="zh-CN" w:bidi="ar-SA"/>
              </w:rPr>
            </w:sdtEndPr>
            <w:sdtContent>
              <w:r>
                <w:rPr>
                  <w:rFonts w:hint="eastAsia" w:ascii="黑体" w:hAnsi="黑体" w:eastAsia="黑体" w:cs="黑体"/>
                  <w:b/>
                  <w:bCs/>
                  <w:sz w:val="32"/>
                  <w:szCs w:val="32"/>
                </w:rPr>
                <w:t>一、基本情况</w:t>
              </w:r>
            </w:sdtContent>
          </w:sdt>
          <w:r>
            <w:rPr>
              <w:rFonts w:hint="eastAsia" w:ascii="黑体" w:hAnsi="黑体" w:eastAsia="黑体" w:cs="黑体"/>
              <w:b/>
              <w:bCs/>
              <w:sz w:val="32"/>
              <w:szCs w:val="32"/>
            </w:rPr>
            <w:tab/>
          </w:r>
          <w:bookmarkStart w:id="1" w:name="_Toc1350573793_WPSOffice_Level1Page"/>
          <w:r>
            <w:rPr>
              <w:rFonts w:hint="eastAsia" w:ascii="黑体" w:hAnsi="黑体" w:eastAsia="黑体" w:cs="黑体"/>
              <w:b/>
              <w:bCs/>
              <w:sz w:val="32"/>
              <w:szCs w:val="32"/>
            </w:rPr>
            <w:t>1</w:t>
          </w:r>
          <w:bookmarkEnd w:id="1"/>
          <w:r>
            <w:rPr>
              <w:rFonts w:hint="eastAsia" w:ascii="黑体" w:hAnsi="黑体" w:eastAsia="黑体" w:cs="黑体"/>
              <w:b/>
              <w:bCs/>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_Toc894549025_WPSOffice_Level2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a0b09983-77af-4e8f-9937-1087c59ada69}"/>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（一） 资金安排情况</w:t>
              </w:r>
            </w:sdtContent>
          </w:sdt>
          <w:r>
            <w:rPr>
              <w:rFonts w:hint="eastAsia" w:ascii="仿宋_GB2312" w:hAnsi="仿宋_GB2312" w:eastAsia="仿宋_GB2312" w:cs="仿宋_GB2312"/>
              <w:sz w:val="32"/>
              <w:szCs w:val="32"/>
            </w:rPr>
            <w:tab/>
          </w:r>
          <w:bookmarkStart w:id="2" w:name="_Toc894549025_WPSOffice_Level2Page"/>
          <w:r>
            <w:rPr>
              <w:rFonts w:hint="eastAsia" w:ascii="仿宋_GB2312" w:hAnsi="仿宋_GB2312" w:eastAsia="仿宋_GB2312" w:cs="仿宋_GB2312"/>
              <w:sz w:val="32"/>
              <w:szCs w:val="32"/>
            </w:rPr>
            <w:t>1</w:t>
          </w:r>
          <w:bookmarkEnd w:id="2"/>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_Toc965134885_WPSOffice_Level2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b9e9535c-5361-44f5-9fff-19d033476650}"/>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（二） 资金分配方式和实施程序</w:t>
              </w:r>
            </w:sdtContent>
          </w:sdt>
          <w:r>
            <w:rPr>
              <w:rFonts w:hint="eastAsia" w:ascii="仿宋_GB2312" w:hAnsi="仿宋_GB2312" w:eastAsia="仿宋_GB2312" w:cs="仿宋_GB2312"/>
              <w:sz w:val="32"/>
              <w:szCs w:val="32"/>
            </w:rPr>
            <w:tab/>
          </w:r>
          <w:bookmarkStart w:id="3" w:name="_Toc965134885_WPSOffice_Level2Page"/>
          <w:r>
            <w:rPr>
              <w:rFonts w:hint="eastAsia" w:ascii="仿宋_GB2312" w:hAnsi="仿宋_GB2312" w:eastAsia="仿宋_GB2312" w:cs="仿宋_GB2312"/>
              <w:sz w:val="32"/>
              <w:szCs w:val="32"/>
            </w:rPr>
            <w:t>6</w:t>
          </w:r>
          <w:bookmarkEnd w:id="3"/>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_Toc1359522698_WPSOffice_Level2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39c23b56-7fb6-40fa-a642-fb39dfbcf1cf}"/>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主要用途</w:t>
              </w:r>
            </w:sdtContent>
          </w:sdt>
          <w:r>
            <w:rPr>
              <w:rFonts w:hint="eastAsia" w:ascii="仿宋_GB2312" w:hAnsi="仿宋_GB2312" w:eastAsia="仿宋_GB2312" w:cs="仿宋_GB2312"/>
              <w:sz w:val="32"/>
              <w:szCs w:val="32"/>
            </w:rPr>
            <w:tab/>
          </w:r>
          <w:bookmarkStart w:id="4" w:name="_Toc1359522698_WPSOffice_Level2Page"/>
          <w:r>
            <w:rPr>
              <w:rFonts w:hint="eastAsia" w:ascii="仿宋_GB2312" w:hAnsi="仿宋_GB2312" w:eastAsia="仿宋_GB2312" w:cs="仿宋_GB2312"/>
              <w:sz w:val="32"/>
              <w:szCs w:val="32"/>
            </w:rPr>
            <w:t>9</w:t>
          </w:r>
          <w:bookmarkEnd w:id="4"/>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_Toc1775064553_WPSOffice_Level2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c04e0eaf-a3c7-4754-87db-171451ed28c7}"/>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（四） 绩效目标</w:t>
              </w:r>
            </w:sdtContent>
          </w:sdt>
          <w:r>
            <w:rPr>
              <w:rFonts w:hint="eastAsia" w:ascii="仿宋_GB2312" w:hAnsi="仿宋_GB2312" w:eastAsia="仿宋_GB2312" w:cs="仿宋_GB2312"/>
              <w:sz w:val="32"/>
              <w:szCs w:val="32"/>
            </w:rPr>
            <w:tab/>
          </w:r>
          <w:bookmarkStart w:id="5" w:name="_Toc1775064553_WPSOffice_Level2Page"/>
          <w:r>
            <w:rPr>
              <w:rFonts w:hint="eastAsia" w:ascii="仿宋_GB2312" w:hAnsi="仿宋_GB2312" w:eastAsia="仿宋_GB2312" w:cs="仿宋_GB2312"/>
              <w:sz w:val="32"/>
              <w:szCs w:val="32"/>
            </w:rPr>
            <w:t>9</w:t>
          </w:r>
          <w:bookmarkEnd w:id="5"/>
          <w:r>
            <w:rPr>
              <w:rFonts w:hint="eastAsia" w:ascii="仿宋_GB2312" w:hAnsi="仿宋_GB2312" w:eastAsia="仿宋_GB2312" w:cs="仿宋_GB2312"/>
              <w:sz w:val="32"/>
              <w:szCs w:val="32"/>
            </w:rPr>
            <w:fldChar w:fldCharType="end"/>
          </w:r>
        </w:p>
        <w:p>
          <w:pPr>
            <w:pStyle w:val="60"/>
            <w:tabs>
              <w:tab w:val="right" w:leader="dot" w:pos="8958"/>
            </w:tabs>
            <w:rPr>
              <w:rFonts w:hint="eastAsia" w:ascii="黑体" w:hAnsi="黑体" w:eastAsia="黑体" w:cs="黑体"/>
              <w:sz w:val="32"/>
              <w:szCs w:val="32"/>
            </w:rPr>
          </w:pPr>
          <w:r>
            <w:rPr>
              <w:rFonts w:hint="eastAsia" w:ascii="黑体" w:hAnsi="黑体" w:eastAsia="黑体" w:cs="黑体"/>
              <w:b/>
              <w:bCs/>
              <w:sz w:val="32"/>
              <w:szCs w:val="32"/>
            </w:rPr>
            <w:fldChar w:fldCharType="begin"/>
          </w:r>
          <w:r>
            <w:rPr>
              <w:rFonts w:hint="eastAsia" w:ascii="黑体" w:hAnsi="黑体" w:eastAsia="黑体" w:cs="黑体"/>
              <w:sz w:val="32"/>
              <w:szCs w:val="32"/>
            </w:rPr>
            <w:instrText xml:space="preserve"> HYPERLINK \l _Toc894549025_WPSOffice_Level1 </w:instrText>
          </w:r>
          <w:r>
            <w:rPr>
              <w:rFonts w:hint="eastAsia" w:ascii="黑体" w:hAnsi="黑体" w:eastAsia="黑体" w:cs="黑体"/>
              <w:b/>
              <w:bCs/>
              <w:sz w:val="32"/>
              <w:szCs w:val="32"/>
            </w:rPr>
            <w:fldChar w:fldCharType="separate"/>
          </w:r>
          <w:sdt>
            <w:sdtPr>
              <w:rPr>
                <w:rFonts w:hint="eastAsia" w:ascii="黑体" w:hAnsi="黑体" w:eastAsia="黑体" w:cs="黑体"/>
                <w:b/>
                <w:bCs/>
                <w:kern w:val="2"/>
                <w:sz w:val="32"/>
                <w:szCs w:val="32"/>
                <w:lang w:val="en-US" w:eastAsia="zh-CN" w:bidi="ar-SA"/>
              </w:rPr>
              <w:id w:val="200943089"/>
              <w:placeholder>
                <w:docPart w:val="{72b7a64a-e4ae-4fba-8b9d-c8133ceb0625}"/>
              </w:placeholder>
            </w:sdtPr>
            <w:sdtEndPr>
              <w:rPr>
                <w:rFonts w:hint="eastAsia" w:ascii="黑体" w:hAnsi="黑体" w:eastAsia="黑体" w:cs="黑体"/>
                <w:b/>
                <w:bCs/>
                <w:kern w:val="2"/>
                <w:sz w:val="32"/>
                <w:szCs w:val="32"/>
                <w:lang w:val="en-US" w:eastAsia="zh-CN" w:bidi="ar-SA"/>
              </w:rPr>
            </w:sdtEndPr>
            <w:sdtContent>
              <w:r>
                <w:rPr>
                  <w:rFonts w:hint="eastAsia" w:ascii="黑体" w:hAnsi="黑体" w:eastAsia="黑体" w:cs="黑体"/>
                  <w:b/>
                  <w:bCs/>
                  <w:sz w:val="32"/>
                  <w:szCs w:val="32"/>
                </w:rPr>
                <w:t>二、自评情况</w:t>
              </w:r>
            </w:sdtContent>
          </w:sdt>
          <w:r>
            <w:rPr>
              <w:rFonts w:hint="eastAsia" w:ascii="黑体" w:hAnsi="黑体" w:eastAsia="黑体" w:cs="黑体"/>
              <w:b/>
              <w:bCs/>
              <w:sz w:val="32"/>
              <w:szCs w:val="32"/>
            </w:rPr>
            <w:tab/>
          </w:r>
          <w:bookmarkStart w:id="6" w:name="_Toc894549025_WPSOffice_Level1Page"/>
          <w:r>
            <w:rPr>
              <w:rFonts w:hint="eastAsia" w:ascii="黑体" w:hAnsi="黑体" w:eastAsia="黑体" w:cs="黑体"/>
              <w:b/>
              <w:bCs/>
              <w:sz w:val="32"/>
              <w:szCs w:val="32"/>
            </w:rPr>
            <w:t>10</w:t>
          </w:r>
          <w:bookmarkEnd w:id="6"/>
          <w:r>
            <w:rPr>
              <w:rFonts w:hint="eastAsia" w:ascii="黑体" w:hAnsi="黑体" w:eastAsia="黑体" w:cs="黑体"/>
              <w:b/>
              <w:bCs/>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_Toc1166071381_WPSOffice_Level2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925ebf03-91e3-4e1e-ad93-18dc07ff9233}"/>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（一）自评分数</w:t>
              </w:r>
            </w:sdtContent>
          </w:sdt>
          <w:r>
            <w:rPr>
              <w:rFonts w:hint="eastAsia" w:ascii="仿宋_GB2312" w:hAnsi="仿宋_GB2312" w:eastAsia="仿宋_GB2312" w:cs="仿宋_GB2312"/>
              <w:sz w:val="32"/>
              <w:szCs w:val="32"/>
            </w:rPr>
            <w:tab/>
          </w:r>
          <w:bookmarkStart w:id="7" w:name="_Toc1166071381_WPSOffice_Level2Page"/>
          <w:r>
            <w:rPr>
              <w:rFonts w:hint="eastAsia" w:ascii="仿宋_GB2312" w:hAnsi="仿宋_GB2312" w:eastAsia="仿宋_GB2312" w:cs="仿宋_GB2312"/>
              <w:sz w:val="32"/>
              <w:szCs w:val="32"/>
            </w:rPr>
            <w:t>10</w:t>
          </w:r>
          <w:bookmarkEnd w:id="7"/>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_Toc2084656160_WPSOffice_Level2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33882c6e-a91f-419d-9450-6d2c01ff5f20}"/>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（二）专项资金使用绩效</w:t>
              </w:r>
            </w:sdtContent>
          </w:sdt>
          <w:r>
            <w:rPr>
              <w:rFonts w:hint="eastAsia" w:ascii="仿宋_GB2312" w:hAnsi="仿宋_GB2312" w:eastAsia="仿宋_GB2312" w:cs="仿宋_GB2312"/>
              <w:sz w:val="32"/>
              <w:szCs w:val="32"/>
            </w:rPr>
            <w:tab/>
          </w:r>
          <w:bookmarkStart w:id="8" w:name="_Toc2084656160_WPSOffice_Level2Page"/>
          <w:r>
            <w:rPr>
              <w:rFonts w:hint="eastAsia" w:ascii="仿宋_GB2312" w:hAnsi="仿宋_GB2312" w:eastAsia="仿宋_GB2312" w:cs="仿宋_GB2312"/>
              <w:sz w:val="32"/>
              <w:szCs w:val="32"/>
            </w:rPr>
            <w:t>14</w:t>
          </w:r>
          <w:bookmarkEnd w:id="8"/>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_Toc849506390_WPSOffice_Level2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04d808bf-63c1-48eb-96d5-2892d0547ff6}"/>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（三）专项资金使用绩效存在的问题</w:t>
              </w:r>
            </w:sdtContent>
          </w:sdt>
          <w:r>
            <w:rPr>
              <w:rFonts w:hint="eastAsia" w:ascii="仿宋_GB2312" w:hAnsi="仿宋_GB2312" w:eastAsia="仿宋_GB2312" w:cs="仿宋_GB2312"/>
              <w:sz w:val="32"/>
              <w:szCs w:val="32"/>
            </w:rPr>
            <w:tab/>
          </w:r>
          <w:bookmarkStart w:id="9" w:name="_Toc849506390_WPSOffice_Level2Page"/>
          <w:r>
            <w:rPr>
              <w:rFonts w:hint="eastAsia" w:ascii="仿宋_GB2312" w:hAnsi="仿宋_GB2312" w:eastAsia="仿宋_GB2312" w:cs="仿宋_GB2312"/>
              <w:sz w:val="32"/>
              <w:szCs w:val="32"/>
            </w:rPr>
            <w:t>19</w:t>
          </w:r>
          <w:bookmarkEnd w:id="9"/>
          <w:r>
            <w:rPr>
              <w:rFonts w:hint="eastAsia" w:ascii="仿宋_GB2312" w:hAnsi="仿宋_GB2312" w:eastAsia="仿宋_GB2312" w:cs="仿宋_GB2312"/>
              <w:sz w:val="32"/>
              <w:szCs w:val="32"/>
            </w:rPr>
            <w:fldChar w:fldCharType="end"/>
          </w:r>
        </w:p>
        <w:p>
          <w:pPr>
            <w:pStyle w:val="60"/>
            <w:tabs>
              <w:tab w:val="right" w:leader="dot" w:pos="8958"/>
            </w:tabs>
            <w:rPr>
              <w:rFonts w:hint="eastAsia" w:ascii="黑体" w:hAnsi="黑体" w:eastAsia="黑体" w:cs="黑体"/>
              <w:sz w:val="32"/>
              <w:szCs w:val="32"/>
            </w:rPr>
          </w:pPr>
          <w:r>
            <w:rPr>
              <w:rFonts w:hint="eastAsia" w:ascii="黑体" w:hAnsi="黑体" w:eastAsia="黑体" w:cs="黑体"/>
              <w:b/>
              <w:bCs/>
              <w:sz w:val="32"/>
              <w:szCs w:val="32"/>
            </w:rPr>
            <w:fldChar w:fldCharType="begin"/>
          </w:r>
          <w:r>
            <w:rPr>
              <w:rFonts w:hint="eastAsia" w:ascii="黑体" w:hAnsi="黑体" w:eastAsia="黑体" w:cs="黑体"/>
              <w:sz w:val="32"/>
              <w:szCs w:val="32"/>
            </w:rPr>
            <w:instrText xml:space="preserve"> HYPERLINK \l _Toc965134885_WPSOffice_Level1 </w:instrText>
          </w:r>
          <w:r>
            <w:rPr>
              <w:rFonts w:hint="eastAsia" w:ascii="黑体" w:hAnsi="黑体" w:eastAsia="黑体" w:cs="黑体"/>
              <w:b/>
              <w:bCs/>
              <w:sz w:val="32"/>
              <w:szCs w:val="32"/>
            </w:rPr>
            <w:fldChar w:fldCharType="separate"/>
          </w:r>
          <w:sdt>
            <w:sdtPr>
              <w:rPr>
                <w:rFonts w:hint="eastAsia" w:ascii="黑体" w:hAnsi="黑体" w:eastAsia="黑体" w:cs="黑体"/>
                <w:b/>
                <w:bCs/>
                <w:kern w:val="2"/>
                <w:sz w:val="32"/>
                <w:szCs w:val="32"/>
                <w:lang w:val="en-US" w:eastAsia="zh-CN" w:bidi="ar-SA"/>
              </w:rPr>
              <w:id w:val="200943089"/>
              <w:placeholder>
                <w:docPart w:val="{d9ae6954-6419-47e3-a241-ba8b46109179}"/>
              </w:placeholder>
            </w:sdtPr>
            <w:sdtEndPr>
              <w:rPr>
                <w:rFonts w:hint="eastAsia" w:ascii="黑体" w:hAnsi="黑体" w:eastAsia="黑体" w:cs="黑体"/>
                <w:b/>
                <w:bCs/>
                <w:kern w:val="2"/>
                <w:sz w:val="32"/>
                <w:szCs w:val="32"/>
                <w:lang w:val="en-US" w:eastAsia="zh-CN" w:bidi="ar-SA"/>
              </w:rPr>
            </w:sdtEndPr>
            <w:sdtContent>
              <w:r>
                <w:rPr>
                  <w:rFonts w:hint="eastAsia" w:ascii="黑体" w:hAnsi="黑体" w:eastAsia="黑体" w:cs="黑体"/>
                  <w:b/>
                  <w:bCs/>
                  <w:sz w:val="32"/>
                  <w:szCs w:val="32"/>
                </w:rPr>
                <w:t>三、改进意见</w:t>
              </w:r>
            </w:sdtContent>
          </w:sdt>
          <w:r>
            <w:rPr>
              <w:rFonts w:hint="eastAsia" w:ascii="黑体" w:hAnsi="黑体" w:eastAsia="黑体" w:cs="黑体"/>
              <w:b/>
              <w:bCs/>
              <w:sz w:val="32"/>
              <w:szCs w:val="32"/>
            </w:rPr>
            <w:tab/>
          </w:r>
          <w:bookmarkStart w:id="10" w:name="_Toc965134885_WPSOffice_Level1Page"/>
          <w:r>
            <w:rPr>
              <w:rFonts w:hint="eastAsia" w:ascii="黑体" w:hAnsi="黑体" w:eastAsia="黑体" w:cs="黑体"/>
              <w:b/>
              <w:bCs/>
              <w:sz w:val="32"/>
              <w:szCs w:val="32"/>
            </w:rPr>
            <w:t>20</w:t>
          </w:r>
          <w:bookmarkEnd w:id="10"/>
          <w:r>
            <w:rPr>
              <w:rFonts w:hint="eastAsia" w:ascii="黑体" w:hAnsi="黑体" w:eastAsia="黑体" w:cs="黑体"/>
              <w:b/>
              <w:bCs/>
              <w:sz w:val="32"/>
              <w:szCs w:val="32"/>
            </w:rPr>
            <w:fldChar w:fldCharType="end"/>
          </w:r>
          <w:bookmarkEnd w:id="0"/>
        </w:p>
      </w:sdtContent>
    </w:sdt>
    <w:p>
      <w:pPr>
        <w:ind w:firstLine="640" w:firstLineChars="200"/>
        <w:rPr>
          <w:rFonts w:hint="eastAsia" w:ascii="仿宋_GB2312" w:eastAsia="仿宋_GB2312"/>
          <w:color w:val="auto"/>
          <w:sz w:val="32"/>
          <w:szCs w:val="32"/>
          <w:highlight w:val="none"/>
          <w:lang w:eastAsia="zh-CN"/>
        </w:rPr>
        <w:sectPr>
          <w:footerReference r:id="rId3" w:type="default"/>
          <w:pgSz w:w="11906" w:h="16838"/>
          <w:pgMar w:top="2041" w:right="1417" w:bottom="1417" w:left="1531" w:header="851" w:footer="992" w:gutter="0"/>
          <w:pgNumType w:fmt="numberInDash" w:start="1"/>
          <w:cols w:space="720" w:num="1"/>
          <w:docGrid w:type="lines" w:linePitch="312" w:charSpace="0"/>
        </w:sectPr>
      </w:pPr>
    </w:p>
    <w:p>
      <w:pPr>
        <w:ind w:firstLine="640" w:firstLineChars="200"/>
        <w:rPr>
          <w:rFonts w:hint="default" w:ascii="黑体" w:hAnsi="黑体" w:eastAsia="黑体"/>
          <w:bCs/>
          <w:color w:val="auto"/>
          <w:highlight w:val="none"/>
          <w:lang w:val="en-US" w:eastAsia="zh-CN"/>
        </w:rPr>
      </w:pPr>
      <w:r>
        <w:rPr>
          <w:rFonts w:hint="eastAsia" w:ascii="仿宋_GB2312" w:eastAsia="仿宋_GB2312"/>
          <w:color w:val="auto"/>
          <w:sz w:val="32"/>
          <w:szCs w:val="32"/>
          <w:highlight w:val="none"/>
          <w:lang w:eastAsia="zh-CN"/>
        </w:rPr>
        <w:t>为检验20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lang w:eastAsia="zh-CN"/>
        </w:rPr>
        <w:t>年省级财政防灾救灾</w:t>
      </w:r>
      <w:r>
        <w:rPr>
          <w:rFonts w:hint="eastAsia" w:ascii="仿宋_GB2312" w:eastAsia="仿宋_GB2312"/>
          <w:color w:val="auto"/>
          <w:sz w:val="32"/>
          <w:szCs w:val="32"/>
          <w:highlight w:val="none"/>
          <w:lang w:val="en-US" w:eastAsia="zh-CN"/>
        </w:rPr>
        <w:t>应急资金</w:t>
      </w:r>
      <w:r>
        <w:rPr>
          <w:rFonts w:hint="eastAsia" w:ascii="仿宋_GB2312" w:eastAsia="仿宋_GB2312"/>
          <w:color w:val="auto"/>
          <w:sz w:val="32"/>
          <w:szCs w:val="32"/>
          <w:highlight w:val="none"/>
          <w:lang w:eastAsia="zh-CN"/>
        </w:rPr>
        <w:t>使用绩效，考核专项资金预期绩效目标的实现程度、支出效率和综合效果，</w:t>
      </w:r>
      <w:r>
        <w:rPr>
          <w:rFonts w:hint="eastAsia" w:ascii="仿宋_GB2312" w:hAnsi="Times New Roman" w:eastAsia="仿宋_GB2312" w:cs="Times New Roman"/>
          <w:b w:val="0"/>
          <w:bCs w:val="0"/>
          <w:color w:val="auto"/>
          <w:kern w:val="2"/>
          <w:sz w:val="32"/>
          <w:szCs w:val="32"/>
          <w:highlight w:val="none"/>
          <w:lang w:val="en-US" w:eastAsia="zh-CN" w:bidi="ar-SA"/>
        </w:rPr>
        <w:t>根据《广东省财政厅关于开展2021年省级财政资金绩效自评工作的通知》和《关于做好省农业农村厅2021年省级财政资金绩效自评工作的通知》，我厅对</w:t>
      </w:r>
      <w:r>
        <w:rPr>
          <w:rFonts w:hint="eastAsia" w:ascii="仿宋_GB2312" w:eastAsia="仿宋_GB2312"/>
          <w:color w:val="auto"/>
          <w:sz w:val="32"/>
          <w:szCs w:val="32"/>
          <w:highlight w:val="none"/>
          <w:lang w:eastAsia="zh-CN"/>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lang w:eastAsia="zh-CN"/>
        </w:rPr>
        <w:t>年省级财政防灾救灾</w:t>
      </w:r>
      <w:r>
        <w:rPr>
          <w:rFonts w:hint="eastAsia" w:ascii="仿宋_GB2312" w:eastAsia="仿宋_GB2312"/>
          <w:color w:val="auto"/>
          <w:sz w:val="32"/>
          <w:szCs w:val="32"/>
          <w:highlight w:val="none"/>
          <w:lang w:val="en-US" w:eastAsia="zh-CN"/>
        </w:rPr>
        <w:t>应急资金</w:t>
      </w:r>
      <w:r>
        <w:rPr>
          <w:rFonts w:hint="eastAsia" w:ascii="仿宋_GB2312" w:eastAsia="仿宋_GB2312"/>
          <w:color w:val="auto"/>
          <w:sz w:val="32"/>
          <w:highlight w:val="none"/>
          <w:lang w:val="en-US" w:eastAsia="zh-CN"/>
        </w:rPr>
        <w:t>（对应政策任务共3项）</w:t>
      </w:r>
      <w:r>
        <w:rPr>
          <w:rFonts w:hint="eastAsia" w:ascii="仿宋_GB2312" w:hAnsi="Times New Roman" w:eastAsia="仿宋_GB2312" w:cs="Times New Roman"/>
          <w:b w:val="0"/>
          <w:bCs w:val="0"/>
          <w:color w:val="auto"/>
          <w:kern w:val="2"/>
          <w:sz w:val="32"/>
          <w:szCs w:val="32"/>
          <w:highlight w:val="none"/>
          <w:lang w:val="en-US" w:eastAsia="zh-CN" w:bidi="ar-SA"/>
        </w:rPr>
        <w:t>使用情况组织开展</w:t>
      </w:r>
      <w:r>
        <w:rPr>
          <w:rFonts w:hint="eastAsia" w:ascii="仿宋_GB2312" w:eastAsia="仿宋_GB2312" w:cs="Times New Roman"/>
          <w:b w:val="0"/>
          <w:bCs w:val="0"/>
          <w:color w:val="auto"/>
          <w:kern w:val="2"/>
          <w:sz w:val="32"/>
          <w:szCs w:val="32"/>
          <w:highlight w:val="none"/>
          <w:lang w:val="en-US" w:eastAsia="zh-CN" w:bidi="ar-SA"/>
        </w:rPr>
        <w:t>了</w:t>
      </w:r>
      <w:r>
        <w:rPr>
          <w:rFonts w:hint="eastAsia" w:ascii="仿宋_GB2312" w:hAnsi="Times New Roman" w:eastAsia="仿宋_GB2312" w:cs="Times New Roman"/>
          <w:b w:val="0"/>
          <w:bCs w:val="0"/>
          <w:color w:val="auto"/>
          <w:kern w:val="2"/>
          <w:sz w:val="32"/>
          <w:szCs w:val="32"/>
          <w:highlight w:val="none"/>
          <w:lang w:val="en-US" w:eastAsia="zh-CN" w:bidi="ar-SA"/>
        </w:rPr>
        <w:t>绩效自评。</w:t>
      </w:r>
      <w:r>
        <w:rPr>
          <w:rFonts w:hint="eastAsia" w:ascii="仿宋_GB2312" w:eastAsia="仿宋_GB2312" w:cs="Times New Roman"/>
          <w:b w:val="0"/>
          <w:bCs w:val="0"/>
          <w:color w:val="auto"/>
          <w:kern w:val="2"/>
          <w:sz w:val="32"/>
          <w:szCs w:val="32"/>
          <w:highlight w:val="none"/>
          <w:lang w:val="en-US" w:eastAsia="zh-CN" w:bidi="ar-SA"/>
        </w:rPr>
        <w:t>评价基准日2021年3月31日。</w:t>
      </w:r>
    </w:p>
    <w:p>
      <w:pPr>
        <w:pStyle w:val="13"/>
        <w:pageBreakBefore w:val="0"/>
        <w:kinsoku/>
        <w:wordWrap/>
        <w:overflowPunct/>
        <w:topLinePunct w:val="0"/>
        <w:bidi w:val="0"/>
        <w:spacing w:before="0" w:after="0" w:line="360" w:lineRule="auto"/>
        <w:ind w:firstLine="640"/>
        <w:jc w:val="both"/>
        <w:rPr>
          <w:rFonts w:hint="eastAsia" w:ascii="黑体" w:hAnsi="黑体"/>
          <w:bCs/>
          <w:color w:val="auto"/>
          <w:highlight w:val="none"/>
        </w:rPr>
      </w:pPr>
      <w:bookmarkStart w:id="11" w:name="_Toc1350573793_WPSOffice_Level1"/>
      <w:r>
        <w:rPr>
          <w:rFonts w:hint="eastAsia" w:ascii="黑体" w:hAnsi="黑体"/>
          <w:bCs/>
          <w:color w:val="auto"/>
          <w:highlight w:val="none"/>
        </w:rPr>
        <w:t>一、基本情况</w:t>
      </w:r>
      <w:bookmarkEnd w:id="11"/>
    </w:p>
    <w:p>
      <w:pPr>
        <w:pStyle w:val="3"/>
        <w:pageBreakBefore w:val="0"/>
        <w:numPr>
          <w:ilvl w:val="0"/>
          <w:numId w:val="1"/>
        </w:numPr>
        <w:kinsoku/>
        <w:wordWrap/>
        <w:overflowPunct/>
        <w:topLinePunct w:val="0"/>
        <w:bidi w:val="0"/>
        <w:spacing w:before="0" w:after="0" w:line="360" w:lineRule="auto"/>
        <w:ind w:firstLine="643" w:firstLineChars="200"/>
        <w:outlineLvl w:val="1"/>
        <w:rPr>
          <w:rFonts w:hint="eastAsia" w:ascii="Calibri" w:hAnsi="宋体" w:eastAsia="楷体_GB2312" w:cs="Times New Roman"/>
          <w:b/>
          <w:bCs/>
          <w:color w:val="auto"/>
          <w:kern w:val="44"/>
          <w:sz w:val="32"/>
          <w:szCs w:val="44"/>
          <w:highlight w:val="none"/>
          <w:lang w:val="en-US" w:eastAsia="zh-CN" w:bidi="ar-SA"/>
        </w:rPr>
      </w:pPr>
      <w:bookmarkStart w:id="12" w:name="_Toc4131"/>
      <w:bookmarkStart w:id="13" w:name="_Toc23702"/>
      <w:bookmarkStart w:id="14" w:name="_Toc894549025_WPSOffice_Level2"/>
      <w:r>
        <w:rPr>
          <w:rFonts w:hint="eastAsia" w:ascii="Calibri" w:hAnsi="宋体" w:eastAsia="楷体_GB2312" w:cs="Times New Roman"/>
          <w:b/>
          <w:bCs/>
          <w:color w:val="auto"/>
          <w:kern w:val="44"/>
          <w:sz w:val="32"/>
          <w:szCs w:val="44"/>
          <w:highlight w:val="none"/>
          <w:lang w:val="en-US" w:eastAsia="zh-CN" w:bidi="ar-SA"/>
        </w:rPr>
        <w:t>资金安排情况</w:t>
      </w:r>
      <w:bookmarkEnd w:id="12"/>
      <w:bookmarkEnd w:id="13"/>
      <w:bookmarkEnd w:id="14"/>
    </w:p>
    <w:p>
      <w:pPr>
        <w:pageBreakBefore w:val="0"/>
        <w:kinsoku/>
        <w:wordWrap/>
        <w:overflowPunct/>
        <w:topLinePunct w:val="0"/>
        <w:bidi w:val="0"/>
        <w:snapToGrid w:val="0"/>
        <w:spacing w:beforeLines="0" w:afterLines="0" w:line="360" w:lineRule="auto"/>
        <w:ind w:firstLine="640" w:firstLineChars="200"/>
        <w:rPr>
          <w:rFonts w:hint="eastAsia" w:ascii="仿宋_GB2312" w:eastAsia="仿宋_GB2312"/>
          <w:color w:val="auto"/>
          <w:sz w:val="32"/>
          <w:highlight w:val="none"/>
          <w:lang w:val="en-US" w:eastAsia="zh-CN"/>
        </w:rPr>
      </w:pPr>
      <w:r>
        <w:rPr>
          <w:rFonts w:hint="eastAsia" w:ascii="仿宋_GB2312" w:eastAsia="仿宋_GB2312"/>
          <w:color w:val="auto"/>
          <w:sz w:val="32"/>
          <w:szCs w:val="32"/>
          <w:highlight w:val="none"/>
          <w:lang w:eastAsia="zh-CN"/>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lang w:eastAsia="zh-CN"/>
        </w:rPr>
        <w:t>年省级财政防灾救灾</w:t>
      </w:r>
      <w:r>
        <w:rPr>
          <w:rFonts w:hint="eastAsia" w:ascii="仿宋_GB2312" w:eastAsia="仿宋_GB2312"/>
          <w:color w:val="auto"/>
          <w:sz w:val="32"/>
          <w:szCs w:val="32"/>
          <w:highlight w:val="none"/>
          <w:lang w:val="en-US" w:eastAsia="zh-CN"/>
        </w:rPr>
        <w:t>应急资金</w:t>
      </w:r>
      <w:r>
        <w:rPr>
          <w:rFonts w:hint="eastAsia" w:ascii="仿宋_GB2312" w:eastAsia="仿宋_GB2312"/>
          <w:color w:val="auto"/>
          <w:sz w:val="32"/>
          <w:highlight w:val="none"/>
          <w:lang w:val="en-US" w:eastAsia="zh-CN"/>
        </w:rPr>
        <w:t>预算计划安排9641.47万元，包括家禽及蔬菜瓜果应急收储奖补资金8000万元、红火蚁防控资金1000万元、应急种子储备及调拨资金641.47万元。</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3" w:firstLineChars="200"/>
        <w:textAlignment w:val="auto"/>
        <w:outlineLvl w:val="2"/>
        <w:rPr>
          <w:rFonts w:hint="eastAsia" w:ascii="仿宋_GB2312" w:hAnsi="仿宋_GB2312" w:eastAsia="仿宋_GB2312" w:cs="仿宋_GB2312"/>
          <w:b/>
          <w:bCs/>
          <w:color w:val="auto"/>
          <w:sz w:val="32"/>
          <w:szCs w:val="32"/>
          <w:highlight w:val="none"/>
          <w:lang w:val="en-US" w:eastAsia="zh-CN"/>
        </w:rPr>
      </w:pPr>
      <w:bookmarkStart w:id="15" w:name="_Toc17547"/>
      <w:r>
        <w:rPr>
          <w:rFonts w:hint="eastAsia" w:ascii="仿宋_GB2312" w:hAnsi="仿宋_GB2312" w:eastAsia="仿宋_GB2312" w:cs="仿宋_GB2312"/>
          <w:b/>
          <w:bCs/>
          <w:color w:val="auto"/>
          <w:sz w:val="32"/>
          <w:szCs w:val="32"/>
          <w:highlight w:val="none"/>
          <w:lang w:val="en-US" w:eastAsia="zh-CN"/>
        </w:rPr>
        <w:t>1.家禽及蔬菜瓜果应急收储奖补资金。</w:t>
      </w:r>
      <w:bookmarkEnd w:id="15"/>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Times New Roman" w:eastAsia="仿宋_GB2312" w:cs="Times New Roman"/>
          <w:color w:val="auto"/>
          <w:sz w:val="32"/>
          <w:highlight w:val="none"/>
          <w:lang w:val="en-US" w:eastAsia="zh-CN"/>
        </w:rPr>
        <w:t>为解决新冠肺炎疫情防控期间我省家禽及蔬菜瓜果积压滞销问题，保持农业稳定发展，坚决打赢新冠肺炎疫情防控阻击战，根据省委省政府有关决策部署精神，按照</w:t>
      </w:r>
      <w:r>
        <w:rPr>
          <w:rFonts w:hint="eastAsia" w:ascii="仿宋_GB2312" w:eastAsia="仿宋_GB2312" w:cs="Times New Roman"/>
          <w:color w:val="auto"/>
          <w:sz w:val="32"/>
          <w:highlight w:val="none"/>
          <w:lang w:val="en-US" w:eastAsia="zh-CN"/>
        </w:rPr>
        <w:t>我</w:t>
      </w:r>
      <w:r>
        <w:rPr>
          <w:rFonts w:hint="eastAsia" w:ascii="仿宋_GB2312" w:hAnsi="Times New Roman" w:eastAsia="仿宋_GB2312" w:cs="Times New Roman"/>
          <w:color w:val="auto"/>
          <w:sz w:val="32"/>
          <w:highlight w:val="none"/>
          <w:lang w:val="en-US" w:eastAsia="zh-CN"/>
        </w:rPr>
        <w:t>厅</w:t>
      </w:r>
      <w:r>
        <w:rPr>
          <w:rFonts w:hint="eastAsia" w:ascii="仿宋_GB2312" w:eastAsia="仿宋_GB2312" w:cs="Times New Roman"/>
          <w:color w:val="auto"/>
          <w:sz w:val="32"/>
          <w:highlight w:val="none"/>
          <w:lang w:val="en-US" w:eastAsia="zh-CN"/>
        </w:rPr>
        <w:t>提出的</w:t>
      </w:r>
      <w:r>
        <w:rPr>
          <w:rFonts w:hint="eastAsia" w:ascii="仿宋_GB2312" w:hAnsi="Times New Roman" w:eastAsia="仿宋_GB2312" w:cs="Times New Roman"/>
          <w:color w:val="auto"/>
          <w:sz w:val="32"/>
          <w:highlight w:val="none"/>
          <w:lang w:val="en-US" w:eastAsia="zh-CN"/>
        </w:rPr>
        <w:t>资金分配方案，2020年2月28日《广东省财政厅关于下达家禽水产品及蔬菜瓜果应急收储奖补资金的通知》（粤财农〔2020〕21号）下达家禽收储应急补贴资金资金6000万元，用于家禽应急收储奖补</w:t>
      </w:r>
      <w:r>
        <w:rPr>
          <w:rFonts w:hint="eastAsia" w:ascii="仿宋_GB2312" w:eastAsia="仿宋_GB2312" w:cs="Times New Roman"/>
          <w:color w:val="auto"/>
          <w:sz w:val="32"/>
          <w:highlight w:val="none"/>
          <w:lang w:val="en-US" w:eastAsia="zh-CN"/>
        </w:rPr>
        <w:t>。</w:t>
      </w:r>
      <w:r>
        <w:rPr>
          <w:rFonts w:hint="eastAsia" w:ascii="仿宋_GB2312" w:hAnsi="Times New Roman" w:eastAsia="仿宋_GB2312" w:cs="Times New Roman"/>
          <w:color w:val="auto"/>
          <w:sz w:val="32"/>
          <w:highlight w:val="none"/>
          <w:lang w:val="en-US" w:eastAsia="zh-CN"/>
        </w:rPr>
        <w:t>计划收储家禽3340万只</w:t>
      </w:r>
      <w:r>
        <w:rPr>
          <w:rFonts w:hint="eastAsia" w:ascii="仿宋_GB2312" w:eastAsia="仿宋_GB2312" w:cs="Times New Roman"/>
          <w:color w:val="auto"/>
          <w:sz w:val="32"/>
          <w:highlight w:val="none"/>
          <w:lang w:val="en-US" w:eastAsia="zh-CN"/>
        </w:rPr>
        <w:t>；</w:t>
      </w:r>
      <w:r>
        <w:rPr>
          <w:rFonts w:hint="eastAsia" w:ascii="仿宋_GB2312" w:hAnsi="Times New Roman" w:eastAsia="仿宋_GB2312" w:cs="Times New Roman"/>
          <w:color w:val="auto"/>
          <w:sz w:val="32"/>
          <w:highlight w:val="none"/>
          <w:lang w:val="en-US" w:eastAsia="zh-CN"/>
        </w:rPr>
        <w:t>下达蔬菜瓜果收购、贮藏应急补贴资金2000万元，用于各地蔬菜瓜果收购、贮藏应急补贴，计划收贮任务11.6</w:t>
      </w:r>
      <w:r>
        <w:rPr>
          <w:rFonts w:hint="eastAsia" w:ascii="仿宋_GB2312" w:eastAsia="仿宋_GB2312" w:cs="Times New Roman"/>
          <w:color w:val="auto"/>
          <w:sz w:val="32"/>
          <w:highlight w:val="none"/>
          <w:lang w:val="en-US" w:eastAsia="zh-CN"/>
        </w:rPr>
        <w:t>0</w:t>
      </w:r>
      <w:r>
        <w:rPr>
          <w:rFonts w:hint="eastAsia" w:ascii="仿宋_GB2312" w:hAnsi="Times New Roman" w:eastAsia="仿宋_GB2312" w:cs="Times New Roman"/>
          <w:color w:val="auto"/>
          <w:sz w:val="32"/>
          <w:highlight w:val="none"/>
          <w:lang w:val="en-US" w:eastAsia="zh-CN"/>
        </w:rPr>
        <w:t>万吨。</w:t>
      </w:r>
      <w:r>
        <w:rPr>
          <w:rFonts w:hint="eastAsia" w:ascii="仿宋_GB2312" w:hAnsi="仿宋_GB2312" w:eastAsia="仿宋_GB2312" w:cs="仿宋_GB2312"/>
          <w:color w:val="auto"/>
          <w:sz w:val="32"/>
          <w:szCs w:val="32"/>
          <w:highlight w:val="none"/>
          <w:lang w:val="en-US" w:eastAsia="zh-CN"/>
        </w:rPr>
        <w:t>具体的资金安排情况见表1-1。</w:t>
      </w:r>
    </w:p>
    <w:p>
      <w:pPr>
        <w:rPr>
          <w:rFonts w:hint="eastAsia"/>
          <w:color w:val="auto"/>
          <w:highlight w:val="none"/>
          <w:lang w:val="en-US" w:eastAsia="zh-CN"/>
        </w:rPr>
      </w:pPr>
    </w:p>
    <w:p>
      <w:pPr>
        <w:pStyle w:val="2"/>
        <w:ind w:left="0" w:leftChars="0" w:firstLine="0" w:firstLineChars="0"/>
        <w:jc w:val="center"/>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表1-1  2020年省级家禽及蔬菜瓜果应急收储奖补资金安排情况表</w:t>
      </w:r>
    </w:p>
    <w:tbl>
      <w:tblPr>
        <w:tblStyle w:val="17"/>
        <w:tblW w:w="8495" w:type="dxa"/>
        <w:jc w:val="center"/>
        <w:tblInd w:w="0" w:type="dxa"/>
        <w:shd w:val="clear" w:color="auto" w:fill="auto"/>
        <w:tblLayout w:type="fixed"/>
        <w:tblCellMar>
          <w:top w:w="0" w:type="dxa"/>
          <w:left w:w="0" w:type="dxa"/>
          <w:bottom w:w="0" w:type="dxa"/>
          <w:right w:w="0" w:type="dxa"/>
        </w:tblCellMar>
      </w:tblPr>
      <w:tblGrid>
        <w:gridCol w:w="2483"/>
        <w:gridCol w:w="4225"/>
        <w:gridCol w:w="1787"/>
      </w:tblGrid>
      <w:tr>
        <w:tblPrEx>
          <w:shd w:val="clear" w:color="auto" w:fill="auto"/>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Times New Roman" w:hAnsi="Times New Roman" w:eastAsia="仿宋" w:cs="Times New Roman"/>
                <w:b/>
                <w:bCs/>
                <w:i w:val="0"/>
                <w:color w:val="auto"/>
                <w:sz w:val="24"/>
                <w:szCs w:val="24"/>
                <w:highlight w:val="none"/>
                <w:u w:val="none"/>
              </w:rPr>
            </w:pPr>
            <w:r>
              <w:rPr>
                <w:rFonts w:hint="default" w:ascii="仿宋_GB2312" w:hAnsi="仿宋_GB2312" w:eastAsia="仿宋_GB2312" w:cs="仿宋_GB2312"/>
                <w:b/>
                <w:bCs/>
                <w:color w:val="auto"/>
                <w:sz w:val="24"/>
                <w:szCs w:val="24"/>
                <w:highlight w:val="none"/>
                <w:lang w:val="en-US" w:eastAsia="zh-CN"/>
              </w:rPr>
              <w:t>单位名称</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bCs/>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项目名称</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bCs/>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金额</w:t>
            </w:r>
            <w:r>
              <w:rPr>
                <w:rFonts w:hint="eastAsia" w:ascii="仿宋_GB2312" w:hAnsi="仿宋_GB2312" w:eastAsia="仿宋_GB2312" w:cs="仿宋_GB2312"/>
                <w:b/>
                <w:bCs/>
                <w:color w:val="auto"/>
                <w:sz w:val="24"/>
                <w:szCs w:val="24"/>
                <w:highlight w:val="none"/>
                <w:lang w:val="en-US" w:eastAsia="zh-CN"/>
              </w:rPr>
              <w:t>（万元）</w:t>
            </w:r>
          </w:p>
        </w:tc>
      </w:tr>
      <w:tr>
        <w:tblPrEx>
          <w:tblLayout w:type="fixed"/>
          <w:tblCellMar>
            <w:top w:w="0" w:type="dxa"/>
            <w:left w:w="0" w:type="dxa"/>
            <w:bottom w:w="0" w:type="dxa"/>
            <w:right w:w="0" w:type="dxa"/>
          </w:tblCellMar>
        </w:tblPrEx>
        <w:trPr>
          <w:trHeight w:val="304" w:hRule="atLeast"/>
          <w:jc w:val="center"/>
        </w:trPr>
        <w:tc>
          <w:tcPr>
            <w:tcW w:w="670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bCs/>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合</w:t>
            </w:r>
            <w:r>
              <w:rPr>
                <w:rFonts w:hint="eastAsia" w:ascii="仿宋_GB2312" w:hAnsi="仿宋_GB2312" w:eastAsia="仿宋_GB2312" w:cs="仿宋_GB2312"/>
                <w:b/>
                <w:bCs/>
                <w:color w:val="auto"/>
                <w:sz w:val="24"/>
                <w:szCs w:val="24"/>
                <w:highlight w:val="none"/>
                <w:lang w:val="en-US" w:eastAsia="zh-CN"/>
              </w:rPr>
              <w:t xml:space="preserve">  </w:t>
            </w:r>
            <w:r>
              <w:rPr>
                <w:rFonts w:hint="default" w:ascii="仿宋_GB2312" w:hAnsi="仿宋_GB2312" w:eastAsia="仿宋_GB2312" w:cs="仿宋_GB2312"/>
                <w:b/>
                <w:bCs/>
                <w:color w:val="auto"/>
                <w:sz w:val="24"/>
                <w:szCs w:val="24"/>
                <w:highlight w:val="none"/>
                <w:lang w:val="en-US" w:eastAsia="zh-CN"/>
              </w:rPr>
              <w:t>计</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bCs/>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 xml:space="preserve">8000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广州市小计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300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广州市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200 </w:t>
            </w:r>
          </w:p>
        </w:tc>
      </w:tr>
      <w:tr>
        <w:tblPrEx>
          <w:tblLayout w:type="fixed"/>
          <w:tblCellMar>
            <w:top w:w="0" w:type="dxa"/>
            <w:left w:w="0" w:type="dxa"/>
            <w:bottom w:w="0" w:type="dxa"/>
            <w:right w:w="0" w:type="dxa"/>
          </w:tblCellMar>
        </w:tblPrEx>
        <w:trPr>
          <w:trHeight w:val="357"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广州市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珠海市小计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180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珠海市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130 </w:t>
            </w:r>
          </w:p>
        </w:tc>
      </w:tr>
      <w:tr>
        <w:tblPrEx>
          <w:tblLayout w:type="fixed"/>
          <w:tblCellMar>
            <w:top w:w="0" w:type="dxa"/>
            <w:left w:w="0" w:type="dxa"/>
            <w:bottom w:w="0" w:type="dxa"/>
            <w:right w:w="0" w:type="dxa"/>
          </w:tblCellMar>
        </w:tblPrEx>
        <w:trPr>
          <w:trHeight w:val="355"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珠海市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汕头市小计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330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汕头市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180 </w:t>
            </w:r>
          </w:p>
        </w:tc>
      </w:tr>
      <w:tr>
        <w:tblPrEx>
          <w:tblLayout w:type="fixed"/>
          <w:tblCellMar>
            <w:top w:w="0" w:type="dxa"/>
            <w:left w:w="0" w:type="dxa"/>
            <w:bottom w:w="0" w:type="dxa"/>
            <w:right w:w="0" w:type="dxa"/>
          </w:tblCellMar>
        </w:tblPrEx>
        <w:trPr>
          <w:trHeight w:val="34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汕头市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佛山市小计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220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佛山市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170 </w:t>
            </w:r>
          </w:p>
        </w:tc>
      </w:tr>
      <w:tr>
        <w:tblPrEx>
          <w:tblLayout w:type="fixed"/>
          <w:tblCellMar>
            <w:top w:w="0" w:type="dxa"/>
            <w:left w:w="0" w:type="dxa"/>
            <w:bottom w:w="0" w:type="dxa"/>
            <w:right w:w="0" w:type="dxa"/>
          </w:tblCellMar>
        </w:tblPrEx>
        <w:trPr>
          <w:trHeight w:val="331"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佛山市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韶关市小计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260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韶关市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160 </w:t>
            </w:r>
          </w:p>
        </w:tc>
      </w:tr>
      <w:tr>
        <w:tblPrEx>
          <w:tblLayout w:type="fixed"/>
          <w:tblCellMar>
            <w:top w:w="0" w:type="dxa"/>
            <w:left w:w="0" w:type="dxa"/>
            <w:bottom w:w="0" w:type="dxa"/>
            <w:right w:w="0" w:type="dxa"/>
          </w:tblCellMar>
        </w:tblPrEx>
        <w:trPr>
          <w:trHeight w:val="297"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韶关市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河源市小计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540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河源市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440 </w:t>
            </w:r>
          </w:p>
        </w:tc>
      </w:tr>
      <w:tr>
        <w:tblPrEx>
          <w:tblLayout w:type="fixed"/>
          <w:tblCellMar>
            <w:top w:w="0" w:type="dxa"/>
            <w:left w:w="0" w:type="dxa"/>
            <w:bottom w:w="0" w:type="dxa"/>
            <w:right w:w="0" w:type="dxa"/>
          </w:tblCellMar>
        </w:tblPrEx>
        <w:trPr>
          <w:trHeight w:val="355"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河源市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梅州市小计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580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梅州市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480 </w:t>
            </w:r>
          </w:p>
        </w:tc>
      </w:tr>
      <w:tr>
        <w:tblPrEx>
          <w:tblLayout w:type="fixed"/>
          <w:tblCellMar>
            <w:top w:w="0" w:type="dxa"/>
            <w:left w:w="0" w:type="dxa"/>
            <w:bottom w:w="0" w:type="dxa"/>
            <w:right w:w="0" w:type="dxa"/>
          </w:tblCellMar>
        </w:tblPrEx>
        <w:trPr>
          <w:trHeight w:val="41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梅州市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惠州市小计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惠州市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400 </w:t>
            </w:r>
          </w:p>
        </w:tc>
      </w:tr>
      <w:tr>
        <w:tblPrEx>
          <w:tblLayout w:type="fixed"/>
          <w:tblCellMar>
            <w:top w:w="0" w:type="dxa"/>
            <w:left w:w="0" w:type="dxa"/>
            <w:bottom w:w="0" w:type="dxa"/>
            <w:right w:w="0" w:type="dxa"/>
          </w:tblCellMar>
        </w:tblPrEx>
        <w:trPr>
          <w:trHeight w:val="423"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惠州市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汕尾市小计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230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汕尾市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180 </w:t>
            </w:r>
          </w:p>
        </w:tc>
      </w:tr>
      <w:tr>
        <w:tblPrEx>
          <w:tblLayout w:type="fixed"/>
          <w:tblCellMar>
            <w:top w:w="0" w:type="dxa"/>
            <w:left w:w="0" w:type="dxa"/>
            <w:bottom w:w="0" w:type="dxa"/>
            <w:right w:w="0" w:type="dxa"/>
          </w:tblCellMar>
        </w:tblPrEx>
        <w:trPr>
          <w:trHeight w:val="381"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汕尾市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东莞市小计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130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东莞市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80 </w:t>
            </w:r>
          </w:p>
        </w:tc>
      </w:tr>
      <w:tr>
        <w:tblPrEx>
          <w:tblLayout w:type="fixed"/>
          <w:tblCellMar>
            <w:top w:w="0" w:type="dxa"/>
            <w:left w:w="0" w:type="dxa"/>
            <w:bottom w:w="0" w:type="dxa"/>
            <w:right w:w="0" w:type="dxa"/>
          </w:tblCellMar>
        </w:tblPrEx>
        <w:trPr>
          <w:trHeight w:val="292"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东莞市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中山市小计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70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中山市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20 </w:t>
            </w:r>
          </w:p>
        </w:tc>
      </w:tr>
      <w:tr>
        <w:tblPrEx>
          <w:tblLayout w:type="fixed"/>
          <w:tblCellMar>
            <w:top w:w="0" w:type="dxa"/>
            <w:left w:w="0" w:type="dxa"/>
            <w:bottom w:w="0" w:type="dxa"/>
            <w:right w:w="0" w:type="dxa"/>
          </w:tblCellMar>
        </w:tblPrEx>
        <w:trPr>
          <w:trHeight w:val="381"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中山市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430 </w:t>
            </w:r>
          </w:p>
        </w:tc>
      </w:tr>
      <w:tr>
        <w:tblPrEx>
          <w:tblLayout w:type="fixed"/>
          <w:tblCellMar>
            <w:top w:w="0" w:type="dxa"/>
            <w:left w:w="0" w:type="dxa"/>
            <w:bottom w:w="0" w:type="dxa"/>
            <w:right w:w="0" w:type="dxa"/>
          </w:tblCellMar>
        </w:tblPrEx>
        <w:trPr>
          <w:trHeight w:val="687"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家禽应急补贴资金（江门市享受省级转移支付政策的县（市）</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300</w:t>
            </w:r>
          </w:p>
        </w:tc>
      </w:tr>
      <w:tr>
        <w:tblPrEx>
          <w:tblLayout w:type="fixed"/>
          <w:tblCellMar>
            <w:top w:w="0" w:type="dxa"/>
            <w:left w:w="0" w:type="dxa"/>
            <w:bottom w:w="0" w:type="dxa"/>
            <w:right w:w="0" w:type="dxa"/>
          </w:tblCellMar>
        </w:tblPrEx>
        <w:trPr>
          <w:trHeight w:val="590"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家禽收储应急补贴资金（江门市其他地区）</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80</w:t>
            </w:r>
          </w:p>
        </w:tc>
      </w:tr>
      <w:tr>
        <w:tblPrEx>
          <w:tblLayout w:type="fixed"/>
          <w:tblCellMar>
            <w:top w:w="0" w:type="dxa"/>
            <w:left w:w="0" w:type="dxa"/>
            <w:bottom w:w="0" w:type="dxa"/>
            <w:right w:w="0" w:type="dxa"/>
          </w:tblCellMar>
        </w:tblPrEx>
        <w:trPr>
          <w:trHeight w:val="56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蔬莱瓜果收购、贮藏应急补贴资金（江门市享受省级转移支付政策的县（市））</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30</w:t>
            </w:r>
          </w:p>
        </w:tc>
      </w:tr>
      <w:tr>
        <w:tblPrEx>
          <w:tblLayout w:type="fixed"/>
          <w:tblCellMar>
            <w:top w:w="0" w:type="dxa"/>
            <w:left w:w="0" w:type="dxa"/>
            <w:bottom w:w="0" w:type="dxa"/>
            <w:right w:w="0" w:type="dxa"/>
          </w:tblCellMar>
        </w:tblPrEx>
        <w:trPr>
          <w:trHeight w:val="56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蔬菜瓜果收购、贮藏应急补贴资金（江门市其他地区）</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20</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阳江市小计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310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阳江市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260 </w:t>
            </w:r>
          </w:p>
        </w:tc>
      </w:tr>
      <w:tr>
        <w:tblPrEx>
          <w:tblLayout w:type="fixed"/>
          <w:tblCellMar>
            <w:top w:w="0" w:type="dxa"/>
            <w:left w:w="0" w:type="dxa"/>
            <w:bottom w:w="0" w:type="dxa"/>
            <w:right w:w="0" w:type="dxa"/>
          </w:tblCellMar>
        </w:tblPrEx>
        <w:trPr>
          <w:trHeight w:val="415"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阳江市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w:t>
            </w:r>
            <w:r>
              <w:rPr>
                <w:rFonts w:hint="eastAsia" w:ascii="仿宋_GB2312" w:hAnsi="仿宋_GB2312" w:eastAsia="仿宋_GB2312" w:cs="仿宋_GB2312"/>
                <w:b w:val="0"/>
                <w:bCs w:val="0"/>
                <w:color w:val="auto"/>
                <w:sz w:val="24"/>
                <w:szCs w:val="24"/>
                <w:highlight w:val="none"/>
                <w:lang w:val="en-US" w:eastAsia="zh-CN"/>
              </w:rPr>
              <w:t>果</w:t>
            </w:r>
            <w:r>
              <w:rPr>
                <w:rFonts w:hint="default" w:ascii="仿宋_GB2312" w:hAnsi="仿宋_GB2312" w:eastAsia="仿宋_GB2312" w:cs="仿宋_GB2312"/>
                <w:b w:val="0"/>
                <w:bCs w:val="0"/>
                <w:color w:val="auto"/>
                <w:sz w:val="24"/>
                <w:szCs w:val="24"/>
                <w:highlight w:val="none"/>
                <w:lang w:val="en-US" w:eastAsia="zh-CN"/>
              </w:rPr>
              <w:t>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湛江市小计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820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湛江市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320 </w:t>
            </w:r>
          </w:p>
        </w:tc>
      </w:tr>
      <w:tr>
        <w:tblPrEx>
          <w:tblLayout w:type="fixed"/>
          <w:tblCellMar>
            <w:top w:w="0" w:type="dxa"/>
            <w:left w:w="0" w:type="dxa"/>
            <w:bottom w:w="0" w:type="dxa"/>
            <w:right w:w="0" w:type="dxa"/>
          </w:tblCellMar>
        </w:tblPrEx>
        <w:trPr>
          <w:trHeight w:val="34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湛江市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茂名市小计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1130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茂名市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980 </w:t>
            </w:r>
          </w:p>
        </w:tc>
      </w:tr>
      <w:tr>
        <w:tblPrEx>
          <w:tblLayout w:type="fixed"/>
          <w:tblCellMar>
            <w:top w:w="0" w:type="dxa"/>
            <w:left w:w="0" w:type="dxa"/>
            <w:bottom w:w="0" w:type="dxa"/>
            <w:right w:w="0" w:type="dxa"/>
          </w:tblCellMar>
        </w:tblPrEx>
        <w:trPr>
          <w:trHeight w:val="329"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茂名市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肇庆市小计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370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肇庆市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320 </w:t>
            </w:r>
          </w:p>
        </w:tc>
      </w:tr>
      <w:tr>
        <w:tblPrEx>
          <w:tblLayout w:type="fixed"/>
          <w:tblCellMar>
            <w:top w:w="0" w:type="dxa"/>
            <w:left w:w="0" w:type="dxa"/>
            <w:bottom w:w="0" w:type="dxa"/>
            <w:right w:w="0" w:type="dxa"/>
          </w:tblCellMar>
        </w:tblPrEx>
        <w:trPr>
          <w:trHeight w:val="320"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肇庆市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清远市小计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600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清远市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500 </w:t>
            </w:r>
          </w:p>
        </w:tc>
      </w:tr>
      <w:tr>
        <w:tblPrEx>
          <w:tblLayout w:type="fixed"/>
          <w:tblCellMar>
            <w:top w:w="0" w:type="dxa"/>
            <w:left w:w="0" w:type="dxa"/>
            <w:bottom w:w="0" w:type="dxa"/>
            <w:right w:w="0" w:type="dxa"/>
          </w:tblCellMar>
        </w:tblPrEx>
        <w:trPr>
          <w:trHeight w:val="40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清远市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潮州市小计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110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潮州市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60 </w:t>
            </w:r>
          </w:p>
        </w:tc>
      </w:tr>
      <w:tr>
        <w:tblPrEx>
          <w:tblLayout w:type="fixed"/>
          <w:tblCellMar>
            <w:top w:w="0" w:type="dxa"/>
            <w:left w:w="0" w:type="dxa"/>
            <w:bottom w:w="0" w:type="dxa"/>
            <w:right w:w="0" w:type="dxa"/>
          </w:tblCellMar>
        </w:tblPrEx>
        <w:trPr>
          <w:trHeight w:val="389"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湖州市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揭阳市小计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190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揭阳市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140 </w:t>
            </w:r>
          </w:p>
        </w:tc>
      </w:tr>
      <w:tr>
        <w:tblPrEx>
          <w:tblLayout w:type="fixed"/>
          <w:tblCellMar>
            <w:top w:w="0" w:type="dxa"/>
            <w:left w:w="0" w:type="dxa"/>
            <w:bottom w:w="0" w:type="dxa"/>
            <w:right w:w="0" w:type="dxa"/>
          </w:tblCellMar>
        </w:tblPrEx>
        <w:trPr>
          <w:trHeight w:val="372"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揭阳市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云浮市小计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650 </w:t>
            </w:r>
          </w:p>
        </w:tc>
      </w:tr>
      <w:tr>
        <w:tblPrEx>
          <w:tblLayout w:type="fixed"/>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云浮市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600 </w:t>
            </w:r>
          </w:p>
        </w:tc>
      </w:tr>
      <w:tr>
        <w:tblPrEx>
          <w:tblLayout w:type="fixed"/>
          <w:tblCellMar>
            <w:top w:w="0" w:type="dxa"/>
            <w:left w:w="0" w:type="dxa"/>
            <w:bottom w:w="0" w:type="dxa"/>
            <w:right w:w="0" w:type="dxa"/>
          </w:tblCellMar>
        </w:tblPrEx>
        <w:trPr>
          <w:trHeight w:val="357"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云浮市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bl>
    <w:p>
      <w:pPr>
        <w:pStyle w:val="2"/>
        <w:rPr>
          <w:rFonts w:hint="eastAsia" w:ascii="仿宋_GB2312" w:eastAsia="仿宋_GB2312"/>
          <w:color w:val="auto"/>
          <w:sz w:val="32"/>
          <w:szCs w:val="32"/>
          <w:highlight w:val="none"/>
          <w:lang w:val="en-US" w:eastAsia="zh-CN"/>
        </w:rPr>
      </w:pPr>
    </w:p>
    <w:p>
      <w:pPr>
        <w:rPr>
          <w:rFonts w:hint="eastAsia"/>
          <w:color w:val="auto"/>
          <w:highlight w:val="none"/>
          <w:lang w:val="en-US" w:eastAsia="zh-CN"/>
        </w:rPr>
      </w:pPr>
    </w:p>
    <w:p>
      <w:pPr>
        <w:keepNext w:val="0"/>
        <w:keepLines w:val="0"/>
        <w:widowControl/>
        <w:suppressLineNumbers w:val="0"/>
        <w:ind w:firstLine="640" w:firstLineChars="200"/>
        <w:jc w:val="left"/>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2020年10月，新冠肺炎疫情防控逐步常态化，市场秩序基本恢复正常，我厅印发《关于停止发放2020年广东省家禽水产品收储和蔬菜瓜果收购、贮藏应急补贴的通知》（粤农农计〔2020〕69号），要求各地市从2020年11月份停止家禽水产品收储和蔬菜瓜果收购、贮藏应急补贴工作，各市尚未发放的省级补贴资金3561.62万元</w:t>
      </w:r>
      <w:r>
        <w:rPr>
          <w:rFonts w:ascii="仿宋_GB2312" w:hAnsi="仿宋_GB2312" w:eastAsia="仿宋_GB2312" w:cs="仿宋_GB2312"/>
          <w:color w:val="auto"/>
          <w:kern w:val="0"/>
          <w:sz w:val="31"/>
          <w:szCs w:val="31"/>
          <w:highlight w:val="none"/>
          <w:lang w:val="en-US" w:eastAsia="zh-CN" w:bidi="ar"/>
        </w:rPr>
        <w:t>退回省</w:t>
      </w:r>
      <w:r>
        <w:rPr>
          <w:rFonts w:hint="eastAsia" w:ascii="仿宋_GB2312" w:hAnsi="仿宋_GB2312" w:eastAsia="仿宋_GB2312" w:cs="仿宋_GB2312"/>
          <w:color w:val="auto"/>
          <w:kern w:val="0"/>
          <w:sz w:val="31"/>
          <w:szCs w:val="31"/>
          <w:highlight w:val="none"/>
          <w:lang w:val="en-US" w:eastAsia="zh-CN" w:bidi="ar"/>
        </w:rPr>
        <w:t>财政厅</w:t>
      </w:r>
      <w:r>
        <w:rPr>
          <w:rFonts w:hint="eastAsia" w:ascii="仿宋_GB2312" w:eastAsia="仿宋_GB2312"/>
          <w:color w:val="auto"/>
          <w:sz w:val="32"/>
          <w:szCs w:val="32"/>
          <w:highlight w:val="none"/>
          <w:lang w:val="en-US" w:eastAsia="zh-CN"/>
        </w:rPr>
        <w:t>。因此，2020年实际安排家禽及蔬菜瓜果应急收储奖补资金预算4438.38万元。</w:t>
      </w:r>
    </w:p>
    <w:p>
      <w:pPr>
        <w:ind w:firstLine="643" w:firstLineChars="200"/>
        <w:outlineLvl w:val="2"/>
        <w:rPr>
          <w:rFonts w:hint="eastAsia" w:ascii="仿宋_GB2312" w:eastAsia="仿宋_GB2312"/>
          <w:color w:val="auto"/>
          <w:sz w:val="32"/>
          <w:szCs w:val="32"/>
          <w:highlight w:val="none"/>
          <w:lang w:val="en-US" w:eastAsia="zh-CN"/>
        </w:rPr>
      </w:pPr>
      <w:bookmarkStart w:id="16" w:name="_Toc17897"/>
      <w:r>
        <w:rPr>
          <w:rFonts w:hint="eastAsia" w:ascii="仿宋_GB2312" w:eastAsia="仿宋_GB2312"/>
          <w:b/>
          <w:bCs/>
          <w:color w:val="auto"/>
          <w:sz w:val="32"/>
          <w:szCs w:val="32"/>
          <w:highlight w:val="none"/>
          <w:lang w:val="en-US" w:eastAsia="zh-CN"/>
        </w:rPr>
        <w:t>2.红火蚁防控资金。</w:t>
      </w:r>
      <w:bookmarkEnd w:id="16"/>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《广东省财政厅关于下达2020年省级财政防灾救灾应急资金（红火蚁防控）的通知 》（粤财农〔2020〕170号）下达红火蚁防控资金1000万元，用于支持20个地级市（深圳市除外）统一采购红火蚁防治药剂、支持辖区各县（市、区）开展红火蚁统一防控行动。具体的资金安排情况见表1-2。</w:t>
      </w:r>
    </w:p>
    <w:p>
      <w:pPr>
        <w:pStyle w:val="2"/>
        <w:rPr>
          <w:rFonts w:hint="default"/>
          <w:color w:val="auto"/>
          <w:highlight w:val="none"/>
          <w:lang w:val="en-US" w:eastAsia="zh-CN"/>
        </w:rPr>
      </w:pPr>
    </w:p>
    <w:p>
      <w:pPr>
        <w:ind w:left="0" w:leftChars="0" w:firstLine="0" w:firstLineChars="0"/>
        <w:jc w:val="center"/>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 xml:space="preserve">表1-2  </w:t>
      </w:r>
      <w:r>
        <w:rPr>
          <w:rFonts w:hint="eastAsia" w:ascii="黑体" w:hAnsi="黑体" w:eastAsia="黑体" w:cs="黑体"/>
          <w:b w:val="0"/>
          <w:bCs w:val="0"/>
          <w:color w:val="auto"/>
          <w:sz w:val="28"/>
          <w:szCs w:val="28"/>
          <w:highlight w:val="none"/>
          <w:lang w:val="en-US" w:eastAsia="zh-CN"/>
        </w:rPr>
        <w:t>2020年省级</w:t>
      </w:r>
      <w:r>
        <w:rPr>
          <w:rFonts w:hint="eastAsia" w:ascii="黑体" w:hAnsi="黑体" w:eastAsia="黑体" w:cs="黑体"/>
          <w:color w:val="auto"/>
          <w:sz w:val="28"/>
          <w:szCs w:val="28"/>
          <w:highlight w:val="none"/>
          <w:lang w:val="en-US" w:eastAsia="zh-CN"/>
        </w:rPr>
        <w:t>红火蚁防控资金安排情况表</w:t>
      </w:r>
    </w:p>
    <w:tbl>
      <w:tblPr>
        <w:tblStyle w:val="17"/>
        <w:tblW w:w="8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36"/>
        <w:gridCol w:w="1661"/>
        <w:gridCol w:w="2808"/>
        <w:gridCol w:w="1716"/>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4"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i w:val="0"/>
                <w:color w:val="auto"/>
                <w:sz w:val="24"/>
                <w:szCs w:val="24"/>
                <w:highlight w:val="none"/>
                <w:u w:val="none"/>
              </w:rPr>
            </w:pPr>
            <w:r>
              <w:rPr>
                <w:rFonts w:hint="default" w:ascii="仿宋_GB2312" w:eastAsia="仿宋_GB2312"/>
                <w:b/>
                <w:bCs/>
                <w:color w:val="auto"/>
                <w:sz w:val="24"/>
                <w:szCs w:val="24"/>
                <w:highlight w:val="none"/>
                <w:lang w:val="en-US" w:eastAsia="zh-CN"/>
              </w:rPr>
              <w:t>序号</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bCs/>
                <w:color w:val="auto"/>
                <w:sz w:val="24"/>
                <w:szCs w:val="24"/>
                <w:highlight w:val="none"/>
                <w:lang w:val="en-US" w:eastAsia="zh-CN"/>
              </w:rPr>
            </w:pPr>
            <w:r>
              <w:rPr>
                <w:rFonts w:hint="default" w:ascii="仿宋_GB2312" w:eastAsia="仿宋_GB2312"/>
                <w:b/>
                <w:bCs/>
                <w:color w:val="auto"/>
                <w:sz w:val="24"/>
                <w:szCs w:val="24"/>
                <w:highlight w:val="none"/>
                <w:lang w:val="en-US" w:eastAsia="zh-CN"/>
              </w:rPr>
              <w:t>市别</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bCs/>
                <w:color w:val="auto"/>
                <w:sz w:val="24"/>
                <w:szCs w:val="24"/>
                <w:highlight w:val="none"/>
                <w:lang w:val="en-US" w:eastAsia="zh-CN"/>
              </w:rPr>
            </w:pPr>
            <w:r>
              <w:rPr>
                <w:rFonts w:hint="default" w:ascii="仿宋_GB2312" w:eastAsia="仿宋_GB2312"/>
                <w:b/>
                <w:bCs/>
                <w:color w:val="auto"/>
                <w:sz w:val="24"/>
                <w:szCs w:val="24"/>
                <w:highlight w:val="none"/>
                <w:lang w:val="en-US" w:eastAsia="zh-CN"/>
              </w:rPr>
              <w:t>项目承担单位</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bCs/>
                <w:color w:val="auto"/>
                <w:sz w:val="24"/>
                <w:szCs w:val="24"/>
                <w:highlight w:val="none"/>
                <w:lang w:val="en-US" w:eastAsia="zh-CN"/>
              </w:rPr>
            </w:pPr>
            <w:r>
              <w:rPr>
                <w:rFonts w:hint="default" w:ascii="仿宋_GB2312" w:eastAsia="仿宋_GB2312"/>
                <w:b/>
                <w:bCs/>
                <w:color w:val="auto"/>
                <w:sz w:val="24"/>
                <w:szCs w:val="24"/>
                <w:highlight w:val="none"/>
                <w:lang w:val="en-US" w:eastAsia="zh-CN"/>
              </w:rPr>
              <w:t>资金</w:t>
            </w:r>
            <w:r>
              <w:rPr>
                <w:rFonts w:hint="eastAsia" w:ascii="仿宋_GB2312" w:eastAsia="仿宋_GB2312"/>
                <w:b/>
                <w:bCs/>
                <w:color w:val="auto"/>
                <w:sz w:val="24"/>
                <w:szCs w:val="24"/>
                <w:highlight w:val="none"/>
                <w:lang w:val="en-US" w:eastAsia="zh-CN"/>
              </w:rPr>
              <w:t>（万元）</w:t>
            </w:r>
          </w:p>
        </w:tc>
        <w:tc>
          <w:tcPr>
            <w:tcW w:w="13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bCs/>
                <w:color w:val="auto"/>
                <w:sz w:val="24"/>
                <w:szCs w:val="24"/>
                <w:highlight w:val="none"/>
                <w:lang w:val="en-US" w:eastAsia="zh-CN"/>
              </w:rPr>
            </w:pPr>
            <w:r>
              <w:rPr>
                <w:rFonts w:hint="default" w:ascii="仿宋_GB2312" w:eastAsia="仿宋_GB2312"/>
                <w:b/>
                <w:bCs/>
                <w:color w:val="auto"/>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3" w:hRule="atLeast"/>
          <w:tblHeader/>
          <w:jc w:val="center"/>
        </w:trPr>
        <w:tc>
          <w:tcPr>
            <w:tcW w:w="540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bCs w:val="0"/>
                <w:i w:val="0"/>
                <w:color w:val="auto"/>
                <w:kern w:val="0"/>
                <w:sz w:val="24"/>
                <w:szCs w:val="24"/>
                <w:highlight w:val="none"/>
                <w:u w:val="none"/>
                <w:lang w:val="en-US" w:eastAsia="zh-CN" w:bidi="ar"/>
              </w:rPr>
            </w:pPr>
            <w:r>
              <w:rPr>
                <w:rFonts w:hint="default" w:ascii="Times New Roman" w:hAnsi="Times New Roman" w:eastAsia="仿宋" w:cs="Times New Roman"/>
                <w:b/>
                <w:bCs w:val="0"/>
                <w:i w:val="0"/>
                <w:color w:val="auto"/>
                <w:kern w:val="0"/>
                <w:sz w:val="24"/>
                <w:szCs w:val="24"/>
                <w:highlight w:val="none"/>
                <w:u w:val="none"/>
                <w:lang w:val="en-US" w:eastAsia="zh-CN" w:bidi="ar"/>
              </w:rPr>
              <w:t>合</w:t>
            </w:r>
            <w:r>
              <w:rPr>
                <w:rFonts w:hint="eastAsia" w:eastAsia="仿宋" w:cs="Times New Roman"/>
                <w:b/>
                <w:bCs w:val="0"/>
                <w:i w:val="0"/>
                <w:color w:val="auto"/>
                <w:kern w:val="0"/>
                <w:sz w:val="24"/>
                <w:szCs w:val="24"/>
                <w:highlight w:val="none"/>
                <w:u w:val="none"/>
                <w:lang w:val="en-US" w:eastAsia="zh-CN" w:bidi="ar"/>
              </w:rPr>
              <w:t xml:space="preserve">  </w:t>
            </w:r>
            <w:r>
              <w:rPr>
                <w:rFonts w:hint="default" w:ascii="Times New Roman" w:hAnsi="Times New Roman" w:eastAsia="仿宋" w:cs="Times New Roman"/>
                <w:b/>
                <w:bCs w:val="0"/>
                <w:i w:val="0"/>
                <w:color w:val="auto"/>
                <w:kern w:val="0"/>
                <w:sz w:val="24"/>
                <w:szCs w:val="24"/>
                <w:highlight w:val="none"/>
                <w:u w:val="none"/>
                <w:lang w:val="en-US" w:eastAsia="zh-CN" w:bidi="ar"/>
              </w:rPr>
              <w:t>计</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bCs w:val="0"/>
                <w:i w:val="0"/>
                <w:color w:val="auto"/>
                <w:kern w:val="0"/>
                <w:sz w:val="24"/>
                <w:szCs w:val="24"/>
                <w:highlight w:val="none"/>
                <w:u w:val="none"/>
                <w:lang w:val="en-US" w:eastAsia="zh-CN" w:bidi="ar"/>
              </w:rPr>
            </w:pPr>
            <w:r>
              <w:rPr>
                <w:rFonts w:hint="default" w:ascii="仿宋_GB2312" w:eastAsia="仿宋_GB2312"/>
                <w:b/>
                <w:bCs w:val="0"/>
                <w:color w:val="auto"/>
                <w:sz w:val="24"/>
                <w:szCs w:val="24"/>
                <w:highlight w:val="none"/>
                <w:lang w:val="en-US" w:eastAsia="zh-CN"/>
              </w:rPr>
              <w:t>1000</w:t>
            </w:r>
          </w:p>
        </w:tc>
        <w:tc>
          <w:tcPr>
            <w:tcW w:w="13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广州市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广州市农业农村局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43</w:t>
            </w:r>
          </w:p>
        </w:tc>
        <w:tc>
          <w:tcPr>
            <w:tcW w:w="1376"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both"/>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含省财政直管</w:t>
            </w:r>
            <w:r>
              <w:rPr>
                <w:rFonts w:hint="eastAsia" w:ascii="仿宋_GB2312" w:eastAsia="仿宋_GB2312"/>
                <w:b w:val="0"/>
                <w:bCs w:val="0"/>
                <w:color w:val="auto"/>
                <w:sz w:val="24"/>
                <w:szCs w:val="24"/>
                <w:highlight w:val="none"/>
                <w:lang w:val="en-US" w:eastAsia="zh-CN"/>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2</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珠海市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珠海市农业农村局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19</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3</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汕头市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汕头市农业农村局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69</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4</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佛山市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佛山市农业农村局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27</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5</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韶关市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韶关市农业农村局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93</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河源市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河源市农业农村局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61</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7</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梅州市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梅州市农业农村局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69</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8</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惠州市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惠州市农业农村局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69</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9</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汕尾市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汕尾市农业农村局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45</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10</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东莞市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东莞市农业农村局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11</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11</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中山市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中山市农业农村局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11</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12</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江门市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江门市农业农村局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35</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13</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阳江市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阳江市农业农村局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45</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14</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湛江市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湛江市农业农村局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85</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15</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茂名市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茂名市农业农村局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53</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16</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肇庆市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肇庆市农业农村局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61</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17</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清远市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清远市农业农村局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77</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18</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潮州市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潮州市农业农村局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37</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19</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揭阳市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揭阳市农业农村局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37</w:t>
            </w:r>
          </w:p>
        </w:tc>
        <w:tc>
          <w:tcPr>
            <w:tcW w:w="1376" w:type="dxa"/>
            <w:vMerge w:val="continue"/>
            <w:tcBorders>
              <w:left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3" w:hRule="atLeast"/>
          <w:tblHeader/>
          <w:jc w:val="center"/>
        </w:trPr>
        <w:tc>
          <w:tcPr>
            <w:tcW w:w="9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20</w:t>
            </w:r>
          </w:p>
        </w:tc>
        <w:tc>
          <w:tcPr>
            <w:tcW w:w="16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云浮市</w:t>
            </w:r>
          </w:p>
        </w:tc>
        <w:tc>
          <w:tcPr>
            <w:tcW w:w="28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云浮市农业农村局</w:t>
            </w:r>
          </w:p>
        </w:tc>
        <w:tc>
          <w:tcPr>
            <w:tcW w:w="17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53</w:t>
            </w:r>
          </w:p>
        </w:tc>
        <w:tc>
          <w:tcPr>
            <w:tcW w:w="1376"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textAlignment w:val="auto"/>
        <w:rPr>
          <w:rFonts w:hint="eastAsia" w:ascii="仿宋_GB2312" w:hAnsi="仿宋_GB2312" w:eastAsia="仿宋_GB2312" w:cs="仿宋_GB2312"/>
          <w:b/>
          <w:bCs/>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3" w:firstLineChars="200"/>
        <w:textAlignment w:val="auto"/>
        <w:outlineLvl w:val="2"/>
        <w:rPr>
          <w:rFonts w:hint="default" w:ascii="仿宋_GB2312" w:hAnsi="仿宋_GB2312" w:eastAsia="仿宋_GB2312" w:cs="仿宋_GB2312"/>
          <w:b/>
          <w:bCs/>
          <w:color w:val="auto"/>
          <w:sz w:val="32"/>
          <w:szCs w:val="32"/>
          <w:highlight w:val="none"/>
          <w:lang w:val="en-US" w:eastAsia="zh-CN"/>
        </w:rPr>
      </w:pPr>
      <w:bookmarkStart w:id="17" w:name="_Toc12940"/>
      <w:r>
        <w:rPr>
          <w:rFonts w:hint="eastAsia" w:ascii="仿宋_GB2312" w:hAnsi="仿宋_GB2312" w:eastAsia="仿宋_GB2312" w:cs="仿宋_GB2312"/>
          <w:b/>
          <w:bCs/>
          <w:color w:val="auto"/>
          <w:sz w:val="32"/>
          <w:szCs w:val="32"/>
          <w:highlight w:val="none"/>
          <w:lang w:val="en-US" w:eastAsia="zh-CN"/>
        </w:rPr>
        <w:t>3.应急种子储备及调拨资金。</w:t>
      </w:r>
      <w:bookmarkEnd w:id="17"/>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t>《广东省财政厅关于安排2020年省级财政防灾救灾应急资金（应急种子储备及调拨）的通知》（粤财农</w:t>
      </w:r>
      <w:r>
        <w:rPr>
          <w:rFonts w:hint="eastAsia" w:ascii="仿宋_GB2312" w:hAnsi="仿宋_GB2312" w:eastAsia="仿宋_GB2312" w:cs="仿宋_GB2312"/>
          <w:color w:val="auto"/>
          <w:sz w:val="32"/>
          <w:szCs w:val="32"/>
          <w:highlight w:val="none"/>
          <w:lang w:val="en-US" w:eastAsia="zh-CN"/>
        </w:rPr>
        <w:t>〔2020〕</w:t>
      </w:r>
      <w:r>
        <w:rPr>
          <w:rFonts w:hint="eastAsia" w:ascii="仿宋_GB2312" w:hAnsi="Times New Roman" w:eastAsia="仿宋_GB2312" w:cs="Times New Roman"/>
          <w:color w:val="auto"/>
          <w:sz w:val="32"/>
          <w:szCs w:val="32"/>
          <w:highlight w:val="none"/>
          <w:lang w:eastAsia="zh-CN"/>
        </w:rPr>
        <w:t>168号）</w:t>
      </w:r>
      <w:r>
        <w:rPr>
          <w:rFonts w:hint="eastAsia" w:ascii="仿宋_GB2312" w:hAnsi="仿宋_GB2312" w:eastAsia="仿宋_GB2312" w:cs="仿宋_GB2312"/>
          <w:color w:val="auto"/>
          <w:sz w:val="32"/>
          <w:szCs w:val="32"/>
          <w:highlight w:val="none"/>
          <w:lang w:val="en-US" w:eastAsia="zh-CN"/>
        </w:rPr>
        <w:t>，下达应急种子储备及调拨资金641.47万元，用于应急种子储备及调拨，</w:t>
      </w:r>
      <w:r>
        <w:rPr>
          <w:rFonts w:hint="eastAsia" w:ascii="仿宋_GB2312" w:hAnsi="Times New Roman" w:eastAsia="仿宋_GB2312" w:cs="Times New Roman"/>
          <w:color w:val="auto"/>
          <w:sz w:val="32"/>
          <w:szCs w:val="32"/>
          <w:highlight w:val="none"/>
          <w:lang w:val="en-US" w:eastAsia="zh-CN"/>
        </w:rPr>
        <w:t>其中</w:t>
      </w:r>
      <w:r>
        <w:rPr>
          <w:rFonts w:hint="eastAsia" w:ascii="仿宋_GB2312" w:hAnsi="仿宋_GB2312" w:eastAsia="仿宋_GB2312" w:cs="仿宋_GB2312"/>
          <w:color w:val="auto"/>
          <w:sz w:val="32"/>
          <w:szCs w:val="32"/>
          <w:highlight w:val="none"/>
        </w:rPr>
        <w:t>应急种子储备补贴资金</w:t>
      </w:r>
      <w:r>
        <w:rPr>
          <w:rFonts w:hint="eastAsia" w:ascii="仿宋_GB2312" w:hAnsi="仿宋_GB2312" w:eastAsia="仿宋_GB2312" w:cs="仿宋_GB2312"/>
          <w:color w:val="auto"/>
          <w:sz w:val="32"/>
          <w:szCs w:val="32"/>
          <w:highlight w:val="none"/>
          <w:lang w:val="en-US" w:eastAsia="zh-CN"/>
        </w:rPr>
        <w:t>600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，拨付</w:t>
      </w:r>
      <w:r>
        <w:rPr>
          <w:rFonts w:hint="eastAsia" w:ascii="仿宋_GB2312" w:hAnsi="仿宋_GB2312" w:eastAsia="仿宋_GB2312" w:cs="仿宋_GB2312"/>
          <w:color w:val="auto"/>
          <w:sz w:val="32"/>
          <w:szCs w:val="32"/>
          <w:highlight w:val="none"/>
        </w:rPr>
        <w:t>调用储备种子救灾资金</w:t>
      </w:r>
      <w:r>
        <w:rPr>
          <w:rFonts w:hint="eastAsia" w:ascii="仿宋_GB2312" w:hAnsi="仿宋_GB2312" w:eastAsia="仿宋_GB2312" w:cs="仿宋_GB2312"/>
          <w:color w:val="auto"/>
          <w:sz w:val="32"/>
          <w:szCs w:val="32"/>
          <w:highlight w:val="none"/>
          <w:lang w:val="en-US" w:eastAsia="zh-CN"/>
        </w:rPr>
        <w:t>41.47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。具体的资金安排情况见表1-</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p>
    <w:p>
      <w:pPr>
        <w:pStyle w:val="2"/>
        <w:rPr>
          <w:rFonts w:hint="eastAsia"/>
          <w:color w:val="auto"/>
          <w:highlight w:val="none"/>
          <w:lang w:eastAsia="zh-CN"/>
        </w:rPr>
      </w:pPr>
    </w:p>
    <w:p>
      <w:pPr>
        <w:pStyle w:val="2"/>
        <w:ind w:left="0" w:leftChars="0" w:firstLine="0" w:firstLineChars="0"/>
        <w:jc w:val="center"/>
        <w:rPr>
          <w:rFonts w:hint="eastAsia" w:ascii="黑体" w:hAnsi="黑体" w:eastAsia="黑体" w:cs="黑体"/>
          <w:b w:val="0"/>
          <w:bCs w:val="0"/>
          <w:color w:val="auto"/>
          <w:sz w:val="28"/>
          <w:szCs w:val="28"/>
          <w:highlight w:val="none"/>
          <w:lang w:val="en-US" w:eastAsia="zh-CN"/>
        </w:rPr>
      </w:pPr>
      <w:r>
        <w:rPr>
          <w:rFonts w:hint="eastAsia" w:ascii="黑体" w:hAnsi="黑体" w:eastAsia="黑体" w:cs="黑体"/>
          <w:b w:val="0"/>
          <w:bCs w:val="0"/>
          <w:color w:val="auto"/>
          <w:sz w:val="28"/>
          <w:szCs w:val="28"/>
          <w:highlight w:val="none"/>
          <w:lang w:val="en-US" w:eastAsia="zh-CN"/>
        </w:rPr>
        <w:t>表1-3 2020年度省级应急种子储备及调拨资金安排情况表</w:t>
      </w:r>
    </w:p>
    <w:tbl>
      <w:tblPr>
        <w:tblStyle w:val="17"/>
        <w:tblW w:w="9464" w:type="dxa"/>
        <w:tblInd w:w="0" w:type="dxa"/>
        <w:tblLayout w:type="fixed"/>
        <w:tblCellMar>
          <w:top w:w="0" w:type="dxa"/>
          <w:left w:w="0" w:type="dxa"/>
          <w:bottom w:w="0" w:type="dxa"/>
          <w:right w:w="0" w:type="dxa"/>
        </w:tblCellMar>
      </w:tblPr>
      <w:tblGrid>
        <w:gridCol w:w="711"/>
        <w:gridCol w:w="1512"/>
        <w:gridCol w:w="2196"/>
        <w:gridCol w:w="3696"/>
        <w:gridCol w:w="1349"/>
      </w:tblGrid>
      <w:tr>
        <w:tblPrEx>
          <w:tblLayout w:type="fixed"/>
          <w:tblCellMar>
            <w:top w:w="0" w:type="dxa"/>
            <w:left w:w="0" w:type="dxa"/>
            <w:bottom w:w="0" w:type="dxa"/>
            <w:right w:w="0" w:type="dxa"/>
          </w:tblCellMar>
        </w:tblPrEx>
        <w:trPr>
          <w:trHeight w:val="60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highlight w:val="none"/>
                <w:u w:val="none"/>
              </w:rPr>
            </w:pPr>
            <w:r>
              <w:rPr>
                <w:rFonts w:hint="eastAsia" w:ascii="仿宋" w:hAnsi="仿宋" w:eastAsia="仿宋" w:cs="仿宋"/>
                <w:b/>
                <w:bCs/>
                <w:i w:val="0"/>
                <w:color w:val="auto"/>
                <w:kern w:val="0"/>
                <w:sz w:val="24"/>
                <w:szCs w:val="24"/>
                <w:highlight w:val="none"/>
                <w:u w:val="none"/>
                <w:lang w:val="en-US" w:eastAsia="zh-CN" w:bidi="ar"/>
              </w:rPr>
              <w:t>序号</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highlight w:val="none"/>
                <w:u w:val="none"/>
              </w:rPr>
            </w:pPr>
            <w:r>
              <w:rPr>
                <w:rFonts w:hint="eastAsia" w:ascii="仿宋" w:hAnsi="仿宋" w:eastAsia="仿宋" w:cs="仿宋"/>
                <w:b/>
                <w:bCs/>
                <w:i w:val="0"/>
                <w:color w:val="auto"/>
                <w:kern w:val="0"/>
                <w:sz w:val="24"/>
                <w:szCs w:val="24"/>
                <w:highlight w:val="none"/>
                <w:u w:val="none"/>
                <w:lang w:val="en-US" w:eastAsia="zh-CN" w:bidi="ar"/>
              </w:rPr>
              <w:t>项目承担单位</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highlight w:val="none"/>
                <w:u w:val="none"/>
              </w:rPr>
            </w:pPr>
            <w:r>
              <w:rPr>
                <w:rFonts w:hint="eastAsia" w:ascii="仿宋" w:hAnsi="仿宋" w:eastAsia="仿宋" w:cs="仿宋"/>
                <w:b/>
                <w:bCs/>
                <w:i w:val="0"/>
                <w:color w:val="auto"/>
                <w:kern w:val="0"/>
                <w:sz w:val="24"/>
                <w:szCs w:val="24"/>
                <w:highlight w:val="none"/>
                <w:u w:val="none"/>
                <w:lang w:val="en-US" w:eastAsia="zh-CN" w:bidi="ar"/>
              </w:rPr>
              <w:t>项目内容</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highlight w:val="none"/>
                <w:u w:val="none"/>
              </w:rPr>
            </w:pPr>
            <w:r>
              <w:rPr>
                <w:rFonts w:hint="eastAsia" w:ascii="仿宋" w:hAnsi="仿宋" w:eastAsia="仿宋" w:cs="仿宋"/>
                <w:b/>
                <w:bCs/>
                <w:i w:val="0"/>
                <w:color w:val="auto"/>
                <w:kern w:val="0"/>
                <w:sz w:val="24"/>
                <w:szCs w:val="24"/>
                <w:highlight w:val="none"/>
                <w:u w:val="none"/>
                <w:lang w:val="en-US" w:eastAsia="zh-CN" w:bidi="ar"/>
              </w:rPr>
              <w:t>绩效目标</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kern w:val="0"/>
                <w:sz w:val="24"/>
                <w:szCs w:val="24"/>
                <w:highlight w:val="none"/>
                <w:u w:val="none"/>
                <w:lang w:val="en-US" w:eastAsia="zh-CN" w:bidi="ar"/>
              </w:rPr>
            </w:pPr>
            <w:r>
              <w:rPr>
                <w:rFonts w:hint="eastAsia" w:ascii="仿宋" w:hAnsi="仿宋" w:eastAsia="仿宋" w:cs="仿宋"/>
                <w:b/>
                <w:bCs/>
                <w:i w:val="0"/>
                <w:color w:val="auto"/>
                <w:kern w:val="0"/>
                <w:sz w:val="24"/>
                <w:szCs w:val="24"/>
                <w:highlight w:val="none"/>
                <w:u w:val="none"/>
                <w:lang w:val="en-US" w:eastAsia="zh-CN" w:bidi="ar"/>
              </w:rPr>
              <w:t>金额</w:t>
            </w:r>
          </w:p>
          <w:p>
            <w:pPr>
              <w:keepNext w:val="0"/>
              <w:keepLines w:val="0"/>
              <w:widowControl/>
              <w:suppressLineNumbers w:val="0"/>
              <w:jc w:val="center"/>
              <w:textAlignment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i w:val="0"/>
                <w:color w:val="auto"/>
                <w:kern w:val="0"/>
                <w:sz w:val="24"/>
                <w:szCs w:val="24"/>
                <w:highlight w:val="none"/>
                <w:u w:val="none"/>
                <w:lang w:val="en-US" w:eastAsia="zh-CN" w:bidi="ar"/>
              </w:rPr>
              <w:t>（万元）</w:t>
            </w:r>
          </w:p>
        </w:tc>
      </w:tr>
      <w:tr>
        <w:tblPrEx>
          <w:tblLayout w:type="fixed"/>
          <w:tblCellMar>
            <w:top w:w="0" w:type="dxa"/>
            <w:left w:w="0" w:type="dxa"/>
            <w:bottom w:w="0" w:type="dxa"/>
            <w:right w:w="0" w:type="dxa"/>
          </w:tblCellMar>
        </w:tblPrEx>
        <w:trPr>
          <w:trHeight w:val="285" w:hRule="atLeast"/>
        </w:trPr>
        <w:tc>
          <w:tcPr>
            <w:tcW w:w="811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val="0"/>
                <w:i w:val="0"/>
                <w:color w:val="auto"/>
                <w:sz w:val="24"/>
                <w:szCs w:val="24"/>
                <w:highlight w:val="none"/>
                <w:u w:val="none"/>
                <w:lang w:eastAsia="zh-CN"/>
              </w:rPr>
            </w:pPr>
            <w:r>
              <w:rPr>
                <w:rFonts w:hint="eastAsia" w:ascii="仿宋" w:hAnsi="仿宋" w:eastAsia="仿宋" w:cs="仿宋"/>
                <w:b/>
                <w:bCs w:val="0"/>
                <w:i w:val="0"/>
                <w:color w:val="auto"/>
                <w:kern w:val="0"/>
                <w:sz w:val="24"/>
                <w:szCs w:val="24"/>
                <w:highlight w:val="none"/>
                <w:u w:val="none"/>
                <w:lang w:val="en-US" w:eastAsia="zh-CN" w:bidi="ar"/>
              </w:rPr>
              <w:t>合  计</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val="0"/>
                <w:i w:val="0"/>
                <w:color w:val="auto"/>
                <w:sz w:val="24"/>
                <w:szCs w:val="24"/>
                <w:highlight w:val="none"/>
                <w:u w:val="none"/>
                <w:lang w:val="en-US"/>
              </w:rPr>
            </w:pPr>
            <w:r>
              <w:rPr>
                <w:rFonts w:hint="eastAsia" w:ascii="仿宋" w:hAnsi="仿宋" w:eastAsia="仿宋" w:cs="仿宋"/>
                <w:b w:val="0"/>
                <w:bCs/>
                <w:i w:val="0"/>
                <w:color w:val="auto"/>
                <w:kern w:val="0"/>
                <w:sz w:val="24"/>
                <w:szCs w:val="24"/>
                <w:highlight w:val="none"/>
                <w:u w:val="none"/>
                <w:lang w:val="en-US" w:eastAsia="zh-CN" w:bidi="ar"/>
              </w:rPr>
              <w:t>641.47</w:t>
            </w:r>
          </w:p>
        </w:tc>
      </w:tr>
      <w:tr>
        <w:tblPrEx>
          <w:tblLayout w:type="fixed"/>
          <w:tblCellMar>
            <w:top w:w="0" w:type="dxa"/>
            <w:left w:w="0" w:type="dxa"/>
            <w:bottom w:w="0" w:type="dxa"/>
            <w:right w:w="0" w:type="dxa"/>
          </w:tblCellMar>
        </w:tblPrEx>
        <w:trPr>
          <w:trHeight w:val="130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1</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广东华农大种业有限公司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省级应急种子储备补贴（157万元）和调用省级储备种子救灾（41.4656万元）</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完成2020年度省级应急种子储备35万公斤（杂交水稻12万公斤，常规水稻12万公斤，杂交玉米3万公斤，甜糯玉米8万公斤）。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198.47</w:t>
            </w:r>
          </w:p>
        </w:tc>
      </w:tr>
      <w:tr>
        <w:tblPrEx>
          <w:tblLayout w:type="fixed"/>
          <w:tblCellMar>
            <w:top w:w="0" w:type="dxa"/>
            <w:left w:w="0" w:type="dxa"/>
            <w:bottom w:w="0" w:type="dxa"/>
            <w:right w:w="0" w:type="dxa"/>
          </w:tblCellMar>
        </w:tblPrEx>
        <w:trPr>
          <w:trHeight w:val="1224"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2</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广东省金稻种业有限公司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完成2020年度省级应急种子储备20万公斤（杂交水稻11万公斤，常规水稻9万公斤）。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73</w:t>
            </w:r>
          </w:p>
        </w:tc>
      </w:tr>
      <w:tr>
        <w:tblPrEx>
          <w:tblLayout w:type="fixed"/>
          <w:tblCellMar>
            <w:top w:w="0" w:type="dxa"/>
            <w:left w:w="0" w:type="dxa"/>
            <w:bottom w:w="0" w:type="dxa"/>
            <w:right w:w="0" w:type="dxa"/>
          </w:tblCellMar>
        </w:tblPrEx>
        <w:trPr>
          <w:trHeight w:val="975"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3</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广东省良种引进服务公司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完成2020年度省级应急种子储备叶菜类种子1万公斤。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5</w:t>
            </w:r>
          </w:p>
        </w:tc>
      </w:tr>
      <w:tr>
        <w:tblPrEx>
          <w:tblLayout w:type="fixed"/>
          <w:tblCellMar>
            <w:top w:w="0" w:type="dxa"/>
            <w:left w:w="0" w:type="dxa"/>
            <w:bottom w:w="0" w:type="dxa"/>
            <w:right w:w="0" w:type="dxa"/>
          </w:tblCellMar>
        </w:tblPrEx>
        <w:trPr>
          <w:trHeight w:val="855"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4</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广东兆华种业有限公司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完成2020年度省级应急种子储备30万公斤（杂交水稻11万公斤，常规水稻9万公斤，甜糯玉米7万公斤，叶菜类3万公斤）。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144</w:t>
            </w:r>
          </w:p>
        </w:tc>
      </w:tr>
      <w:tr>
        <w:tblPrEx>
          <w:tblLayout w:type="fixed"/>
          <w:tblCellMar>
            <w:top w:w="0" w:type="dxa"/>
            <w:left w:w="0" w:type="dxa"/>
            <w:bottom w:w="0" w:type="dxa"/>
            <w:right w:w="0" w:type="dxa"/>
          </w:tblCellMar>
        </w:tblPrEx>
        <w:trPr>
          <w:trHeight w:val="110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5</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广东粤良种业有限公司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完成2020年度省级应急种子储备13万公斤（杂交水稻8万公斤，常规水稻5万公斤）。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50</w:t>
            </w:r>
          </w:p>
        </w:tc>
      </w:tr>
      <w:tr>
        <w:tblPrEx>
          <w:tblLayout w:type="fixed"/>
          <w:tblCellMar>
            <w:top w:w="0" w:type="dxa"/>
            <w:left w:w="0" w:type="dxa"/>
            <w:bottom w:w="0" w:type="dxa"/>
            <w:right w:w="0" w:type="dxa"/>
          </w:tblCellMar>
        </w:tblPrEx>
        <w:trPr>
          <w:trHeight w:val="84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6</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广东天弘种业有限公司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完成2020年度省级应急种子储备21万公斤（杂交水稻9万公斤，常规水稻12万公斤）。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69</w:t>
            </w:r>
          </w:p>
        </w:tc>
      </w:tr>
      <w:tr>
        <w:tblPrEx>
          <w:tblLayout w:type="fixed"/>
          <w:tblCellMar>
            <w:top w:w="0" w:type="dxa"/>
            <w:left w:w="0" w:type="dxa"/>
            <w:bottom w:w="0" w:type="dxa"/>
            <w:right w:w="0" w:type="dxa"/>
          </w:tblCellMar>
        </w:tblPrEx>
        <w:trPr>
          <w:trHeight w:val="79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7</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广东华茂高科种业有限公司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完成2020年度省级应急种子储备20万公斤（杂交水稻8万公斤，常规水稻12万公斤）。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64</w:t>
            </w:r>
          </w:p>
        </w:tc>
      </w:tr>
      <w:tr>
        <w:tblPrEx>
          <w:tblLayout w:type="fixed"/>
          <w:tblCellMar>
            <w:top w:w="0" w:type="dxa"/>
            <w:left w:w="0" w:type="dxa"/>
            <w:bottom w:w="0" w:type="dxa"/>
            <w:right w:w="0" w:type="dxa"/>
          </w:tblCellMar>
        </w:tblPrEx>
        <w:trPr>
          <w:trHeight w:val="79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8</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广东现代种业有限公司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完成2020年度省级应急种子储备10万公斤（杂交水稻6万公斤，常规水稻4万公斤）。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38</w:t>
            </w:r>
          </w:p>
        </w:tc>
      </w:tr>
    </w:tbl>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32"/>
          <w:szCs w:val="32"/>
          <w:highlight w:val="none"/>
          <w:lang w:val="en-US" w:eastAsia="zh-CN"/>
        </w:rPr>
      </w:pPr>
    </w:p>
    <w:p>
      <w:pPr>
        <w:pStyle w:val="3"/>
        <w:pageBreakBefore w:val="0"/>
        <w:numPr>
          <w:ilvl w:val="0"/>
          <w:numId w:val="1"/>
        </w:numPr>
        <w:kinsoku/>
        <w:wordWrap/>
        <w:overflowPunct/>
        <w:topLinePunct w:val="0"/>
        <w:bidi w:val="0"/>
        <w:spacing w:before="0" w:after="0" w:line="360" w:lineRule="auto"/>
        <w:ind w:left="0" w:leftChars="0" w:firstLine="643" w:firstLineChars="200"/>
        <w:outlineLvl w:val="1"/>
        <w:rPr>
          <w:rFonts w:hint="eastAsia" w:ascii="Calibri" w:hAnsi="宋体" w:eastAsia="楷体_GB2312" w:cs="Times New Roman"/>
          <w:b/>
          <w:bCs/>
          <w:color w:val="auto"/>
          <w:kern w:val="44"/>
          <w:sz w:val="32"/>
          <w:szCs w:val="44"/>
          <w:highlight w:val="none"/>
          <w:lang w:val="en-US" w:eastAsia="zh-CN" w:bidi="ar-SA"/>
        </w:rPr>
      </w:pPr>
      <w:bookmarkStart w:id="18" w:name="_Toc20167"/>
      <w:bookmarkStart w:id="19" w:name="_Toc1313"/>
      <w:bookmarkStart w:id="20" w:name="_Toc965134885_WPSOffice_Level2"/>
      <w:r>
        <w:rPr>
          <w:rFonts w:hint="eastAsia" w:ascii="Calibri" w:hAnsi="宋体" w:eastAsia="楷体_GB2312" w:cs="Times New Roman"/>
          <w:b/>
          <w:bCs/>
          <w:color w:val="auto"/>
          <w:kern w:val="44"/>
          <w:sz w:val="32"/>
          <w:szCs w:val="44"/>
          <w:highlight w:val="none"/>
          <w:lang w:val="en-US" w:eastAsia="zh-CN" w:bidi="ar-SA"/>
        </w:rPr>
        <w:t>资金分配方式和实施程序</w:t>
      </w:r>
      <w:bookmarkEnd w:id="18"/>
      <w:bookmarkEnd w:id="19"/>
      <w:bookmarkEnd w:id="20"/>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3" w:firstLineChars="200"/>
        <w:textAlignment w:val="auto"/>
        <w:outlineLvl w:val="2"/>
        <w:rPr>
          <w:rFonts w:hint="eastAsia" w:ascii="仿宋_GB2312" w:hAnsi="仿宋_GB2312" w:eastAsia="仿宋_GB2312" w:cs="仿宋_GB2312"/>
          <w:b/>
          <w:bCs/>
          <w:color w:val="auto"/>
          <w:sz w:val="32"/>
          <w:szCs w:val="32"/>
          <w:highlight w:val="none"/>
          <w:lang w:val="en-US" w:eastAsia="zh-CN"/>
        </w:rPr>
      </w:pPr>
      <w:bookmarkStart w:id="21" w:name="_Toc17363"/>
      <w:r>
        <w:rPr>
          <w:rFonts w:hint="eastAsia" w:ascii="仿宋_GB2312" w:hAnsi="仿宋_GB2312" w:eastAsia="仿宋_GB2312" w:cs="仿宋_GB2312"/>
          <w:b/>
          <w:bCs/>
          <w:color w:val="auto"/>
          <w:sz w:val="32"/>
          <w:szCs w:val="32"/>
          <w:highlight w:val="none"/>
          <w:lang w:val="en-US" w:eastAsia="zh-CN"/>
        </w:rPr>
        <w:t>1.家禽及蔬菜瓜果应急收储奖补资金。</w:t>
      </w:r>
      <w:bookmarkEnd w:id="21"/>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eastAsia="zh-CN"/>
        </w:rPr>
      </w:pPr>
      <w:r>
        <w:rPr>
          <w:rFonts w:hint="eastAsia" w:ascii="仿宋_GB2312" w:hAnsi="Times New Roman" w:eastAsia="仿宋_GB2312" w:cs="Times New Roman"/>
          <w:b w:val="0"/>
          <w:bCs w:val="0"/>
          <w:color w:val="auto"/>
          <w:sz w:val="32"/>
          <w:highlight w:val="none"/>
          <w:lang w:val="en-US" w:eastAsia="zh-CN"/>
        </w:rPr>
        <w:t>资金分配方式为因素法。省财政奖补资金根据各地最低收储量按因素法分配下达各市，粤东西北 14 个地市及江门市享受省级转移支付政策的县（市）由省财政承担，珠三角地区（深圳市除外）省财政承担50%。深圳市可参照省的方案自行开展收储工作和承担收储奖补资金。家禽收储每只奖补2元、蔬菜瓜果收储采购每吨奖补200元。各地可在省核定的最低收储量基础上，统筹其他资金投入，扩大本地区收储奖补规模，所需奖补资金由各市县自行解决。如收储期内，相关农产品市场恢复正常并保持稳定，各地可以停止实施奖补政策。</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Times New Roman"/>
          <w:b w:val="0"/>
          <w:bCs w:val="0"/>
          <w:color w:val="auto"/>
          <w:sz w:val="32"/>
          <w:highlight w:val="none"/>
          <w:lang w:val="en-US" w:eastAsia="zh-CN"/>
        </w:rPr>
      </w:pPr>
      <w:r>
        <w:rPr>
          <w:rFonts w:hint="eastAsia" w:ascii="仿宋_GB2312" w:eastAsia="仿宋_GB2312" w:cs="Times New Roman"/>
          <w:b w:val="0"/>
          <w:bCs w:val="0"/>
          <w:color w:val="auto"/>
          <w:sz w:val="32"/>
          <w:highlight w:val="none"/>
          <w:lang w:val="en-US" w:eastAsia="zh-CN"/>
        </w:rPr>
        <w:t>项目资金的实施采用“企业申报—县级审核确认—市级审定发放”。企业申报环节，在规定的疫情防控期间，由符合条件的家禽收储企业向企业所在地县级农业农村部门、蔬菜瓜果收储采</w:t>
      </w:r>
      <w:r>
        <w:rPr>
          <w:rFonts w:hint="eastAsia" w:ascii="仿宋_GB2312" w:hAnsi="Times New Roman" w:eastAsia="仿宋_GB2312" w:cs="Times New Roman"/>
          <w:b w:val="0"/>
          <w:bCs w:val="0"/>
          <w:color w:val="auto"/>
          <w:sz w:val="32"/>
          <w:highlight w:val="none"/>
          <w:lang w:val="en-US" w:eastAsia="zh-CN"/>
        </w:rPr>
        <w:t>购企业向收储采购地所在的县级农业农村部门提交《收储奖补资金申请表》和相关证明材料；县级审核确认环节要求：县级农业农村部门对企业提交的申报资料进行审核，并将审核结果在县级农业农村部门网站上公示3天，并会同县级财政部门上报市农业农村、财政部门审定；市级审定发放环节要求：地级以上市农业农村、财政部门对县级汇总上报的申报材料进行审定，拨付和发放奖补资金，并在15个工作日内将实际发放情况向省农业农村厅、财政厅报备。</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3" w:firstLineChars="200"/>
        <w:textAlignment w:val="auto"/>
        <w:outlineLvl w:val="2"/>
        <w:rPr>
          <w:rFonts w:hint="eastAsia" w:ascii="仿宋_GB2312" w:eastAsia="仿宋_GB2312" w:cs="Times New Roman"/>
          <w:b/>
          <w:bCs/>
          <w:color w:val="auto"/>
          <w:sz w:val="32"/>
          <w:highlight w:val="none"/>
          <w:lang w:val="en-US" w:eastAsia="zh-CN"/>
        </w:rPr>
      </w:pPr>
      <w:bookmarkStart w:id="22" w:name="_Toc9367"/>
      <w:r>
        <w:rPr>
          <w:rFonts w:hint="eastAsia" w:ascii="仿宋_GB2312" w:eastAsia="仿宋_GB2312" w:cs="Times New Roman"/>
          <w:b/>
          <w:bCs/>
          <w:color w:val="auto"/>
          <w:sz w:val="32"/>
          <w:highlight w:val="none"/>
          <w:lang w:val="en-US" w:eastAsia="zh-CN"/>
        </w:rPr>
        <w:t>2.红火蚁防控资金。</w:t>
      </w:r>
      <w:bookmarkEnd w:id="22"/>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Times New Roman"/>
          <w:b w:val="0"/>
          <w:bCs w:val="0"/>
          <w:color w:val="auto"/>
          <w:sz w:val="32"/>
          <w:highlight w:val="none"/>
          <w:lang w:val="en-US" w:eastAsia="zh-CN"/>
        </w:rPr>
      </w:pPr>
      <w:r>
        <w:rPr>
          <w:rFonts w:hint="eastAsia" w:ascii="仿宋_GB2312" w:eastAsia="仿宋_GB2312" w:cs="Times New Roman"/>
          <w:b w:val="0"/>
          <w:bCs w:val="0"/>
          <w:color w:val="auto"/>
          <w:sz w:val="32"/>
          <w:highlight w:val="none"/>
          <w:lang w:val="en-US" w:eastAsia="zh-CN"/>
        </w:rPr>
        <w:t>资金分配方式为因素法。资金按红火蚁疫情发生地市（因素A）、辖区红火蚁发生县（市、区）个数（因素B）,平均分配到各地级以上市，地级以上市分配资金=红火蚁疫情发生地市应急处置经费（因素A）+辖区红火蚁发生县（市、区）经费（因素B）。广州等6个珠三角地区经济较发达的市按照50%的比例安排防控资金。6个经济较发达的珠三角地级市应急处置经费6万元、每个疫情发生县（市、区）4万元，其他14个地级市应急防控经费12万元、辖区每个疫情发生县（市、区）8万元，合计980万元，余下20万元再平均分配给20个地级市。省级专项资金和任务清单逐级下达到县（市、区）后，由有关部门组织实施。</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3" w:firstLineChars="200"/>
        <w:textAlignment w:val="auto"/>
        <w:outlineLvl w:val="2"/>
        <w:rPr>
          <w:rFonts w:hint="eastAsia" w:ascii="仿宋_GB2312" w:hAnsi="Times New Roman" w:eastAsia="仿宋_GB2312" w:cs="Times New Roman"/>
          <w:b/>
          <w:bCs/>
          <w:color w:val="auto"/>
          <w:kern w:val="2"/>
          <w:sz w:val="32"/>
          <w:szCs w:val="24"/>
          <w:highlight w:val="none"/>
          <w:lang w:val="en-US" w:eastAsia="zh-CN" w:bidi="ar-SA"/>
        </w:rPr>
      </w:pPr>
      <w:bookmarkStart w:id="23" w:name="_Toc11056"/>
      <w:r>
        <w:rPr>
          <w:rFonts w:hint="eastAsia" w:ascii="仿宋_GB2312" w:hAnsi="Times New Roman" w:eastAsia="仿宋_GB2312" w:cs="Times New Roman"/>
          <w:b/>
          <w:bCs/>
          <w:color w:val="auto"/>
          <w:kern w:val="2"/>
          <w:sz w:val="32"/>
          <w:szCs w:val="24"/>
          <w:highlight w:val="none"/>
          <w:lang w:val="en-US" w:eastAsia="zh-CN" w:bidi="ar-SA"/>
        </w:rPr>
        <w:t>3.</w:t>
      </w:r>
      <w:r>
        <w:rPr>
          <w:rFonts w:hint="eastAsia" w:ascii="仿宋_GB2312" w:eastAsia="仿宋_GB2312" w:cs="Times New Roman"/>
          <w:b/>
          <w:bCs/>
          <w:color w:val="auto"/>
          <w:kern w:val="2"/>
          <w:sz w:val="32"/>
          <w:szCs w:val="24"/>
          <w:highlight w:val="none"/>
          <w:lang w:val="en-US" w:eastAsia="zh-CN" w:bidi="ar-SA"/>
        </w:rPr>
        <w:t>应急种子</w:t>
      </w:r>
      <w:r>
        <w:rPr>
          <w:rFonts w:hint="eastAsia" w:ascii="仿宋_GB2312" w:hAnsi="Times New Roman" w:eastAsia="仿宋_GB2312" w:cs="Times New Roman"/>
          <w:b/>
          <w:bCs/>
          <w:color w:val="auto"/>
          <w:kern w:val="2"/>
          <w:sz w:val="32"/>
          <w:szCs w:val="24"/>
          <w:highlight w:val="none"/>
          <w:lang w:val="en-US" w:eastAsia="zh-CN" w:bidi="ar-SA"/>
        </w:rPr>
        <w:t>储备及调拨资金</w:t>
      </w:r>
      <w:r>
        <w:rPr>
          <w:rFonts w:hint="eastAsia" w:ascii="仿宋_GB2312" w:eastAsia="仿宋_GB2312" w:cs="Times New Roman"/>
          <w:b/>
          <w:bCs/>
          <w:color w:val="auto"/>
          <w:kern w:val="2"/>
          <w:sz w:val="32"/>
          <w:szCs w:val="24"/>
          <w:highlight w:val="none"/>
          <w:lang w:val="en-US" w:eastAsia="zh-CN" w:bidi="ar-SA"/>
        </w:rPr>
        <w:t>。</w:t>
      </w:r>
      <w:bookmarkEnd w:id="23"/>
    </w:p>
    <w:p>
      <w:pPr>
        <w:pStyle w:val="2"/>
        <w:ind w:left="0" w:leftChars="0" w:firstLine="640" w:firstLineChars="200"/>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资金分配方式为因素法。省级应急种子储备补贴资金根据8家承储企业储备种子种类、数量和补贴标准予以分配。拨付调用储备种子救灾资金根据调出单位的调用数量和调用价格予以分配。</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1）省级应急种子储备补贴资金。按照《广东省省级粮食应急种子储备实施方案》和我厅制订的2020年度省级应急种子储备项目资金使用计划，2020年度省级应急种子储备补贴标准为：杂交水稻种子5元/公斤；常规水稻种子2元/公斤；普通杂交玉米种子3元/公斤，甜糯玉米种子每公斤每年补贴8元，叶菜类种子每公斤每年补贴5元</w:t>
      </w:r>
      <w:r>
        <w:rPr>
          <w:rFonts w:hint="eastAsia" w:ascii="仿宋_GB2312" w:eastAsia="仿宋_GB2312" w:cs="Times New Roman"/>
          <w:b w:val="0"/>
          <w:bCs w:val="0"/>
          <w:color w:val="auto"/>
          <w:kern w:val="2"/>
          <w:sz w:val="32"/>
          <w:szCs w:val="24"/>
          <w:highlight w:val="none"/>
          <w:lang w:val="en-US" w:eastAsia="zh-CN" w:bidi="ar-SA"/>
        </w:rPr>
        <w:t>。</w:t>
      </w:r>
      <w:r>
        <w:rPr>
          <w:rFonts w:hint="eastAsia" w:ascii="仿宋_GB2312" w:hAnsi="Times New Roman" w:eastAsia="仿宋_GB2312" w:cs="Times New Roman"/>
          <w:b w:val="0"/>
          <w:bCs w:val="0"/>
          <w:color w:val="auto"/>
          <w:kern w:val="2"/>
          <w:sz w:val="32"/>
          <w:szCs w:val="24"/>
          <w:highlight w:val="none"/>
          <w:lang w:val="en-US" w:eastAsia="zh-CN" w:bidi="ar-SA"/>
        </w:rPr>
        <w:t>储备任务通过公开招标确定承储单位。</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2）拨付调用储备种子救灾资金。根据灾区地级以上市农业农村局、财政局联合向省农业农村厅、财政厅提出调用省级应急储备种子申请，经省农业农村厅和省财政厅联合批复同意调用数量和调出单位。调用价格按照2019年度省级粮食应急种子储备招标结果</w:t>
      </w:r>
      <w:r>
        <w:rPr>
          <w:rFonts w:hint="eastAsia" w:ascii="仿宋_GB2312" w:eastAsia="仿宋_GB2312" w:cs="Times New Roman"/>
          <w:b w:val="0"/>
          <w:bCs w:val="0"/>
          <w:color w:val="auto"/>
          <w:kern w:val="2"/>
          <w:sz w:val="32"/>
          <w:szCs w:val="24"/>
          <w:highlight w:val="none"/>
          <w:lang w:val="en-US" w:eastAsia="zh-CN" w:bidi="ar-SA"/>
        </w:rPr>
        <w:t>和《关于下达2019年度省级应急种子储备任务的通知》</w:t>
      </w:r>
      <w:r>
        <w:rPr>
          <w:rFonts w:hint="eastAsia" w:ascii="仿宋_GB2312" w:hAnsi="Times New Roman" w:eastAsia="仿宋_GB2312" w:cs="Times New Roman"/>
          <w:b w:val="0"/>
          <w:bCs w:val="0"/>
          <w:color w:val="auto"/>
          <w:kern w:val="2"/>
          <w:sz w:val="32"/>
          <w:szCs w:val="24"/>
          <w:highlight w:val="none"/>
          <w:lang w:val="en-US" w:eastAsia="zh-CN" w:bidi="ar-SA"/>
        </w:rPr>
        <w:t>（粤农农函〔2019〕1528号）确定，普通杂交玉米种子22元/公斤，甜糯玉米种子73元/公斤。</w:t>
      </w:r>
    </w:p>
    <w:p>
      <w:pPr>
        <w:pageBreakBefore w:val="0"/>
        <w:kinsoku/>
        <w:wordWrap/>
        <w:overflowPunct/>
        <w:topLinePunct w:val="0"/>
        <w:bidi w:val="0"/>
        <w:snapToGrid/>
        <w:spacing w:beforeLines="0" w:afterLines="0" w:line="360" w:lineRule="auto"/>
        <w:ind w:firstLine="643" w:firstLineChars="200"/>
        <w:outlineLvl w:val="1"/>
        <w:rPr>
          <w:rFonts w:hint="eastAsia" w:ascii="楷体_GB2312" w:hAnsi="宋体" w:eastAsia="楷体_GB2312"/>
          <w:b/>
          <w:bCs/>
          <w:color w:val="auto"/>
          <w:kern w:val="0"/>
          <w:sz w:val="32"/>
          <w:szCs w:val="32"/>
          <w:highlight w:val="none"/>
        </w:rPr>
      </w:pPr>
      <w:bookmarkStart w:id="24" w:name="_Toc24166"/>
      <w:bookmarkStart w:id="25" w:name="_Toc6456"/>
      <w:bookmarkStart w:id="26" w:name="_Toc1359522698_WPSOffice_Level2"/>
      <w:r>
        <w:rPr>
          <w:rFonts w:hint="eastAsia" w:ascii="楷体_GB2312" w:hAnsi="宋体" w:eastAsia="楷体_GB2312"/>
          <w:b/>
          <w:bCs/>
          <w:color w:val="auto"/>
          <w:kern w:val="0"/>
          <w:sz w:val="32"/>
          <w:szCs w:val="32"/>
          <w:highlight w:val="none"/>
        </w:rPr>
        <w:t>（</w:t>
      </w:r>
      <w:r>
        <w:rPr>
          <w:rFonts w:hint="eastAsia" w:ascii="楷体_GB2312" w:hAnsi="宋体" w:eastAsia="楷体_GB2312"/>
          <w:b/>
          <w:bCs/>
          <w:color w:val="auto"/>
          <w:kern w:val="0"/>
          <w:sz w:val="32"/>
          <w:szCs w:val="32"/>
          <w:highlight w:val="none"/>
          <w:lang w:eastAsia="zh-CN"/>
        </w:rPr>
        <w:t>三</w:t>
      </w:r>
      <w:r>
        <w:rPr>
          <w:rFonts w:hint="eastAsia" w:ascii="楷体_GB2312" w:hAnsi="宋体" w:eastAsia="楷体_GB2312"/>
          <w:b/>
          <w:bCs/>
          <w:color w:val="auto"/>
          <w:kern w:val="0"/>
          <w:sz w:val="32"/>
          <w:szCs w:val="32"/>
          <w:highlight w:val="none"/>
        </w:rPr>
        <w:t>）主要用途</w:t>
      </w:r>
      <w:bookmarkEnd w:id="24"/>
      <w:bookmarkEnd w:id="25"/>
      <w:bookmarkEnd w:id="26"/>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家禽及蔬菜瓜果应急收储奖补资金用于新冠肺炎疫情防控期间家禽及蔬菜瓜果收储奖补工作，以解决新冠肺炎疫情防控期间我省家禽及蔬菜瓜果积压滞销问题，保持农业稳定发展。</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红火蚁防控资金用于支持各地开展红火蚁应急防控工作，以有效遏制红火蚁快速扩散蔓延态势，保障人民群众身体健康和生产安全。</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eastAsia="仿宋_GB2312" w:cs="Times New Roman"/>
          <w:b w:val="0"/>
          <w:bCs w:val="0"/>
          <w:color w:val="auto"/>
          <w:kern w:val="2"/>
          <w:sz w:val="32"/>
          <w:szCs w:val="24"/>
          <w:highlight w:val="none"/>
          <w:lang w:val="en-US" w:eastAsia="zh-CN" w:bidi="ar-SA"/>
        </w:rPr>
        <w:t>应急种子</w:t>
      </w:r>
      <w:r>
        <w:rPr>
          <w:rFonts w:hint="eastAsia" w:ascii="仿宋_GB2312" w:hAnsi="Times New Roman" w:eastAsia="仿宋_GB2312" w:cs="Times New Roman"/>
          <w:b w:val="0"/>
          <w:bCs w:val="0"/>
          <w:color w:val="auto"/>
          <w:kern w:val="2"/>
          <w:sz w:val="32"/>
          <w:szCs w:val="24"/>
          <w:highlight w:val="none"/>
          <w:lang w:val="en-US" w:eastAsia="zh-CN" w:bidi="ar-SA"/>
        </w:rPr>
        <w:t>储备及调拨资金用于支持2020年省级应急种子储备和调拨工作，以保障灾后恢复粮食生产的用种需要，支持灾区快速恢复农业生产。</w:t>
      </w:r>
    </w:p>
    <w:p>
      <w:pPr>
        <w:pStyle w:val="3"/>
        <w:pageBreakBefore w:val="0"/>
        <w:numPr>
          <w:ilvl w:val="0"/>
          <w:numId w:val="2"/>
        </w:numPr>
        <w:kinsoku/>
        <w:wordWrap/>
        <w:overflowPunct/>
        <w:topLinePunct w:val="0"/>
        <w:bidi w:val="0"/>
        <w:spacing w:before="0" w:after="0" w:line="360" w:lineRule="auto"/>
        <w:ind w:firstLine="643" w:firstLineChars="200"/>
        <w:outlineLvl w:val="1"/>
        <w:rPr>
          <w:rFonts w:hint="eastAsia" w:ascii="楷体_GB2312" w:hAnsi="宋体" w:eastAsia="楷体_GB2312"/>
          <w:b/>
          <w:bCs/>
          <w:color w:val="auto"/>
          <w:kern w:val="0"/>
          <w:sz w:val="32"/>
          <w:szCs w:val="32"/>
          <w:highlight w:val="none"/>
        </w:rPr>
      </w:pPr>
      <w:bookmarkStart w:id="27" w:name="_Toc1775064553_WPSOffice_Level2"/>
      <w:bookmarkStart w:id="28" w:name="_Toc16571"/>
      <w:bookmarkStart w:id="29" w:name="_Toc27312"/>
      <w:r>
        <w:rPr>
          <w:rFonts w:hint="eastAsia" w:ascii="楷体_GB2312" w:hAnsi="宋体" w:eastAsia="楷体_GB2312"/>
          <w:b/>
          <w:bCs/>
          <w:color w:val="auto"/>
          <w:kern w:val="0"/>
          <w:sz w:val="32"/>
          <w:szCs w:val="32"/>
          <w:highlight w:val="none"/>
        </w:rPr>
        <w:t>绩效目标</w:t>
      </w:r>
      <w:bookmarkEnd w:id="27"/>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3" w:firstLineChars="200"/>
        <w:textAlignment w:val="auto"/>
        <w:outlineLvl w:val="2"/>
        <w:rPr>
          <w:rFonts w:hint="eastAsia" w:ascii="仿宋_GB2312" w:hAnsi="仿宋_GB2312" w:eastAsia="仿宋_GB2312" w:cs="仿宋_GB2312"/>
          <w:b/>
          <w:bCs/>
          <w:color w:val="auto"/>
          <w:sz w:val="32"/>
          <w:szCs w:val="32"/>
          <w:highlight w:val="none"/>
          <w:lang w:val="en-US" w:eastAsia="zh-CN"/>
        </w:rPr>
      </w:pPr>
      <w:bookmarkStart w:id="30" w:name="_Toc9029"/>
      <w:r>
        <w:rPr>
          <w:rFonts w:hint="eastAsia" w:ascii="仿宋_GB2312" w:hAnsi="仿宋_GB2312" w:eastAsia="仿宋_GB2312" w:cs="仿宋_GB2312"/>
          <w:b/>
          <w:bCs/>
          <w:color w:val="auto"/>
          <w:sz w:val="32"/>
          <w:szCs w:val="32"/>
          <w:highlight w:val="none"/>
          <w:lang w:val="en-US" w:eastAsia="zh-CN"/>
        </w:rPr>
        <w:t>1.家禽及蔬菜瓜果应急收储奖补资金。</w:t>
      </w:r>
      <w:bookmarkEnd w:id="30"/>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解决新冠肺炎疫情防控期间家禽及蔬菜瓜果积压滞销问题，保持农业稳定发展，实现收储家禽3340万只、蔬菜瓜果11.60万吨。</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3" w:firstLineChars="200"/>
        <w:textAlignment w:val="auto"/>
        <w:outlineLvl w:val="2"/>
        <w:rPr>
          <w:rFonts w:hint="eastAsia" w:ascii="仿宋_GB2312" w:hAnsi="Times New Roman" w:eastAsia="仿宋_GB2312" w:cs="Times New Roman"/>
          <w:b/>
          <w:bCs/>
          <w:color w:val="auto"/>
          <w:kern w:val="2"/>
          <w:sz w:val="32"/>
          <w:szCs w:val="24"/>
          <w:highlight w:val="none"/>
          <w:lang w:val="en-US" w:eastAsia="zh-CN" w:bidi="ar-SA"/>
        </w:rPr>
      </w:pPr>
      <w:bookmarkStart w:id="31" w:name="_Toc13216"/>
      <w:r>
        <w:rPr>
          <w:rFonts w:hint="eastAsia" w:ascii="仿宋_GB2312" w:eastAsia="仿宋_GB2312" w:cs="Times New Roman"/>
          <w:b/>
          <w:bCs/>
          <w:color w:val="auto"/>
          <w:kern w:val="2"/>
          <w:sz w:val="32"/>
          <w:szCs w:val="24"/>
          <w:highlight w:val="none"/>
          <w:lang w:val="en-US" w:eastAsia="zh-CN" w:bidi="ar-SA"/>
        </w:rPr>
        <w:t>2.</w:t>
      </w:r>
      <w:r>
        <w:rPr>
          <w:rFonts w:hint="eastAsia" w:ascii="仿宋_GB2312" w:hAnsi="Times New Roman" w:eastAsia="仿宋_GB2312" w:cs="Times New Roman"/>
          <w:b/>
          <w:bCs/>
          <w:color w:val="auto"/>
          <w:kern w:val="2"/>
          <w:sz w:val="32"/>
          <w:szCs w:val="24"/>
          <w:highlight w:val="none"/>
          <w:lang w:val="en-US" w:eastAsia="zh-CN" w:bidi="ar-SA"/>
        </w:rPr>
        <w:t>红火蚁防控资金</w:t>
      </w:r>
      <w:r>
        <w:rPr>
          <w:rFonts w:hint="eastAsia" w:ascii="仿宋_GB2312" w:eastAsia="仿宋_GB2312" w:cs="Times New Roman"/>
          <w:b/>
          <w:bCs/>
          <w:color w:val="auto"/>
          <w:kern w:val="2"/>
          <w:sz w:val="32"/>
          <w:szCs w:val="24"/>
          <w:highlight w:val="none"/>
          <w:lang w:val="en-US" w:eastAsia="zh-CN" w:bidi="ar-SA"/>
        </w:rPr>
        <w:t>。</w:t>
      </w:r>
      <w:bookmarkEnd w:id="31"/>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通过实施项目，支持地级市采购红火蚁化学防治药剂，组织开展红火蚁统一防控行动和应急处置，储备一定量的应急防控药剂</w:t>
      </w:r>
      <w:r>
        <w:rPr>
          <w:rFonts w:hint="eastAsia" w:ascii="仿宋_GB2312" w:eastAsia="仿宋_GB2312" w:cs="Times New Roman"/>
          <w:b w:val="0"/>
          <w:bCs w:val="0"/>
          <w:color w:val="auto"/>
          <w:kern w:val="2"/>
          <w:sz w:val="32"/>
          <w:szCs w:val="24"/>
          <w:highlight w:val="none"/>
          <w:lang w:val="en-US" w:eastAsia="zh-CN" w:bidi="ar-SA"/>
        </w:rPr>
        <w:t>。具体指标：</w:t>
      </w:r>
      <w:r>
        <w:rPr>
          <w:rFonts w:hint="eastAsia" w:ascii="仿宋_GB2312" w:hAnsi="Times New Roman" w:eastAsia="仿宋_GB2312" w:cs="Times New Roman"/>
          <w:b w:val="0"/>
          <w:bCs w:val="0"/>
          <w:color w:val="auto"/>
          <w:kern w:val="2"/>
          <w:sz w:val="32"/>
          <w:szCs w:val="24"/>
          <w:highlight w:val="none"/>
          <w:lang w:val="en-US" w:eastAsia="zh-CN" w:bidi="ar-SA"/>
        </w:rPr>
        <w:t>各市的项目区组织一次红火蚁统一防控行动；防治效果达85%以上；新发疫情应急处置率达95%以上</w:t>
      </w:r>
      <w:r>
        <w:rPr>
          <w:rFonts w:hint="eastAsia" w:ascii="仿宋_GB2312" w:eastAsia="仿宋_GB2312" w:cs="Times New Roman"/>
          <w:b w:val="0"/>
          <w:bCs w:val="0"/>
          <w:color w:val="auto"/>
          <w:kern w:val="2"/>
          <w:sz w:val="32"/>
          <w:szCs w:val="24"/>
          <w:highlight w:val="none"/>
          <w:lang w:val="en-US" w:eastAsia="zh-CN" w:bidi="ar-SA"/>
        </w:rPr>
        <w:t>，</w:t>
      </w:r>
      <w:r>
        <w:rPr>
          <w:rFonts w:hint="eastAsia" w:ascii="仿宋_GB2312" w:hAnsi="Times New Roman" w:eastAsia="仿宋_GB2312" w:cs="Times New Roman"/>
          <w:b w:val="0"/>
          <w:bCs w:val="0"/>
          <w:color w:val="auto"/>
          <w:kern w:val="2"/>
          <w:sz w:val="32"/>
          <w:szCs w:val="24"/>
          <w:highlight w:val="none"/>
          <w:lang w:val="en-US" w:eastAsia="zh-CN" w:bidi="ar-SA"/>
        </w:rPr>
        <w:t>有效遏制红火蚁疫情蔓延危害，</w:t>
      </w:r>
      <w:r>
        <w:rPr>
          <w:rFonts w:hint="eastAsia" w:ascii="仿宋_GB2312" w:eastAsia="仿宋_GB2312" w:cs="Times New Roman"/>
          <w:b w:val="0"/>
          <w:bCs w:val="0"/>
          <w:color w:val="auto"/>
          <w:kern w:val="2"/>
          <w:sz w:val="32"/>
          <w:szCs w:val="24"/>
          <w:highlight w:val="none"/>
          <w:lang w:val="en-US" w:eastAsia="zh-CN" w:bidi="ar-SA"/>
        </w:rPr>
        <w:t>避免出现红火蚁恶性伤害人畜事件和造成大面积弃耕；</w:t>
      </w:r>
      <w:r>
        <w:rPr>
          <w:rFonts w:hint="eastAsia" w:ascii="仿宋_GB2312" w:hAnsi="Times New Roman" w:eastAsia="仿宋_GB2312" w:cs="Times New Roman"/>
          <w:b w:val="0"/>
          <w:bCs w:val="0"/>
          <w:color w:val="auto"/>
          <w:kern w:val="2"/>
          <w:sz w:val="32"/>
          <w:szCs w:val="24"/>
          <w:highlight w:val="none"/>
          <w:lang w:val="en-US" w:eastAsia="zh-CN" w:bidi="ar-SA"/>
        </w:rPr>
        <w:t>各地级市至少举办1期红火蚁防控技术培训活动，培训指导50人次以上，全省开展防控技术指导培训1000人次以上；年度资金执行率100%，无资金重大违规违纪问题；项目区群众满意度达80%以上。</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3" w:firstLineChars="200"/>
        <w:textAlignment w:val="auto"/>
        <w:outlineLvl w:val="2"/>
        <w:rPr>
          <w:rFonts w:hint="eastAsia" w:ascii="仿宋_GB2312" w:hAnsi="Times New Roman" w:eastAsia="仿宋_GB2312" w:cs="Times New Roman"/>
          <w:b/>
          <w:bCs/>
          <w:color w:val="auto"/>
          <w:kern w:val="2"/>
          <w:sz w:val="32"/>
          <w:szCs w:val="24"/>
          <w:highlight w:val="none"/>
          <w:lang w:val="en-US" w:eastAsia="zh-CN" w:bidi="ar-SA"/>
        </w:rPr>
      </w:pPr>
      <w:bookmarkStart w:id="32" w:name="_Toc7407"/>
      <w:r>
        <w:rPr>
          <w:rFonts w:hint="eastAsia" w:ascii="仿宋_GB2312" w:eastAsia="仿宋_GB2312" w:cs="Times New Roman"/>
          <w:b/>
          <w:bCs/>
          <w:color w:val="auto"/>
          <w:kern w:val="2"/>
          <w:sz w:val="32"/>
          <w:szCs w:val="24"/>
          <w:highlight w:val="none"/>
          <w:lang w:val="en-US" w:eastAsia="zh-CN" w:bidi="ar-SA"/>
        </w:rPr>
        <w:t>3.应急种子</w:t>
      </w:r>
      <w:r>
        <w:rPr>
          <w:rFonts w:hint="eastAsia" w:ascii="仿宋_GB2312" w:hAnsi="Times New Roman" w:eastAsia="仿宋_GB2312" w:cs="Times New Roman"/>
          <w:b/>
          <w:bCs/>
          <w:color w:val="auto"/>
          <w:kern w:val="2"/>
          <w:sz w:val="32"/>
          <w:szCs w:val="24"/>
          <w:highlight w:val="none"/>
          <w:lang w:val="en-US" w:eastAsia="zh-CN" w:bidi="ar-SA"/>
        </w:rPr>
        <w:t>储备及调拨资金</w:t>
      </w:r>
      <w:r>
        <w:rPr>
          <w:rFonts w:hint="eastAsia" w:ascii="仿宋_GB2312" w:eastAsia="仿宋_GB2312" w:cs="Times New Roman"/>
          <w:b/>
          <w:bCs/>
          <w:color w:val="auto"/>
          <w:kern w:val="2"/>
          <w:sz w:val="32"/>
          <w:szCs w:val="24"/>
          <w:highlight w:val="none"/>
          <w:lang w:val="en-US" w:eastAsia="zh-CN" w:bidi="ar-SA"/>
        </w:rPr>
        <w:t>。</w:t>
      </w:r>
      <w:bookmarkEnd w:id="32"/>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eastAsia="仿宋_GB2312" w:cs="Times New Roman"/>
          <w:b w:val="0"/>
          <w:bCs w:val="0"/>
          <w:color w:val="auto"/>
          <w:kern w:val="2"/>
          <w:sz w:val="32"/>
          <w:szCs w:val="24"/>
          <w:highlight w:val="none"/>
          <w:lang w:val="en-US" w:eastAsia="zh-CN" w:bidi="ar-SA"/>
        </w:rPr>
        <w:t>应急种子</w:t>
      </w:r>
      <w:r>
        <w:rPr>
          <w:rFonts w:hint="eastAsia" w:ascii="仿宋_GB2312" w:hAnsi="Times New Roman" w:eastAsia="仿宋_GB2312" w:cs="Times New Roman"/>
          <w:b w:val="0"/>
          <w:bCs w:val="0"/>
          <w:color w:val="auto"/>
          <w:kern w:val="2"/>
          <w:sz w:val="32"/>
          <w:szCs w:val="24"/>
          <w:highlight w:val="none"/>
          <w:lang w:val="en-US" w:eastAsia="zh-CN" w:bidi="ar-SA"/>
        </w:rPr>
        <w:t>储备及调拨专项资金年度绩效目标为完成2020年度省级应急种子储备150万公斤；根据灾情调拨省级应急储备种子7752公斤支持灾区恢复农业生产。</w:t>
      </w:r>
    </w:p>
    <w:p>
      <w:pPr>
        <w:pStyle w:val="13"/>
        <w:pageBreakBefore w:val="0"/>
        <w:kinsoku/>
        <w:wordWrap/>
        <w:overflowPunct/>
        <w:topLinePunct w:val="0"/>
        <w:bidi w:val="0"/>
        <w:spacing w:before="0" w:after="0" w:line="360" w:lineRule="auto"/>
        <w:ind w:firstLine="640"/>
        <w:jc w:val="both"/>
        <w:rPr>
          <w:rFonts w:ascii="黑体" w:hAnsi="黑体"/>
          <w:bCs/>
          <w:color w:val="auto"/>
          <w:highlight w:val="none"/>
        </w:rPr>
      </w:pPr>
      <w:bookmarkStart w:id="33" w:name="_Toc894549025_WPSOffice_Level1"/>
      <w:bookmarkStart w:id="34" w:name="_Toc42021430"/>
      <w:r>
        <w:rPr>
          <w:rFonts w:hint="eastAsia" w:ascii="黑体" w:hAnsi="黑体"/>
          <w:bCs/>
          <w:color w:val="auto"/>
          <w:highlight w:val="none"/>
        </w:rPr>
        <w:t>二、自评情况</w:t>
      </w:r>
      <w:bookmarkEnd w:id="33"/>
      <w:bookmarkEnd w:id="34"/>
    </w:p>
    <w:p>
      <w:pPr>
        <w:pStyle w:val="3"/>
        <w:pageBreakBefore w:val="0"/>
        <w:kinsoku/>
        <w:wordWrap/>
        <w:overflowPunct/>
        <w:topLinePunct w:val="0"/>
        <w:bidi w:val="0"/>
        <w:spacing w:before="0" w:after="0" w:line="360" w:lineRule="auto"/>
        <w:ind w:firstLine="643" w:firstLineChars="200"/>
        <w:outlineLvl w:val="1"/>
        <w:rPr>
          <w:rFonts w:hint="eastAsia" w:ascii="Calibri" w:hAnsi="宋体"/>
          <w:color w:val="auto"/>
          <w:highlight w:val="none"/>
        </w:rPr>
      </w:pPr>
      <w:bookmarkStart w:id="35" w:name="_Toc1166071381_WPSOffice_Level2"/>
      <w:bookmarkStart w:id="36" w:name="_Toc42021431"/>
      <w:r>
        <w:rPr>
          <w:rFonts w:hint="eastAsia" w:ascii="Calibri" w:hAnsi="宋体"/>
          <w:color w:val="auto"/>
          <w:highlight w:val="none"/>
        </w:rPr>
        <w:t>（一）自评分数</w:t>
      </w:r>
      <w:bookmarkEnd w:id="35"/>
      <w:bookmarkEnd w:id="36"/>
      <w:bookmarkStart w:id="37" w:name="_Toc42021432"/>
    </w:p>
    <w:p>
      <w:pPr>
        <w:pageBreakBefore w:val="0"/>
        <w:kinsoku/>
        <w:wordWrap/>
        <w:overflowPunct/>
        <w:topLinePunct w:val="0"/>
        <w:bidi w:val="0"/>
        <w:spacing w:line="360" w:lineRule="auto"/>
        <w:ind w:firstLine="640" w:firstLineChars="200"/>
        <w:rPr>
          <w:rFonts w:hint="eastAsia" w:ascii="仿宋_GB2312" w:hAnsi="仿宋_GB2312" w:eastAsia="仿宋_GB2312" w:cs="Calibri"/>
          <w:color w:val="auto"/>
          <w:sz w:val="32"/>
          <w:highlight w:val="none"/>
        </w:rPr>
      </w:pPr>
      <w:r>
        <w:rPr>
          <w:rFonts w:hint="eastAsia" w:ascii="仿宋_GB2312" w:eastAsia="仿宋_GB2312"/>
          <w:color w:val="auto"/>
          <w:sz w:val="32"/>
          <w:szCs w:val="32"/>
          <w:highlight w:val="none"/>
          <w:lang w:val="en-US" w:eastAsia="zh-CN"/>
        </w:rPr>
        <w:t>综合分析</w:t>
      </w:r>
      <w:r>
        <w:rPr>
          <w:rFonts w:hint="eastAsia" w:ascii="仿宋_GB2312" w:eastAsia="仿宋_GB2312"/>
          <w:color w:val="auto"/>
          <w:sz w:val="32"/>
          <w:szCs w:val="32"/>
          <w:highlight w:val="none"/>
          <w:lang w:eastAsia="zh-CN"/>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lang w:eastAsia="zh-CN"/>
        </w:rPr>
        <w:t>年省级财政防灾救灾</w:t>
      </w:r>
      <w:r>
        <w:rPr>
          <w:rFonts w:hint="eastAsia" w:ascii="仿宋_GB2312" w:eastAsia="仿宋_GB2312"/>
          <w:color w:val="auto"/>
          <w:sz w:val="32"/>
          <w:szCs w:val="32"/>
          <w:highlight w:val="none"/>
          <w:lang w:val="en-US" w:eastAsia="zh-CN"/>
        </w:rPr>
        <w:t>应急资金3项政策任务的投入、过程、产出和效益，专项资金项目基本完成了预期目标任务，取得了较好成效。根据对自评材料的审核分析，按照既定的评价指标体系，专项资金使用绩效自评分数为</w:t>
      </w:r>
      <w:r>
        <w:rPr>
          <w:rFonts w:hint="eastAsia" w:ascii="仿宋_GB2312" w:eastAsia="仿宋_GB2312"/>
          <w:color w:val="auto"/>
          <w:sz w:val="32"/>
          <w:highlight w:val="none"/>
          <w:lang w:val="en-US" w:eastAsia="zh-CN"/>
        </w:rPr>
        <w:t>97.09</w:t>
      </w:r>
      <w:r>
        <w:rPr>
          <w:rFonts w:hint="eastAsia" w:ascii="仿宋_GB2312" w:eastAsia="仿宋_GB2312"/>
          <w:color w:val="auto"/>
          <w:sz w:val="32"/>
          <w:highlight w:val="none"/>
        </w:rPr>
        <w:t>分</w:t>
      </w:r>
      <w:r>
        <w:rPr>
          <w:rFonts w:hint="eastAsia" w:ascii="仿宋_GB2312" w:hAnsi="Times New Roman" w:eastAsia="仿宋_GB2312" w:cs="Times New Roman"/>
          <w:color w:val="auto"/>
          <w:sz w:val="32"/>
          <w:highlight w:val="none"/>
          <w:lang w:val="en-US" w:eastAsia="zh-CN"/>
        </w:rPr>
        <w:t>（</w:t>
      </w:r>
      <w:r>
        <w:rPr>
          <w:rFonts w:hint="eastAsia" w:ascii="仿宋_GB2312" w:eastAsia="仿宋_GB2312" w:cs="Times New Roman"/>
          <w:color w:val="auto"/>
          <w:sz w:val="32"/>
          <w:highlight w:val="none"/>
          <w:lang w:val="en-US" w:eastAsia="zh-CN"/>
        </w:rPr>
        <w:t>详见表2-1</w:t>
      </w:r>
      <w:r>
        <w:rPr>
          <w:rFonts w:hint="eastAsia" w:ascii="仿宋_GB2312" w:hAnsi="Times New Roman" w:eastAsia="仿宋_GB2312" w:cs="Times New Roman"/>
          <w:color w:val="auto"/>
          <w:sz w:val="32"/>
          <w:highlight w:val="none"/>
          <w:lang w:val="en-US" w:eastAsia="zh-CN"/>
        </w:rPr>
        <w:t>），</w:t>
      </w:r>
      <w:r>
        <w:rPr>
          <w:rFonts w:hint="eastAsia" w:ascii="仿宋_GB2312" w:eastAsia="仿宋_GB2312"/>
          <w:color w:val="auto"/>
          <w:sz w:val="32"/>
          <w:highlight w:val="none"/>
        </w:rPr>
        <w:t>绩效等级为“</w:t>
      </w:r>
      <w:r>
        <w:rPr>
          <w:rFonts w:hint="eastAsia" w:ascii="仿宋_GB2312" w:eastAsia="仿宋_GB2312"/>
          <w:color w:val="auto"/>
          <w:sz w:val="32"/>
          <w:highlight w:val="none"/>
          <w:lang w:val="en-US" w:eastAsia="zh-CN"/>
        </w:rPr>
        <w:t>优</w:t>
      </w:r>
      <w:r>
        <w:rPr>
          <w:rFonts w:hint="eastAsia" w:ascii="仿宋_GB2312" w:hAnsi="Times New Roman" w:eastAsia="仿宋_GB2312" w:cs="Times New Roman"/>
          <w:color w:val="auto"/>
          <w:sz w:val="32"/>
          <w:szCs w:val="32"/>
          <w:highlight w:val="none"/>
          <w:lang w:val="en-US" w:eastAsia="zh-CN"/>
        </w:rPr>
        <w:t>”</w:t>
      </w:r>
      <w:r>
        <w:rPr>
          <w:rFonts w:hint="eastAsia" w:ascii="仿宋_GB2312" w:hAnsi="仿宋_GB2312" w:eastAsia="仿宋_GB2312" w:cs="Calibri"/>
          <w:color w:val="auto"/>
          <w:sz w:val="32"/>
          <w:highlight w:val="none"/>
        </w:rPr>
        <w:t>。</w:t>
      </w:r>
    </w:p>
    <w:p>
      <w:pPr>
        <w:pStyle w:val="2"/>
        <w:rPr>
          <w:rFonts w:hint="eastAsia"/>
          <w:color w:val="auto"/>
          <w:highlight w:val="none"/>
        </w:rPr>
      </w:pPr>
    </w:p>
    <w:p>
      <w:pPr>
        <w:pStyle w:val="2"/>
        <w:jc w:val="center"/>
        <w:rPr>
          <w:rFonts w:hint="eastAsia"/>
          <w:color w:val="auto"/>
          <w:highlight w:val="none"/>
        </w:rPr>
      </w:pPr>
      <w:r>
        <w:rPr>
          <w:rFonts w:hint="eastAsia" w:ascii="黑体" w:hAnsi="宋体" w:eastAsia="黑体" w:cs="黑体"/>
          <w:i w:val="0"/>
          <w:iCs w:val="0"/>
          <w:color w:val="auto"/>
          <w:kern w:val="0"/>
          <w:sz w:val="28"/>
          <w:szCs w:val="28"/>
          <w:highlight w:val="none"/>
          <w:u w:val="none"/>
          <w:lang w:val="en-US" w:eastAsia="zh-CN" w:bidi="ar"/>
        </w:rPr>
        <w:t>表2-1</w:t>
      </w:r>
      <w:r>
        <w:rPr>
          <w:rFonts w:hint="eastAsia" w:ascii="仿宋_GB2312" w:eastAsia="仿宋_GB2312" w:cs="Times New Roman"/>
          <w:color w:val="auto"/>
          <w:sz w:val="32"/>
          <w:highlight w:val="none"/>
          <w:lang w:val="en-US" w:eastAsia="zh-CN"/>
        </w:rPr>
        <w:t xml:space="preserve"> </w:t>
      </w:r>
      <w:r>
        <w:rPr>
          <w:rFonts w:hint="eastAsia" w:ascii="黑体" w:hAnsi="宋体" w:eastAsia="黑体" w:cs="黑体"/>
          <w:i w:val="0"/>
          <w:iCs w:val="0"/>
          <w:color w:val="auto"/>
          <w:kern w:val="0"/>
          <w:sz w:val="28"/>
          <w:szCs w:val="28"/>
          <w:highlight w:val="none"/>
          <w:u w:val="none"/>
          <w:lang w:val="en-US" w:eastAsia="zh-CN" w:bidi="ar"/>
        </w:rPr>
        <w:t>2020年救灾应急专项资金自评得分情况表</w:t>
      </w:r>
    </w:p>
    <w:tbl>
      <w:tblPr>
        <w:tblStyle w:val="17"/>
        <w:tblW w:w="8899" w:type="dxa"/>
        <w:jc w:val="center"/>
        <w:tblInd w:w="0" w:type="dxa"/>
        <w:shd w:val="clear" w:color="auto" w:fill="auto"/>
        <w:tblLayout w:type="fixed"/>
        <w:tblCellMar>
          <w:top w:w="0" w:type="dxa"/>
          <w:left w:w="108" w:type="dxa"/>
          <w:bottom w:w="0" w:type="dxa"/>
          <w:right w:w="108" w:type="dxa"/>
        </w:tblCellMar>
      </w:tblPr>
      <w:tblGrid>
        <w:gridCol w:w="3981"/>
        <w:gridCol w:w="1639"/>
        <w:gridCol w:w="1639"/>
        <w:gridCol w:w="1640"/>
      </w:tblGrid>
      <w:tr>
        <w:tblPrEx>
          <w:shd w:val="clear" w:color="auto" w:fill="auto"/>
          <w:tblLayout w:type="fixed"/>
          <w:tblCellMar>
            <w:top w:w="0" w:type="dxa"/>
            <w:left w:w="108" w:type="dxa"/>
            <w:bottom w:w="0" w:type="dxa"/>
            <w:right w:w="108" w:type="dxa"/>
          </w:tblCellMar>
        </w:tblPrEx>
        <w:trPr>
          <w:trHeight w:val="402"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24"/>
                <w:szCs w:val="24"/>
                <w:highlight w:val="none"/>
                <w:u w:val="none"/>
              </w:rPr>
            </w:pPr>
            <w:r>
              <w:rPr>
                <w:rFonts w:hint="default" w:ascii="仿宋_GB2312" w:hAnsi="宋体" w:eastAsia="仿宋_GB2312" w:cs="仿宋_GB2312"/>
                <w:b/>
                <w:bCs/>
                <w:i w:val="0"/>
                <w:iCs w:val="0"/>
                <w:color w:val="auto"/>
                <w:kern w:val="0"/>
                <w:sz w:val="24"/>
                <w:szCs w:val="24"/>
                <w:highlight w:val="none"/>
                <w:u w:val="none"/>
                <w:lang w:val="en-US" w:eastAsia="zh-CN" w:bidi="ar"/>
              </w:rPr>
              <w:t>政策任务</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4"/>
                <w:szCs w:val="24"/>
                <w:highlight w:val="none"/>
                <w:u w:val="none"/>
              </w:rPr>
            </w:pPr>
            <w:r>
              <w:rPr>
                <w:rFonts w:hint="default" w:ascii="仿宋_GB2312" w:hAnsi="宋体" w:eastAsia="仿宋_GB2312" w:cs="仿宋_GB2312"/>
                <w:b/>
                <w:bCs/>
                <w:i w:val="0"/>
                <w:iCs w:val="0"/>
                <w:color w:val="auto"/>
                <w:kern w:val="0"/>
                <w:sz w:val="24"/>
                <w:szCs w:val="24"/>
                <w:highlight w:val="none"/>
                <w:u w:val="none"/>
                <w:lang w:val="en-US" w:eastAsia="zh-CN" w:bidi="ar"/>
              </w:rPr>
              <w:t>资金权重</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4"/>
                <w:szCs w:val="24"/>
                <w:highlight w:val="none"/>
                <w:u w:val="none"/>
              </w:rPr>
            </w:pPr>
            <w:r>
              <w:rPr>
                <w:rFonts w:hint="default" w:ascii="仿宋_GB2312" w:hAnsi="宋体" w:eastAsia="仿宋_GB2312" w:cs="仿宋_GB2312"/>
                <w:b/>
                <w:bCs/>
                <w:i w:val="0"/>
                <w:iCs w:val="0"/>
                <w:color w:val="auto"/>
                <w:kern w:val="0"/>
                <w:sz w:val="24"/>
                <w:szCs w:val="24"/>
                <w:highlight w:val="none"/>
                <w:u w:val="none"/>
                <w:lang w:val="en-US" w:eastAsia="zh-CN" w:bidi="ar"/>
              </w:rPr>
              <w:t>单项自评分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4"/>
                <w:szCs w:val="24"/>
                <w:highlight w:val="none"/>
                <w:u w:val="none"/>
              </w:rPr>
            </w:pPr>
            <w:r>
              <w:rPr>
                <w:rFonts w:hint="default" w:ascii="仿宋_GB2312" w:hAnsi="宋体" w:eastAsia="仿宋_GB2312" w:cs="仿宋_GB2312"/>
                <w:b/>
                <w:bCs/>
                <w:i w:val="0"/>
                <w:iCs w:val="0"/>
                <w:color w:val="auto"/>
                <w:kern w:val="0"/>
                <w:sz w:val="24"/>
                <w:szCs w:val="24"/>
                <w:highlight w:val="none"/>
                <w:u w:val="none"/>
                <w:lang w:val="en-US" w:eastAsia="zh-CN" w:bidi="ar"/>
              </w:rPr>
              <w:t>权重分数</w:t>
            </w:r>
          </w:p>
        </w:tc>
      </w:tr>
      <w:tr>
        <w:tblPrEx>
          <w:tblLayout w:type="fixed"/>
          <w:tblCellMar>
            <w:top w:w="0" w:type="dxa"/>
            <w:left w:w="108" w:type="dxa"/>
            <w:bottom w:w="0" w:type="dxa"/>
            <w:right w:w="108" w:type="dxa"/>
          </w:tblCellMar>
        </w:tblPrEx>
        <w:trPr>
          <w:trHeight w:val="402"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kern w:val="0"/>
                <w:sz w:val="24"/>
                <w:szCs w:val="24"/>
                <w:highlight w:val="none"/>
                <w:u w:val="none"/>
                <w:lang w:val="en-US" w:eastAsia="zh-CN" w:bidi="ar"/>
              </w:rPr>
            </w:pPr>
            <w:r>
              <w:rPr>
                <w:rFonts w:hint="eastAsia" w:ascii="仿宋_GB2312" w:hAnsi="宋体" w:eastAsia="仿宋_GB2312" w:cs="仿宋_GB2312"/>
                <w:b/>
                <w:bCs/>
                <w:i w:val="0"/>
                <w:iCs w:val="0"/>
                <w:color w:val="auto"/>
                <w:kern w:val="0"/>
                <w:sz w:val="24"/>
                <w:szCs w:val="24"/>
                <w:highlight w:val="none"/>
                <w:u w:val="none"/>
                <w:lang w:val="en-US" w:eastAsia="zh-CN" w:bidi="ar"/>
              </w:rPr>
              <w:t>合  计</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kern w:val="0"/>
                <w:sz w:val="24"/>
                <w:szCs w:val="24"/>
                <w:highlight w:val="none"/>
                <w:u w:val="none"/>
                <w:lang w:val="en-US" w:eastAsia="zh-CN" w:bidi="ar"/>
              </w:rPr>
            </w:pPr>
            <w:r>
              <w:rPr>
                <w:rFonts w:hint="eastAsia" w:ascii="仿宋_GB2312" w:hAnsi="宋体" w:eastAsia="仿宋_GB2312" w:cs="仿宋_GB2312"/>
                <w:b/>
                <w:bCs/>
                <w:i w:val="0"/>
                <w:iCs w:val="0"/>
                <w:color w:val="auto"/>
                <w:kern w:val="0"/>
                <w:sz w:val="24"/>
                <w:szCs w:val="24"/>
                <w:highlight w:val="none"/>
                <w:u w:val="none"/>
                <w:lang w:val="en-US" w:eastAsia="zh-CN" w:bidi="ar"/>
              </w:rPr>
              <w:t>100%</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kern w:val="0"/>
                <w:sz w:val="24"/>
                <w:szCs w:val="24"/>
                <w:highlight w:val="none"/>
                <w:u w:val="none"/>
                <w:lang w:val="en-US" w:eastAsia="zh-CN" w:bidi="ar"/>
              </w:rPr>
            </w:pPr>
            <w:r>
              <w:rPr>
                <w:rFonts w:hint="eastAsia" w:ascii="仿宋_GB2312" w:hAnsi="宋体" w:eastAsia="仿宋_GB2312" w:cs="仿宋_GB2312"/>
                <w:b/>
                <w:bCs/>
                <w:i w:val="0"/>
                <w:iCs w:val="0"/>
                <w:color w:val="auto"/>
                <w:kern w:val="0"/>
                <w:sz w:val="24"/>
                <w:szCs w:val="24"/>
                <w:highlight w:val="none"/>
                <w:u w:val="none"/>
                <w:lang w:val="en-US" w:eastAsia="zh-CN" w:bidi="ar"/>
              </w:rPr>
              <w:t>——</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kern w:val="0"/>
                <w:sz w:val="24"/>
                <w:szCs w:val="24"/>
                <w:highlight w:val="none"/>
                <w:u w:val="none"/>
                <w:lang w:val="en-US" w:eastAsia="zh-CN" w:bidi="ar"/>
              </w:rPr>
            </w:pPr>
            <w:r>
              <w:rPr>
                <w:rFonts w:hint="eastAsia" w:ascii="仿宋_GB2312" w:hAnsi="宋体" w:eastAsia="仿宋_GB2312" w:cs="仿宋_GB2312"/>
                <w:b/>
                <w:bCs/>
                <w:i w:val="0"/>
                <w:iCs w:val="0"/>
                <w:color w:val="auto"/>
                <w:kern w:val="0"/>
                <w:sz w:val="24"/>
                <w:szCs w:val="24"/>
                <w:highlight w:val="none"/>
                <w:u w:val="none"/>
                <w:lang w:val="en-US" w:eastAsia="zh-CN" w:bidi="ar"/>
              </w:rPr>
              <w:t>97.09</w:t>
            </w:r>
          </w:p>
        </w:tc>
      </w:tr>
      <w:tr>
        <w:tblPrEx>
          <w:tblLayout w:type="fixed"/>
          <w:tblCellMar>
            <w:top w:w="0" w:type="dxa"/>
            <w:left w:w="108" w:type="dxa"/>
            <w:bottom w:w="0" w:type="dxa"/>
            <w:right w:w="108" w:type="dxa"/>
          </w:tblCellMar>
        </w:tblPrEx>
        <w:trPr>
          <w:trHeight w:val="402"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家禽及蔬菜瓜果应急收储奖补资金</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73.00%</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96.45</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70.41</w:t>
            </w:r>
          </w:p>
        </w:tc>
      </w:tr>
      <w:tr>
        <w:tblPrEx>
          <w:tblLayout w:type="fixed"/>
          <w:tblCellMar>
            <w:top w:w="0" w:type="dxa"/>
            <w:left w:w="108" w:type="dxa"/>
            <w:bottom w:w="0" w:type="dxa"/>
            <w:right w:w="108" w:type="dxa"/>
          </w:tblCellMar>
        </w:tblPrEx>
        <w:trPr>
          <w:trHeight w:val="402"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红火蚁防控资金</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16.45%</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98.70</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16.23</w:t>
            </w:r>
          </w:p>
        </w:tc>
      </w:tr>
      <w:tr>
        <w:tblPrEx>
          <w:tblLayout w:type="fixed"/>
          <w:tblCellMar>
            <w:top w:w="0" w:type="dxa"/>
            <w:left w:w="108" w:type="dxa"/>
            <w:bottom w:w="0" w:type="dxa"/>
            <w:right w:w="108" w:type="dxa"/>
          </w:tblCellMar>
        </w:tblPrEx>
        <w:trPr>
          <w:trHeight w:val="413"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应急种子储备及调拨资金</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10.55%</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99.00</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10.45</w:t>
            </w:r>
          </w:p>
        </w:tc>
      </w:tr>
    </w:tbl>
    <w:p>
      <w:pPr>
        <w:pStyle w:val="2"/>
        <w:rPr>
          <w:rFonts w:hint="eastAsia" w:ascii="Calibri" w:hAnsi="宋体"/>
          <w:color w:val="auto"/>
          <w:highlight w:val="none"/>
        </w:rPr>
      </w:pPr>
      <w:r>
        <w:rPr>
          <w:rFonts w:hint="eastAsia" w:ascii="仿宋_GB2312" w:hAnsi="仿宋" w:eastAsia="仿宋_GB2312"/>
          <w:color w:val="auto"/>
          <w:sz w:val="21"/>
          <w:szCs w:val="21"/>
          <w:highlight w:val="none"/>
          <w:lang w:val="en-US" w:eastAsia="zh-CN"/>
        </w:rPr>
        <w:t>说明：“家禽及蔬菜瓜果应急收储奖补资金”资金权重按实际安排预算4438.38万元计算。</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hAnsi="仿宋" w:eastAsia="仿宋_GB2312"/>
          <w:color w:val="auto"/>
          <w:sz w:val="32"/>
          <w:highlight w:val="none"/>
        </w:rPr>
      </w:pPr>
      <w:r>
        <w:rPr>
          <w:rFonts w:hint="eastAsia" w:ascii="仿宋_GB2312" w:eastAsia="仿宋_GB2312"/>
          <w:b/>
          <w:bCs/>
          <w:color w:val="auto"/>
          <w:sz w:val="32"/>
          <w:szCs w:val="32"/>
          <w:highlight w:val="none"/>
          <w:lang w:val="en-US" w:eastAsia="zh-CN"/>
        </w:rPr>
        <w:t>1.</w:t>
      </w:r>
      <w:r>
        <w:rPr>
          <w:rFonts w:hint="eastAsia" w:ascii="仿宋_GB2312" w:eastAsia="仿宋_GB2312"/>
          <w:b/>
          <w:bCs/>
          <w:color w:val="auto"/>
          <w:sz w:val="32"/>
          <w:szCs w:val="32"/>
          <w:highlight w:val="none"/>
        </w:rPr>
        <w:t>投入</w:t>
      </w:r>
      <w:r>
        <w:rPr>
          <w:rFonts w:hint="eastAsia" w:ascii="仿宋_GB2312" w:eastAsia="仿宋_GB2312"/>
          <w:b/>
          <w:bCs/>
          <w:color w:val="auto"/>
          <w:sz w:val="32"/>
          <w:szCs w:val="32"/>
          <w:highlight w:val="none"/>
          <w:lang w:eastAsia="zh-CN"/>
        </w:rPr>
        <w:t>。</w:t>
      </w:r>
      <w:r>
        <w:rPr>
          <w:rFonts w:hint="eastAsia" w:ascii="仿宋_GB2312" w:hAnsi="仿宋" w:eastAsia="仿宋_GB2312"/>
          <w:color w:val="auto"/>
          <w:sz w:val="32"/>
          <w:highlight w:val="none"/>
        </w:rPr>
        <w:t>该指标主要从项目立项和资金落实两个方面考察</w:t>
      </w:r>
      <w:r>
        <w:rPr>
          <w:rFonts w:hint="eastAsia" w:ascii="仿宋_GB2312" w:hAnsi="仿宋_GB2312" w:eastAsia="仿宋_GB2312" w:cs="仿宋_GB2312"/>
          <w:color w:val="auto"/>
          <w:sz w:val="32"/>
          <w:highlight w:val="none"/>
        </w:rPr>
        <w:t>项目论证的充分性，绩效目标的完整性、合理性和可衡量性，制度和计划上的保障措施，资金到位和分配情况</w:t>
      </w:r>
      <w:r>
        <w:rPr>
          <w:rFonts w:hint="eastAsia" w:ascii="仿宋_GB2312" w:hAnsi="仿宋" w:eastAsia="仿宋_GB2312"/>
          <w:color w:val="auto"/>
          <w:sz w:val="32"/>
          <w:highlight w:val="none"/>
        </w:rPr>
        <w:t>。指标分值20分，评价得分</w:t>
      </w:r>
      <w:r>
        <w:rPr>
          <w:rFonts w:hint="eastAsia" w:ascii="仿宋_GB2312" w:hAnsi="仿宋" w:eastAsia="仿宋_GB2312"/>
          <w:color w:val="auto"/>
          <w:sz w:val="32"/>
          <w:highlight w:val="none"/>
          <w:lang w:val="en-US" w:eastAsia="zh-CN"/>
        </w:rPr>
        <w:t>19.45</w:t>
      </w:r>
      <w:r>
        <w:rPr>
          <w:rFonts w:hint="eastAsia" w:ascii="仿宋_GB2312" w:hAnsi="仿宋" w:eastAsia="仿宋_GB2312"/>
          <w:color w:val="auto"/>
          <w:sz w:val="32"/>
          <w:highlight w:val="none"/>
        </w:rPr>
        <w:t>分，得分率为</w:t>
      </w:r>
      <w:r>
        <w:rPr>
          <w:rFonts w:hint="eastAsia" w:ascii="仿宋_GB2312" w:hAnsi="仿宋" w:eastAsia="仿宋_GB2312"/>
          <w:color w:val="auto"/>
          <w:sz w:val="32"/>
          <w:highlight w:val="none"/>
          <w:lang w:val="en-US" w:eastAsia="zh-CN"/>
        </w:rPr>
        <w:t>97.25</w:t>
      </w:r>
      <w:r>
        <w:rPr>
          <w:rFonts w:hint="eastAsia" w:ascii="仿宋_GB2312" w:hAnsi="仿宋" w:eastAsia="仿宋_GB2312"/>
          <w:color w:val="auto"/>
          <w:sz w:val="32"/>
          <w:highlight w:val="none"/>
        </w:rPr>
        <w:t>%。</w:t>
      </w:r>
    </w:p>
    <w:p>
      <w:pPr>
        <w:ind w:firstLine="643" w:firstLineChars="200"/>
        <w:rPr>
          <w:rFonts w:hint="eastAsia" w:ascii="仿宋_GB2312" w:hAnsi="仿宋" w:eastAsia="仿宋_GB2312"/>
          <w:color w:val="auto"/>
          <w:sz w:val="32"/>
          <w:highlight w:val="none"/>
          <w:lang w:val="en-US" w:eastAsia="zh-CN"/>
        </w:rPr>
      </w:pPr>
      <w:bookmarkStart w:id="38" w:name="_Toc39323948"/>
      <w:bookmarkStart w:id="39" w:name="_Toc42021433"/>
      <w:bookmarkStart w:id="40" w:name="_Toc39921328"/>
      <w:bookmarkStart w:id="41" w:name="_Toc5399"/>
      <w:bookmarkStart w:id="42" w:name="_Toc42020742"/>
      <w:bookmarkStart w:id="43" w:name="_Toc41334547"/>
      <w:bookmarkStart w:id="44" w:name="_Toc39324245"/>
      <w:r>
        <w:rPr>
          <w:rFonts w:hint="eastAsia" w:ascii="仿宋_GB2312" w:hAnsi="仿宋" w:eastAsia="仿宋_GB2312" w:cs="Times New Roman"/>
          <w:b/>
          <w:bCs/>
          <w:color w:val="auto"/>
          <w:kern w:val="0"/>
          <w:sz w:val="32"/>
          <w:szCs w:val="32"/>
          <w:highlight w:val="none"/>
          <w:lang w:val="en-US" w:eastAsia="zh-CN" w:bidi="ar-SA"/>
        </w:rPr>
        <w:t>（1）项目立项。</w:t>
      </w:r>
      <w:bookmarkEnd w:id="38"/>
      <w:bookmarkEnd w:id="39"/>
      <w:bookmarkEnd w:id="40"/>
      <w:bookmarkEnd w:id="41"/>
      <w:bookmarkEnd w:id="42"/>
      <w:bookmarkEnd w:id="43"/>
      <w:bookmarkEnd w:id="44"/>
      <w:r>
        <w:rPr>
          <w:rFonts w:hint="eastAsia" w:ascii="仿宋_GB2312" w:hAnsi="仿宋" w:eastAsia="仿宋_GB2312" w:cs="Times New Roman"/>
          <w:color w:val="auto"/>
          <w:kern w:val="0"/>
          <w:sz w:val="32"/>
          <w:szCs w:val="32"/>
          <w:highlight w:val="none"/>
          <w:lang w:val="en-US" w:eastAsia="zh-CN" w:bidi="ar-SA"/>
        </w:rPr>
        <w:t>该指标分值12分，评价得分11.45分，得分率为</w:t>
      </w:r>
      <w:r>
        <w:rPr>
          <w:rFonts w:hint="eastAsia" w:ascii="仿宋_GB2312" w:hAnsi="仿宋" w:eastAsia="仿宋_GB2312" w:cs="Times New Roman"/>
          <w:color w:val="auto"/>
          <w:sz w:val="32"/>
          <w:highlight w:val="none"/>
          <w:lang w:val="en-US" w:eastAsia="zh-CN"/>
        </w:rPr>
        <w:t>95.42</w:t>
      </w:r>
      <w:r>
        <w:rPr>
          <w:rFonts w:hint="eastAsia" w:ascii="仿宋_GB2312" w:hAnsi="仿宋" w:eastAsia="仿宋_GB2312" w:cs="Times New Roman"/>
          <w:color w:val="auto"/>
          <w:sz w:val="32"/>
          <w:highlight w:val="none"/>
        </w:rPr>
        <w:t>%。</w:t>
      </w:r>
      <w:bookmarkStart w:id="45" w:name="_Toc39323949"/>
      <w:bookmarkStart w:id="46" w:name="_Toc39921329"/>
      <w:bookmarkStart w:id="47" w:name="_Toc39324246"/>
      <w:bookmarkStart w:id="48" w:name="_Toc16144"/>
      <w:r>
        <w:rPr>
          <w:rFonts w:hint="eastAsia" w:ascii="仿宋_GB2312" w:hAnsi="仿宋" w:eastAsia="仿宋_GB2312" w:cs="Times New Roman"/>
          <w:color w:val="auto"/>
          <w:sz w:val="32"/>
          <w:highlight w:val="none"/>
          <w:lang w:val="en-US" w:eastAsia="zh-CN"/>
        </w:rPr>
        <w:t>总体上，专项资金设立的</w:t>
      </w:r>
      <w:r>
        <w:rPr>
          <w:rFonts w:hint="eastAsia" w:ascii="仿宋_GB2312" w:hAnsi="仿宋" w:eastAsia="仿宋_GB2312" w:cs="Times New Roman"/>
          <w:color w:val="auto"/>
          <w:sz w:val="32"/>
          <w:highlight w:val="none"/>
        </w:rPr>
        <w:t>决策过程科学合理，资金设立</w:t>
      </w:r>
      <w:r>
        <w:rPr>
          <w:rFonts w:hint="eastAsia" w:ascii="仿宋_GB2312" w:hAnsi="仿宋" w:eastAsia="仿宋_GB2312" w:cs="Times New Roman"/>
          <w:color w:val="auto"/>
          <w:sz w:val="32"/>
          <w:highlight w:val="none"/>
          <w:lang w:eastAsia="zh-CN"/>
        </w:rPr>
        <w:t>程序</w:t>
      </w:r>
      <w:r>
        <w:rPr>
          <w:rFonts w:hint="eastAsia" w:ascii="仿宋_GB2312" w:hAnsi="仿宋" w:eastAsia="仿宋_GB2312" w:cs="Times New Roman"/>
          <w:color w:val="auto"/>
          <w:sz w:val="32"/>
          <w:highlight w:val="none"/>
        </w:rPr>
        <w:t>符合省级专项资金管理办法，资金投向和结</w:t>
      </w:r>
      <w:r>
        <w:rPr>
          <w:rFonts w:hint="eastAsia" w:ascii="仿宋_GB2312" w:hAnsi="仿宋" w:eastAsia="仿宋_GB2312"/>
          <w:color w:val="auto"/>
          <w:sz w:val="32"/>
          <w:highlight w:val="none"/>
        </w:rPr>
        <w:t>构符合公共财政</w:t>
      </w:r>
      <w:r>
        <w:rPr>
          <w:rFonts w:hint="eastAsia" w:ascii="仿宋_GB2312" w:hAnsi="仿宋" w:eastAsia="仿宋_GB2312"/>
          <w:color w:val="auto"/>
          <w:sz w:val="32"/>
          <w:highlight w:val="none"/>
          <w:lang w:eastAsia="zh-CN"/>
        </w:rPr>
        <w:t>支持</w:t>
      </w:r>
      <w:r>
        <w:rPr>
          <w:rFonts w:hint="eastAsia" w:ascii="仿宋_GB2312" w:hAnsi="仿宋" w:eastAsia="仿宋_GB2312"/>
          <w:color w:val="auto"/>
          <w:sz w:val="32"/>
          <w:highlight w:val="none"/>
        </w:rPr>
        <w:t>方向</w:t>
      </w:r>
      <w:bookmarkEnd w:id="45"/>
      <w:bookmarkEnd w:id="46"/>
      <w:bookmarkEnd w:id="47"/>
      <w:bookmarkEnd w:id="48"/>
      <w:r>
        <w:rPr>
          <w:rFonts w:hint="eastAsia" w:ascii="仿宋_GB2312" w:hAnsi="仿宋" w:eastAsia="仿宋_GB2312"/>
          <w:color w:val="auto"/>
          <w:sz w:val="32"/>
          <w:highlight w:val="none"/>
          <w:lang w:eastAsia="zh-CN"/>
        </w:rPr>
        <w:t>。绩效目标设置</w:t>
      </w:r>
      <w:r>
        <w:rPr>
          <w:rFonts w:hint="eastAsia" w:ascii="仿宋_GB2312" w:hAnsi="仿宋" w:eastAsia="仿宋_GB2312"/>
          <w:color w:val="auto"/>
          <w:sz w:val="32"/>
          <w:highlight w:val="none"/>
          <w:lang w:val="en-US" w:eastAsia="zh-CN"/>
        </w:rPr>
        <w:t>较为</w:t>
      </w:r>
      <w:r>
        <w:rPr>
          <w:rFonts w:hint="eastAsia" w:ascii="仿宋_GB2312" w:hAnsi="仿宋" w:eastAsia="仿宋_GB2312"/>
          <w:color w:val="auto"/>
          <w:sz w:val="32"/>
          <w:highlight w:val="none"/>
          <w:lang w:eastAsia="zh-CN"/>
        </w:rPr>
        <w:t>完整，基本符合项目属性、支出内容。相关管理制度完整，能够为项目规范实施提供制度保障。各市能够按照资金安排实计划实施项目，工作安排比较合理。</w:t>
      </w:r>
      <w:r>
        <w:rPr>
          <w:rFonts w:hint="eastAsia" w:ascii="仿宋_GB2312" w:hAnsi="仿宋" w:eastAsia="仿宋_GB2312"/>
          <w:color w:val="auto"/>
          <w:sz w:val="32"/>
          <w:highlight w:val="none"/>
          <w:lang w:val="en-US" w:eastAsia="zh-CN"/>
        </w:rPr>
        <w:t>存在的问题是：3项政策任务绩效目标设置的完整性、合理性和可衡量需要进一步提高。</w:t>
      </w:r>
    </w:p>
    <w:p>
      <w:pPr>
        <w:numPr>
          <w:ilvl w:val="0"/>
          <w:numId w:val="3"/>
        </w:numPr>
        <w:ind w:firstLine="643" w:firstLineChars="200"/>
        <w:rPr>
          <w:rFonts w:hint="eastAsia" w:ascii="仿宋_GB2312" w:hAnsi="仿宋" w:eastAsia="仿宋_GB2312"/>
          <w:b w:val="0"/>
          <w:bCs w:val="0"/>
          <w:color w:val="auto"/>
          <w:sz w:val="32"/>
          <w:highlight w:val="none"/>
          <w:lang w:eastAsia="zh-CN"/>
        </w:rPr>
      </w:pPr>
      <w:r>
        <w:rPr>
          <w:rFonts w:hint="eastAsia" w:ascii="仿宋_GB2312" w:hAnsi="仿宋" w:eastAsia="仿宋_GB2312"/>
          <w:b/>
          <w:bCs/>
          <w:color w:val="auto"/>
          <w:sz w:val="32"/>
          <w:highlight w:val="none"/>
          <w:lang w:val="en-US" w:eastAsia="zh-CN"/>
        </w:rPr>
        <w:t>资金落实</w:t>
      </w:r>
      <w:r>
        <w:rPr>
          <w:rFonts w:hint="eastAsia" w:ascii="仿宋_GB2312" w:hAnsi="仿宋" w:eastAsia="仿宋_GB2312"/>
          <w:b/>
          <w:bCs/>
          <w:color w:val="auto"/>
          <w:sz w:val="32"/>
          <w:highlight w:val="none"/>
          <w:lang w:eastAsia="zh-CN"/>
        </w:rPr>
        <w:t>。</w:t>
      </w:r>
      <w:r>
        <w:rPr>
          <w:rFonts w:hint="eastAsia" w:ascii="仿宋_GB2312" w:hAnsi="仿宋" w:eastAsia="仿宋_GB2312" w:cs="Times New Roman"/>
          <w:color w:val="auto"/>
          <w:sz w:val="32"/>
          <w:highlight w:val="none"/>
        </w:rPr>
        <w:t>该指标分值</w:t>
      </w:r>
      <w:r>
        <w:rPr>
          <w:rFonts w:hint="eastAsia" w:ascii="仿宋_GB2312" w:hAnsi="仿宋" w:eastAsia="仿宋_GB2312" w:cs="Times New Roman"/>
          <w:color w:val="auto"/>
          <w:sz w:val="32"/>
          <w:highlight w:val="none"/>
          <w:lang w:val="en-US" w:eastAsia="zh-CN"/>
        </w:rPr>
        <w:t>8</w:t>
      </w:r>
      <w:r>
        <w:rPr>
          <w:rFonts w:hint="eastAsia" w:ascii="仿宋_GB2312" w:hAnsi="仿宋" w:eastAsia="仿宋_GB2312" w:cs="Times New Roman"/>
          <w:color w:val="auto"/>
          <w:sz w:val="32"/>
          <w:highlight w:val="none"/>
        </w:rPr>
        <w:t>分，评价得分</w:t>
      </w:r>
      <w:r>
        <w:rPr>
          <w:rFonts w:hint="eastAsia" w:ascii="仿宋_GB2312" w:hAnsi="仿宋" w:eastAsia="仿宋_GB2312" w:cs="Times New Roman"/>
          <w:color w:val="auto"/>
          <w:sz w:val="32"/>
          <w:highlight w:val="none"/>
          <w:lang w:val="en-US" w:eastAsia="zh-CN"/>
        </w:rPr>
        <w:t>8</w:t>
      </w:r>
      <w:r>
        <w:rPr>
          <w:rFonts w:hint="eastAsia" w:ascii="仿宋_GB2312" w:hAnsi="仿宋" w:eastAsia="仿宋_GB2312" w:cs="Times New Roman"/>
          <w:color w:val="auto"/>
          <w:sz w:val="32"/>
          <w:highlight w:val="none"/>
        </w:rPr>
        <w:t>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eastAsia="仿宋_GB2312"/>
          <w:color w:val="auto"/>
          <w:sz w:val="32"/>
          <w:highlight w:val="none"/>
          <w:lang w:val="en-US" w:eastAsia="zh-CN"/>
        </w:rPr>
        <w:t>2020年救灾应急专项资金</w:t>
      </w:r>
      <w:r>
        <w:rPr>
          <w:rFonts w:hint="eastAsia" w:ascii="仿宋_GB2312" w:hAnsi="仿宋" w:eastAsia="仿宋_GB2312" w:cs="Times New Roman"/>
          <w:color w:val="auto"/>
          <w:sz w:val="32"/>
          <w:highlight w:val="none"/>
          <w:lang w:eastAsia="zh-CN"/>
        </w:rPr>
        <w:t>全部落实到位，</w:t>
      </w:r>
      <w:r>
        <w:rPr>
          <w:rFonts w:hint="eastAsia" w:ascii="仿宋_GB2312" w:eastAsia="仿宋_GB2312"/>
          <w:color w:val="auto"/>
          <w:sz w:val="32"/>
          <w:highlight w:val="none"/>
          <w:lang w:val="en-US" w:eastAsia="zh-CN"/>
        </w:rPr>
        <w:t>资金及时足额下达至相关单位。</w:t>
      </w:r>
      <w:r>
        <w:rPr>
          <w:rFonts w:hint="eastAsia" w:ascii="仿宋_GB2312" w:hAnsi="仿宋" w:eastAsia="仿宋_GB2312"/>
          <w:color w:val="auto"/>
          <w:sz w:val="32"/>
          <w:szCs w:val="32"/>
          <w:highlight w:val="none"/>
        </w:rPr>
        <w:t>资金按因素法分配，专项资金分配明确合理，扶持对象和主要用途符合相关规定</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有助于实现绩效目标</w:t>
      </w:r>
      <w:r>
        <w:rPr>
          <w:rFonts w:hint="eastAsia" w:ascii="仿宋_GB2312" w:hAnsi="仿宋" w:eastAsia="仿宋_GB2312"/>
          <w:color w:val="auto"/>
          <w:sz w:val="32"/>
          <w:szCs w:val="32"/>
          <w:highlight w:val="none"/>
        </w:rPr>
        <w:t>。</w:t>
      </w:r>
    </w:p>
    <w:p>
      <w:pPr>
        <w:numPr>
          <w:ilvl w:val="0"/>
          <w:numId w:val="0"/>
        </w:numPr>
        <w:ind w:firstLine="643" w:firstLineChars="200"/>
        <w:rPr>
          <w:rFonts w:hint="eastAsia" w:ascii="仿宋_GB2312" w:hAnsi="仿宋" w:eastAsia="仿宋_GB2312"/>
          <w:b w:val="0"/>
          <w:bCs w:val="0"/>
          <w:color w:val="auto"/>
          <w:sz w:val="32"/>
          <w:highlight w:val="none"/>
          <w:lang w:eastAsia="zh-CN"/>
        </w:rPr>
      </w:pPr>
      <w:r>
        <w:rPr>
          <w:rFonts w:hint="eastAsia" w:ascii="仿宋_GB2312" w:hAnsi="仿宋" w:eastAsia="仿宋_GB2312"/>
          <w:b/>
          <w:bCs/>
          <w:color w:val="auto"/>
          <w:sz w:val="32"/>
          <w:highlight w:val="none"/>
          <w:lang w:val="en-US" w:eastAsia="zh-CN"/>
        </w:rPr>
        <w:t>2.</w:t>
      </w:r>
      <w:r>
        <w:rPr>
          <w:rFonts w:hint="eastAsia" w:ascii="仿宋_GB2312" w:hAnsi="仿宋" w:eastAsia="仿宋_GB2312"/>
          <w:b/>
          <w:bCs/>
          <w:color w:val="auto"/>
          <w:sz w:val="32"/>
          <w:highlight w:val="none"/>
        </w:rPr>
        <w:t>过程</w:t>
      </w:r>
      <w:r>
        <w:rPr>
          <w:rFonts w:hint="eastAsia" w:ascii="仿宋_GB2312" w:hAnsi="仿宋" w:eastAsia="仿宋_GB2312"/>
          <w:b/>
          <w:bCs/>
          <w:color w:val="auto"/>
          <w:sz w:val="32"/>
          <w:highlight w:val="none"/>
          <w:lang w:eastAsia="zh-CN"/>
        </w:rPr>
        <w:t>。</w:t>
      </w:r>
      <w:r>
        <w:rPr>
          <w:rFonts w:hint="eastAsia" w:ascii="仿宋_GB2312" w:hAnsi="仿宋" w:eastAsia="仿宋_GB2312"/>
          <w:b w:val="0"/>
          <w:bCs w:val="0"/>
          <w:color w:val="auto"/>
          <w:sz w:val="32"/>
          <w:highlight w:val="none"/>
          <w:lang w:eastAsia="zh-CN"/>
        </w:rPr>
        <w:t>该指标主要从资金管理和事项管理两个方面考核项目资金支付情况，资金支出的规范性，项目实施的规范性和监管的有效性。指标分值20分，评价得分</w:t>
      </w:r>
      <w:r>
        <w:rPr>
          <w:rFonts w:hint="eastAsia" w:ascii="仿宋_GB2312" w:hAnsi="仿宋" w:eastAsia="仿宋_GB2312"/>
          <w:b w:val="0"/>
          <w:bCs w:val="0"/>
          <w:color w:val="auto"/>
          <w:sz w:val="32"/>
          <w:highlight w:val="none"/>
          <w:lang w:val="en-US" w:eastAsia="zh-CN"/>
        </w:rPr>
        <w:t>20</w:t>
      </w:r>
      <w:r>
        <w:rPr>
          <w:rFonts w:hint="eastAsia" w:ascii="仿宋_GB2312" w:hAnsi="仿宋" w:eastAsia="仿宋_GB2312"/>
          <w:b w:val="0"/>
          <w:bCs w:val="0"/>
          <w:color w:val="auto"/>
          <w:sz w:val="32"/>
          <w:highlight w:val="none"/>
          <w:lang w:eastAsia="zh-CN"/>
        </w:rPr>
        <w:t>分，得分率为</w:t>
      </w:r>
      <w:r>
        <w:rPr>
          <w:rFonts w:hint="eastAsia" w:ascii="仿宋_GB2312" w:hAnsi="仿宋" w:eastAsia="仿宋_GB2312"/>
          <w:b w:val="0"/>
          <w:bCs w:val="0"/>
          <w:color w:val="auto"/>
          <w:sz w:val="32"/>
          <w:highlight w:val="none"/>
          <w:lang w:val="en-US" w:eastAsia="zh-CN"/>
        </w:rPr>
        <w:t>100</w:t>
      </w:r>
      <w:r>
        <w:rPr>
          <w:rFonts w:hint="eastAsia" w:ascii="仿宋_GB2312" w:hAnsi="仿宋" w:eastAsia="仿宋_GB2312"/>
          <w:b w:val="0"/>
          <w:bCs w:val="0"/>
          <w:color w:val="auto"/>
          <w:sz w:val="32"/>
          <w:highlight w:val="none"/>
          <w:lang w:eastAsia="zh-CN"/>
        </w:rPr>
        <w:t>%。</w:t>
      </w:r>
    </w:p>
    <w:p>
      <w:pPr>
        <w:widowControl w:val="0"/>
        <w:numPr>
          <w:ilvl w:val="0"/>
          <w:numId w:val="0"/>
        </w:numPr>
        <w:ind w:firstLine="643" w:firstLineChars="200"/>
        <w:jc w:val="both"/>
        <w:rPr>
          <w:rFonts w:hint="eastAsia" w:ascii="仿宋" w:hAnsi="仿宋" w:eastAsia="仿宋" w:cs="仿宋"/>
          <w:color w:val="auto"/>
          <w:sz w:val="32"/>
          <w:szCs w:val="32"/>
          <w:highlight w:val="none"/>
        </w:rPr>
      </w:pPr>
      <w:r>
        <w:rPr>
          <w:rFonts w:hint="eastAsia" w:ascii="仿宋_GB2312" w:hAnsi="仿宋" w:eastAsia="仿宋_GB2312" w:cs="Times New Roman"/>
          <w:b/>
          <w:bCs/>
          <w:color w:val="auto"/>
          <w:kern w:val="0"/>
          <w:sz w:val="32"/>
          <w:szCs w:val="32"/>
          <w:highlight w:val="none"/>
          <w:lang w:val="en-US" w:eastAsia="zh-CN" w:bidi="ar-SA"/>
        </w:rPr>
        <w:t>（1）资金管理。</w:t>
      </w:r>
      <w:r>
        <w:rPr>
          <w:rFonts w:hint="eastAsia" w:ascii="仿宋_GB2312" w:hAnsi="仿宋" w:eastAsia="仿宋_GB2312" w:cs="Times New Roman"/>
          <w:color w:val="auto"/>
          <w:kern w:val="0"/>
          <w:sz w:val="32"/>
          <w:szCs w:val="32"/>
          <w:highlight w:val="none"/>
          <w:lang w:val="en-US" w:eastAsia="zh-CN" w:bidi="ar-SA"/>
        </w:rPr>
        <w:t>该指标分值12分，评价得分12分，得分率为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eastAsia="zh-CN"/>
        </w:rPr>
        <w:t>一是</w:t>
      </w:r>
      <w:r>
        <w:rPr>
          <w:rFonts w:hint="eastAsia" w:ascii="仿宋_GB2312" w:hAnsi="仿宋" w:eastAsia="仿宋_GB2312" w:cs="Times New Roman"/>
          <w:color w:val="auto"/>
          <w:sz w:val="32"/>
          <w:highlight w:val="none"/>
          <w:lang w:val="en-US" w:eastAsia="zh-CN"/>
        </w:rPr>
        <w:t>救灾应急资金预算数全部及时足额到位，实际安排</w:t>
      </w:r>
      <w:r>
        <w:rPr>
          <w:rFonts w:hint="eastAsia" w:ascii="仿宋_GB2312" w:hAnsi="仿宋" w:eastAsia="仿宋_GB2312" w:cs="Times New Roman"/>
          <w:color w:val="auto"/>
          <w:sz w:val="32"/>
          <w:highlight w:val="none"/>
        </w:rPr>
        <w:t>专项资金支出率</w:t>
      </w:r>
      <w:r>
        <w:rPr>
          <w:rFonts w:hint="eastAsia" w:ascii="仿宋_GB2312" w:hAnsi="仿宋" w:eastAsia="仿宋_GB2312" w:cs="Times New Roman"/>
          <w:color w:val="auto"/>
          <w:sz w:val="32"/>
          <w:highlight w:val="none"/>
          <w:lang w:eastAsia="zh-CN"/>
        </w:rPr>
        <w:t>为</w:t>
      </w:r>
      <w:r>
        <w:rPr>
          <w:rFonts w:hint="eastAsia" w:ascii="仿宋_GB2312" w:hAnsi="仿宋" w:eastAsia="仿宋_GB2312" w:cs="Times New Roman"/>
          <w:color w:val="auto"/>
          <w:sz w:val="32"/>
          <w:highlight w:val="none"/>
        </w:rPr>
        <w:t>100%。</w:t>
      </w:r>
      <w:r>
        <w:rPr>
          <w:rFonts w:hint="eastAsia" w:ascii="仿宋_GB2312" w:hAnsi="仿宋" w:eastAsia="仿宋_GB2312" w:cs="Times New Roman"/>
          <w:color w:val="auto"/>
          <w:sz w:val="32"/>
          <w:highlight w:val="none"/>
          <w:lang w:eastAsia="zh-CN"/>
        </w:rPr>
        <w:t>其中：</w:t>
      </w:r>
      <w:r>
        <w:rPr>
          <w:rFonts w:hint="eastAsia" w:ascii="仿宋" w:hAnsi="仿宋" w:eastAsia="仿宋" w:cs="仿宋"/>
          <w:color w:val="auto"/>
          <w:sz w:val="32"/>
          <w:szCs w:val="32"/>
          <w:highlight w:val="none"/>
          <w:lang w:val="en-US" w:eastAsia="zh-CN"/>
        </w:rPr>
        <w:t>家禽及蔬菜瓜果应急收储奖补资金</w:t>
      </w:r>
      <w:r>
        <w:rPr>
          <w:rFonts w:hint="eastAsia" w:ascii="仿宋" w:hAnsi="仿宋" w:eastAsia="仿宋" w:cs="仿宋"/>
          <w:color w:val="auto"/>
          <w:sz w:val="32"/>
          <w:szCs w:val="32"/>
          <w:highlight w:val="none"/>
          <w:lang w:eastAsia="zh-CN"/>
        </w:rPr>
        <w:t>按政策</w:t>
      </w:r>
      <w:r>
        <w:rPr>
          <w:rFonts w:hint="eastAsia" w:ascii="仿宋" w:hAnsi="仿宋" w:eastAsia="仿宋" w:cs="仿宋"/>
          <w:color w:val="auto"/>
          <w:sz w:val="32"/>
          <w:szCs w:val="32"/>
          <w:highlight w:val="none"/>
        </w:rPr>
        <w:t>支出4438.38万元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实际安排</w:t>
      </w:r>
      <w:r>
        <w:rPr>
          <w:rFonts w:hint="eastAsia" w:ascii="仿宋" w:hAnsi="仿宋" w:eastAsia="仿宋" w:cs="仿宋"/>
          <w:color w:val="auto"/>
          <w:sz w:val="32"/>
          <w:szCs w:val="32"/>
          <w:highlight w:val="none"/>
          <w:lang w:eastAsia="zh-CN"/>
        </w:rPr>
        <w:t>预算</w:t>
      </w:r>
      <w:r>
        <w:rPr>
          <w:rFonts w:hint="eastAsia" w:ascii="仿宋" w:hAnsi="仿宋" w:eastAsia="仿宋" w:cs="仿宋"/>
          <w:color w:val="auto"/>
          <w:sz w:val="32"/>
          <w:szCs w:val="32"/>
          <w:highlight w:val="none"/>
          <w:lang w:val="en-US" w:eastAsia="zh-CN"/>
        </w:rPr>
        <w:t>资金</w:t>
      </w:r>
      <w:r>
        <w:rPr>
          <w:rFonts w:hint="eastAsia" w:ascii="仿宋" w:hAnsi="仿宋" w:eastAsia="仿宋" w:cs="仿宋"/>
          <w:color w:val="auto"/>
          <w:sz w:val="32"/>
          <w:szCs w:val="32"/>
          <w:highlight w:val="none"/>
          <w:lang w:eastAsia="zh-CN"/>
        </w:rPr>
        <w:t>执行率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lang w:eastAsia="zh-CN"/>
        </w:rPr>
        <w:t>。</w:t>
      </w:r>
      <w:r>
        <w:rPr>
          <w:rFonts w:hint="eastAsia" w:ascii="仿宋_GB2312" w:eastAsia="仿宋_GB2312"/>
          <w:color w:val="auto"/>
          <w:sz w:val="32"/>
          <w:szCs w:val="32"/>
          <w:highlight w:val="none"/>
          <w:lang w:val="en-US" w:eastAsia="zh-CN"/>
        </w:rPr>
        <w:t>2020年10月，新冠肺炎疫情防控逐步常态化，市场秩序基本恢复正常，省农业农村厅印发通知，要求各地市从2020年11月份停止家禽水产品收储和蔬菜瓜果收购、贮藏应急补贴工作，各市尚未发放的省级补贴资金结余资金3561.62万元由省级财政收回</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红火蚁防控资金</w:t>
      </w:r>
      <w:r>
        <w:rPr>
          <w:rFonts w:hint="eastAsia" w:ascii="仿宋" w:hAnsi="仿宋" w:eastAsia="仿宋" w:cs="仿宋"/>
          <w:color w:val="auto"/>
          <w:sz w:val="32"/>
          <w:szCs w:val="32"/>
          <w:highlight w:val="none"/>
          <w:lang w:eastAsia="zh-CN"/>
        </w:rPr>
        <w:t>预算</w:t>
      </w:r>
      <w:r>
        <w:rPr>
          <w:rFonts w:hint="eastAsia" w:ascii="仿宋" w:hAnsi="仿宋" w:eastAsia="仿宋" w:cs="仿宋"/>
          <w:color w:val="auto"/>
          <w:sz w:val="32"/>
          <w:szCs w:val="32"/>
          <w:highlight w:val="none"/>
          <w:lang w:val="en-US" w:eastAsia="zh-CN"/>
        </w:rPr>
        <w:t>1000</w:t>
      </w:r>
      <w:r>
        <w:rPr>
          <w:rFonts w:hint="eastAsia" w:ascii="仿宋" w:hAnsi="仿宋" w:eastAsia="仿宋" w:cs="仿宋"/>
          <w:color w:val="auto"/>
          <w:sz w:val="32"/>
          <w:szCs w:val="32"/>
          <w:highlight w:val="none"/>
          <w:lang w:eastAsia="zh-CN"/>
        </w:rPr>
        <w:t>万元，实际支出</w:t>
      </w:r>
      <w:r>
        <w:rPr>
          <w:rFonts w:hint="eastAsia" w:ascii="仿宋" w:hAnsi="仿宋" w:eastAsia="仿宋" w:cs="仿宋"/>
          <w:color w:val="auto"/>
          <w:sz w:val="32"/>
          <w:szCs w:val="32"/>
          <w:highlight w:val="none"/>
          <w:lang w:val="en-US" w:eastAsia="zh-CN"/>
        </w:rPr>
        <w:t>1000</w:t>
      </w:r>
      <w:r>
        <w:rPr>
          <w:rFonts w:hint="eastAsia" w:ascii="仿宋" w:hAnsi="仿宋" w:eastAsia="仿宋" w:cs="仿宋"/>
          <w:color w:val="auto"/>
          <w:sz w:val="32"/>
          <w:szCs w:val="32"/>
          <w:highlight w:val="none"/>
          <w:lang w:eastAsia="zh-CN"/>
        </w:rPr>
        <w:t>万元，支出率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lang w:eastAsia="zh-CN"/>
        </w:rPr>
        <w:t>应急种子</w:t>
      </w:r>
      <w:r>
        <w:rPr>
          <w:rFonts w:hint="eastAsia" w:ascii="仿宋" w:hAnsi="仿宋" w:eastAsia="仿宋" w:cs="仿宋"/>
          <w:color w:val="auto"/>
          <w:sz w:val="32"/>
          <w:szCs w:val="32"/>
          <w:highlight w:val="none"/>
        </w:rPr>
        <w:t>储备及调拨</w:t>
      </w:r>
      <w:r>
        <w:rPr>
          <w:rFonts w:hint="eastAsia" w:ascii="仿宋" w:hAnsi="仿宋" w:eastAsia="仿宋" w:cs="仿宋"/>
          <w:color w:val="auto"/>
          <w:sz w:val="32"/>
          <w:szCs w:val="32"/>
          <w:highlight w:val="none"/>
          <w:lang w:eastAsia="zh-CN"/>
        </w:rPr>
        <w:t>资金预算数641.47万元，实际支出641.47万元，支出率</w:t>
      </w:r>
      <w:r>
        <w:rPr>
          <w:rFonts w:hint="eastAsia" w:ascii="仿宋" w:hAnsi="仿宋" w:eastAsia="仿宋" w:cs="仿宋"/>
          <w:color w:val="auto"/>
          <w:sz w:val="32"/>
          <w:szCs w:val="32"/>
          <w:highlight w:val="none"/>
          <w:lang w:val="en-US" w:eastAsia="zh-CN"/>
        </w:rPr>
        <w:t>100%。二是3项政策任务的专项</w:t>
      </w:r>
      <w:r>
        <w:rPr>
          <w:rFonts w:hint="eastAsia" w:ascii="仿宋" w:hAnsi="仿宋" w:eastAsia="仿宋" w:cs="仿宋"/>
          <w:color w:val="auto"/>
          <w:sz w:val="32"/>
          <w:szCs w:val="32"/>
          <w:highlight w:val="none"/>
        </w:rPr>
        <w:t>资金支出的程序较规范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未发现虚列支出、截留、挤占、挪用资金的情况。</w:t>
      </w:r>
    </w:p>
    <w:p>
      <w:pPr>
        <w:widowControl w:val="0"/>
        <w:numPr>
          <w:ilvl w:val="0"/>
          <w:numId w:val="0"/>
        </w:numPr>
        <w:ind w:firstLine="643" w:firstLineChars="200"/>
        <w:jc w:val="both"/>
        <w:rPr>
          <w:rFonts w:hint="eastAsia" w:ascii="仿宋_GB2312" w:hAnsi="仿宋_GB2312" w:eastAsia="仿宋_GB2312" w:cs="仿宋_GB2312"/>
          <w:color w:val="auto"/>
          <w:sz w:val="32"/>
          <w:highlight w:val="none"/>
          <w:lang w:eastAsia="zh-CN"/>
        </w:rPr>
      </w:pPr>
      <w:r>
        <w:rPr>
          <w:rFonts w:hint="eastAsia" w:ascii="仿宋_GB2312" w:hAnsi="仿宋" w:eastAsia="仿宋_GB2312" w:cs="Times New Roman"/>
          <w:b/>
          <w:bCs/>
          <w:color w:val="auto"/>
          <w:kern w:val="0"/>
          <w:sz w:val="32"/>
          <w:szCs w:val="32"/>
          <w:highlight w:val="none"/>
          <w:lang w:val="en-US" w:eastAsia="zh-CN" w:bidi="ar-SA"/>
        </w:rPr>
        <w:t>（2）事项管理。</w:t>
      </w:r>
      <w:r>
        <w:rPr>
          <w:rFonts w:hint="eastAsia" w:ascii="仿宋_GB2312" w:hAnsi="仿宋" w:eastAsia="仿宋_GB2312" w:cs="Times New Roman"/>
          <w:color w:val="auto"/>
          <w:kern w:val="0"/>
          <w:sz w:val="32"/>
          <w:szCs w:val="32"/>
          <w:highlight w:val="none"/>
          <w:lang w:val="en-US" w:eastAsia="zh-CN" w:bidi="ar-SA"/>
        </w:rPr>
        <w:t>该指标分值8分，评价得分8分，得分率为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hAnsi="仿宋" w:eastAsia="仿宋_GB2312"/>
          <w:color w:val="auto"/>
          <w:sz w:val="32"/>
          <w:szCs w:val="32"/>
          <w:highlight w:val="none"/>
          <w:lang w:eastAsia="zh-CN"/>
        </w:rPr>
        <w:t>我厅</w:t>
      </w:r>
      <w:r>
        <w:rPr>
          <w:rFonts w:ascii="仿宋_GB2312" w:hAnsi="仿宋_GB2312" w:eastAsia="仿宋_GB2312" w:cs="仿宋_GB2312"/>
          <w:color w:val="auto"/>
          <w:sz w:val="32"/>
          <w:highlight w:val="none"/>
        </w:rPr>
        <w:t>制定了比较明确</w:t>
      </w:r>
      <w:r>
        <w:rPr>
          <w:rFonts w:hint="eastAsia" w:ascii="仿宋_GB2312" w:hAnsi="仿宋_GB2312" w:eastAsia="仿宋_GB2312" w:cs="仿宋_GB2312"/>
          <w:color w:val="auto"/>
          <w:sz w:val="32"/>
          <w:highlight w:val="none"/>
        </w:rPr>
        <w:t>的</w:t>
      </w:r>
      <w:r>
        <w:rPr>
          <w:rFonts w:ascii="仿宋_GB2312" w:hAnsi="仿宋_GB2312" w:eastAsia="仿宋_GB2312" w:cs="仿宋_GB2312"/>
          <w:color w:val="auto"/>
          <w:sz w:val="32"/>
          <w:highlight w:val="none"/>
        </w:rPr>
        <w:t>专项资金项目实施程序，</w:t>
      </w:r>
      <w:r>
        <w:rPr>
          <w:rFonts w:hint="eastAsia" w:ascii="仿宋_GB2312" w:hAnsi="仿宋_GB2312" w:eastAsia="仿宋_GB2312" w:cs="仿宋_GB2312"/>
          <w:color w:val="auto"/>
          <w:sz w:val="32"/>
          <w:highlight w:val="none"/>
          <w:lang w:val="en-US" w:eastAsia="zh-CN"/>
        </w:rPr>
        <w:t>落实相关部门的工作责任。</w:t>
      </w:r>
      <w:r>
        <w:rPr>
          <w:rFonts w:hint="eastAsia" w:ascii="仿宋_GB2312" w:hAnsi="仿宋" w:eastAsia="仿宋_GB2312" w:cs="Times New Roman"/>
          <w:b w:val="0"/>
          <w:bCs w:val="0"/>
          <w:color w:val="auto"/>
          <w:sz w:val="32"/>
          <w:highlight w:val="none"/>
          <w:lang w:val="en-US" w:eastAsia="zh-CN"/>
        </w:rPr>
        <w:t>有关单位按专项资金管理办法使用资金，按规定程序实施项目，</w:t>
      </w:r>
      <w:r>
        <w:rPr>
          <w:rFonts w:hint="eastAsia" w:ascii="仿宋_GB2312" w:hAnsi="仿宋_GB2312" w:eastAsia="仿宋_GB2312" w:cs="仿宋_GB2312"/>
          <w:color w:val="auto"/>
          <w:sz w:val="32"/>
          <w:highlight w:val="none"/>
        </w:rPr>
        <w:t>专项资金项目实施过程规范</w:t>
      </w:r>
      <w:r>
        <w:rPr>
          <w:rFonts w:hint="eastAsia" w:ascii="仿宋_GB2312" w:hAnsi="仿宋_GB2312" w:eastAsia="仿宋_GB2312" w:cs="仿宋_GB2312"/>
          <w:color w:val="auto"/>
          <w:sz w:val="32"/>
          <w:highlight w:val="none"/>
          <w:lang w:eastAsia="zh-CN"/>
        </w:rPr>
        <w:t>。</w:t>
      </w:r>
      <w:r>
        <w:rPr>
          <w:rFonts w:hint="eastAsia" w:ascii="仿宋_GB2312" w:hAnsi="仿宋" w:eastAsia="仿宋_GB2312" w:cs="Times New Roman"/>
          <w:b w:val="0"/>
          <w:bCs w:val="0"/>
          <w:color w:val="auto"/>
          <w:kern w:val="2"/>
          <w:sz w:val="32"/>
          <w:szCs w:val="32"/>
          <w:highlight w:val="none"/>
          <w:lang w:val="en-US" w:eastAsia="zh-CN" w:bidi="ar-SA"/>
        </w:rPr>
        <w:t>我厅认真做好监管，督促市县</w:t>
      </w:r>
      <w:r>
        <w:rPr>
          <w:rFonts w:ascii="仿宋_GB2312" w:hAnsi="仿宋" w:eastAsia="仿宋_GB2312" w:cs="Times New Roman"/>
          <w:b w:val="0"/>
          <w:bCs w:val="0"/>
          <w:color w:val="auto"/>
          <w:kern w:val="2"/>
          <w:sz w:val="32"/>
          <w:szCs w:val="32"/>
          <w:highlight w:val="none"/>
          <w:lang w:val="en-US" w:eastAsia="zh-CN" w:bidi="ar-SA"/>
        </w:rPr>
        <w:t>落实管理责任</w:t>
      </w:r>
      <w:r>
        <w:rPr>
          <w:rFonts w:hint="eastAsia" w:ascii="仿宋_GB2312" w:hAnsi="仿宋" w:eastAsia="仿宋_GB2312" w:cs="Times New Roman"/>
          <w:b w:val="0"/>
          <w:bCs w:val="0"/>
          <w:color w:val="auto"/>
          <w:kern w:val="2"/>
          <w:sz w:val="32"/>
          <w:szCs w:val="32"/>
          <w:highlight w:val="none"/>
          <w:lang w:val="en-US" w:eastAsia="zh-CN" w:bidi="ar-SA"/>
        </w:rPr>
        <w:t>，</w:t>
      </w:r>
      <w:r>
        <w:rPr>
          <w:rFonts w:hint="eastAsia" w:ascii="仿宋_GB2312" w:hAnsi="仿宋_GB2312" w:eastAsia="仿宋_GB2312" w:cs="仿宋_GB2312"/>
          <w:color w:val="auto"/>
          <w:sz w:val="32"/>
          <w:highlight w:val="none"/>
          <w:lang w:eastAsia="zh-CN"/>
        </w:rPr>
        <w:t>资金的管理和使用情况的监督检查执行情况良好。</w:t>
      </w:r>
    </w:p>
    <w:p>
      <w:pPr>
        <w:pStyle w:val="2"/>
        <w:numPr>
          <w:ilvl w:val="0"/>
          <w:numId w:val="0"/>
        </w:numPr>
        <w:ind w:firstLine="643" w:firstLineChars="200"/>
        <w:rPr>
          <w:rFonts w:hint="eastAsia" w:ascii="仿宋_GB2312" w:hAnsi="仿宋_GB2312" w:eastAsia="仿宋_GB2312" w:cs="仿宋_GB2312"/>
          <w:color w:val="auto"/>
          <w:sz w:val="32"/>
          <w:highlight w:val="none"/>
        </w:rPr>
      </w:pPr>
      <w:r>
        <w:rPr>
          <w:rFonts w:hint="eastAsia" w:ascii="仿宋_GB2312" w:eastAsia="仿宋_GB2312"/>
          <w:b/>
          <w:bCs/>
          <w:color w:val="auto"/>
          <w:sz w:val="32"/>
          <w:szCs w:val="32"/>
          <w:highlight w:val="none"/>
          <w:lang w:val="en-US" w:eastAsia="zh-CN"/>
        </w:rPr>
        <w:t>3.</w:t>
      </w:r>
      <w:r>
        <w:rPr>
          <w:rFonts w:hint="eastAsia" w:ascii="仿宋_GB2312" w:eastAsia="仿宋_GB2312"/>
          <w:b/>
          <w:bCs/>
          <w:color w:val="auto"/>
          <w:sz w:val="32"/>
          <w:szCs w:val="32"/>
          <w:highlight w:val="none"/>
        </w:rPr>
        <w:t>产出</w:t>
      </w:r>
      <w:r>
        <w:rPr>
          <w:rFonts w:hint="eastAsia" w:ascii="仿宋_GB2312" w:eastAsia="仿宋_GB2312"/>
          <w:b/>
          <w:bCs/>
          <w:color w:val="auto"/>
          <w:sz w:val="32"/>
          <w:szCs w:val="32"/>
          <w:highlight w:val="none"/>
          <w:lang w:eastAsia="zh-CN"/>
        </w:rPr>
        <w:t>。</w:t>
      </w:r>
      <w:r>
        <w:rPr>
          <w:rFonts w:hint="eastAsia" w:ascii="仿宋_GB2312" w:hAnsi="黑体" w:eastAsia="仿宋_GB2312"/>
          <w:color w:val="auto"/>
          <w:sz w:val="32"/>
          <w:highlight w:val="none"/>
        </w:rPr>
        <w:t>该指标主要从经济性和效率性两个方面考察预算</w:t>
      </w:r>
      <w:r>
        <w:rPr>
          <w:rFonts w:hint="eastAsia" w:ascii="仿宋_GB2312" w:hAnsi="黑体" w:eastAsia="仿宋_GB2312"/>
          <w:color w:val="auto"/>
          <w:sz w:val="32"/>
          <w:highlight w:val="none"/>
          <w:lang w:val="en-US" w:eastAsia="zh-CN"/>
        </w:rPr>
        <w:t>控制、成本控制情况</w:t>
      </w:r>
      <w:r>
        <w:rPr>
          <w:rFonts w:hint="eastAsia" w:ascii="仿宋_GB2312" w:hAnsi="黑体" w:eastAsia="仿宋_GB2312"/>
          <w:color w:val="auto"/>
          <w:sz w:val="32"/>
          <w:highlight w:val="none"/>
        </w:rPr>
        <w:t>，</w:t>
      </w:r>
      <w:r>
        <w:rPr>
          <w:rFonts w:hint="eastAsia" w:ascii="仿宋_GB2312" w:hAnsi="黑体" w:eastAsia="仿宋_GB2312"/>
          <w:color w:val="auto"/>
          <w:sz w:val="32"/>
          <w:highlight w:val="none"/>
          <w:lang w:val="en-US" w:eastAsia="zh-CN"/>
        </w:rPr>
        <w:t>以及</w:t>
      </w:r>
      <w:r>
        <w:rPr>
          <w:rFonts w:hint="eastAsia" w:ascii="仿宋_GB2312" w:hAnsi="黑体" w:eastAsia="仿宋_GB2312"/>
          <w:color w:val="auto"/>
          <w:sz w:val="32"/>
          <w:highlight w:val="none"/>
        </w:rPr>
        <w:t>项目完成的进度、质量等产出情况。</w:t>
      </w:r>
      <w:r>
        <w:rPr>
          <w:rFonts w:hint="eastAsia" w:ascii="仿宋_GB2312" w:hAnsi="仿宋_GB2312" w:eastAsia="仿宋_GB2312" w:cs="仿宋_GB2312"/>
          <w:color w:val="auto"/>
          <w:sz w:val="32"/>
          <w:highlight w:val="none"/>
        </w:rPr>
        <w:t>指标分值30分，评价得分</w:t>
      </w:r>
      <w:r>
        <w:rPr>
          <w:rFonts w:hint="eastAsia" w:ascii="仿宋_GB2312" w:hAnsi="仿宋_GB2312" w:eastAsia="仿宋_GB2312" w:cs="仿宋_GB2312"/>
          <w:color w:val="auto"/>
          <w:sz w:val="32"/>
          <w:highlight w:val="none"/>
          <w:lang w:val="en-US" w:eastAsia="zh-CN"/>
        </w:rPr>
        <w:t>28.38</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94.61</w:t>
      </w:r>
      <w:r>
        <w:rPr>
          <w:rFonts w:hint="eastAsia" w:ascii="仿宋_GB2312" w:hAnsi="仿宋_GB2312" w:eastAsia="仿宋_GB2312" w:cs="仿宋_GB2312"/>
          <w:color w:val="auto"/>
          <w:sz w:val="32"/>
          <w:highlight w:val="none"/>
        </w:rPr>
        <w:t>%。</w:t>
      </w:r>
    </w:p>
    <w:p>
      <w:pPr>
        <w:numPr>
          <w:ilvl w:val="0"/>
          <w:numId w:val="0"/>
        </w:numPr>
        <w:ind w:firstLine="643" w:firstLineChars="200"/>
        <w:rPr>
          <w:rFonts w:hint="eastAsia"/>
          <w:color w:val="auto"/>
          <w:highlight w:val="none"/>
        </w:rPr>
      </w:pPr>
      <w:r>
        <w:rPr>
          <w:rFonts w:hint="eastAsia" w:ascii="仿宋_GB2312" w:hAnsi="仿宋" w:eastAsia="仿宋_GB2312" w:cs="Times New Roman"/>
          <w:b/>
          <w:bCs/>
          <w:color w:val="auto"/>
          <w:kern w:val="0"/>
          <w:sz w:val="32"/>
          <w:szCs w:val="32"/>
          <w:highlight w:val="none"/>
          <w:lang w:val="en-US" w:eastAsia="zh-CN" w:bidi="ar-SA"/>
        </w:rPr>
        <w:t>（1）经济性。</w:t>
      </w:r>
      <w:r>
        <w:rPr>
          <w:rFonts w:hint="eastAsia" w:ascii="仿宋_GB2312" w:hAnsi="仿宋" w:eastAsia="仿宋_GB2312" w:cs="Times New Roman"/>
          <w:color w:val="auto"/>
          <w:kern w:val="0"/>
          <w:sz w:val="32"/>
          <w:szCs w:val="32"/>
          <w:highlight w:val="none"/>
          <w:lang w:val="en-US" w:eastAsia="zh-CN" w:bidi="ar-SA"/>
        </w:rPr>
        <w:t>该指标分值5分，评价得分5分，得分率为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%。预算执行进度与事项完成进度基本匹配，实际支出未超过预算计划，预算得到有效控制。项目实施的成本在合理范围内。</w:t>
      </w:r>
    </w:p>
    <w:p>
      <w:pPr>
        <w:ind w:firstLine="643" w:firstLineChars="200"/>
        <w:rPr>
          <w:rFonts w:hint="eastAsia"/>
          <w:b/>
          <w:bCs/>
          <w:color w:val="auto"/>
          <w:highlight w:val="none"/>
        </w:rPr>
      </w:pPr>
      <w:r>
        <w:rPr>
          <w:rFonts w:hint="eastAsia" w:ascii="仿宋_GB2312" w:hAnsi="仿宋" w:eastAsia="仿宋_GB2312" w:cs="Times New Roman"/>
          <w:b/>
          <w:bCs/>
          <w:color w:val="auto"/>
          <w:kern w:val="0"/>
          <w:sz w:val="32"/>
          <w:szCs w:val="32"/>
          <w:highlight w:val="none"/>
          <w:lang w:val="en-US" w:eastAsia="zh-CN" w:bidi="ar-SA"/>
        </w:rPr>
        <w:t>（2）效率性。</w:t>
      </w:r>
      <w:r>
        <w:rPr>
          <w:rFonts w:hint="eastAsia" w:ascii="仿宋_GB2312" w:hAnsi="仿宋" w:eastAsia="仿宋_GB2312" w:cs="Times New Roman"/>
          <w:color w:val="auto"/>
          <w:kern w:val="0"/>
          <w:sz w:val="32"/>
          <w:szCs w:val="32"/>
          <w:highlight w:val="none"/>
          <w:lang w:val="en-US" w:eastAsia="zh-CN" w:bidi="ar-SA"/>
        </w:rPr>
        <w:t>该指标分值25分，评价得分23.38分，得分率为</w:t>
      </w:r>
      <w:r>
        <w:rPr>
          <w:rFonts w:hint="eastAsia" w:ascii="仿宋_GB2312" w:hAnsi="仿宋" w:eastAsia="仿宋_GB2312" w:cs="Times New Roman"/>
          <w:color w:val="auto"/>
          <w:sz w:val="32"/>
          <w:highlight w:val="none"/>
          <w:lang w:val="en-US" w:eastAsia="zh-CN"/>
        </w:rPr>
        <w:t>93.53</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val="en-US" w:eastAsia="zh-CN"/>
        </w:rPr>
        <w:t>家禽及蔬菜瓜果收储执行及时，符合规定。由于疫情常态化防控，市场快速恢复稳定，蔬菜瓜果收储总量未达到计划要求，家禽及蔬菜瓜果应急收储奖补资金收储平均完成率为73.71%；</w:t>
      </w:r>
      <w:r>
        <w:rPr>
          <w:rFonts w:hint="eastAsia" w:ascii="仿宋_GB2312" w:hAnsi="仿宋" w:eastAsia="仿宋_GB2312"/>
          <w:color w:val="auto"/>
          <w:sz w:val="32"/>
          <w:highlight w:val="none"/>
          <w:lang w:val="en-US" w:eastAsia="zh-CN"/>
        </w:rPr>
        <w:t>红火蚁防控资金基本完成绩效目标，完成质量较高；</w:t>
      </w:r>
      <w:r>
        <w:rPr>
          <w:rFonts w:hint="eastAsia" w:ascii="仿宋_GB2312" w:hAnsi="仿宋" w:eastAsia="仿宋_GB2312" w:cs="Times New Roman"/>
          <w:color w:val="auto"/>
          <w:sz w:val="32"/>
          <w:highlight w:val="none"/>
          <w:lang w:val="en-US" w:eastAsia="zh-CN"/>
        </w:rPr>
        <w:t>应急种子储备及调拨资金按时完成绩效目标。</w:t>
      </w:r>
    </w:p>
    <w:p>
      <w:pPr>
        <w:ind w:firstLine="640" w:firstLineChars="200"/>
        <w:rPr>
          <w:rFonts w:hint="eastAsia" w:ascii="仿宋_GB2312" w:hAnsi="仿宋" w:eastAsia="仿宋_GB2312"/>
          <w:b w:val="0"/>
          <w:bCs w:val="0"/>
          <w:color w:val="auto"/>
          <w:sz w:val="32"/>
          <w:highlight w:val="none"/>
        </w:rPr>
      </w:pPr>
      <w:r>
        <w:rPr>
          <w:rFonts w:hint="eastAsia" w:ascii="仿宋_GB2312" w:eastAsia="仿宋_GB2312"/>
          <w:b w:val="0"/>
          <w:bCs w:val="0"/>
          <w:color w:val="auto"/>
          <w:sz w:val="32"/>
          <w:highlight w:val="none"/>
        </w:rPr>
        <w:t>4.</w:t>
      </w:r>
      <w:r>
        <w:rPr>
          <w:rFonts w:hint="eastAsia" w:ascii="仿宋_GB2312" w:eastAsia="仿宋_GB2312"/>
          <w:b/>
          <w:bCs/>
          <w:color w:val="auto"/>
          <w:sz w:val="32"/>
          <w:highlight w:val="none"/>
          <w:lang w:val="en-US" w:eastAsia="zh-CN"/>
        </w:rPr>
        <w:t xml:space="preserve"> </w:t>
      </w:r>
      <w:r>
        <w:rPr>
          <w:rFonts w:hint="eastAsia" w:ascii="仿宋_GB2312" w:hAnsi="仿宋" w:eastAsia="仿宋_GB2312"/>
          <w:b/>
          <w:bCs/>
          <w:color w:val="auto"/>
          <w:sz w:val="32"/>
          <w:highlight w:val="none"/>
        </w:rPr>
        <w:t>效益</w:t>
      </w:r>
      <w:r>
        <w:rPr>
          <w:rFonts w:hint="eastAsia" w:ascii="仿宋_GB2312" w:eastAsia="仿宋_GB2312"/>
          <w:b/>
          <w:bCs/>
          <w:color w:val="auto"/>
          <w:sz w:val="32"/>
          <w:highlight w:val="none"/>
        </w:rPr>
        <w:t>。</w:t>
      </w:r>
      <w:r>
        <w:rPr>
          <w:rFonts w:hint="eastAsia" w:ascii="仿宋_GB2312" w:hAnsi="仿宋" w:eastAsia="仿宋_GB2312"/>
          <w:b w:val="0"/>
          <w:bCs w:val="0"/>
          <w:color w:val="auto"/>
          <w:sz w:val="32"/>
          <w:highlight w:val="none"/>
        </w:rPr>
        <w:t>该指标主要从效果性和公平性两个方面考核</w:t>
      </w:r>
      <w:r>
        <w:rPr>
          <w:rFonts w:hint="eastAsia" w:ascii="仿宋_GB2312" w:hAnsi="仿宋" w:eastAsia="仿宋_GB2312"/>
          <w:b w:val="0"/>
          <w:bCs w:val="0"/>
          <w:color w:val="auto"/>
          <w:sz w:val="32"/>
          <w:highlight w:val="none"/>
          <w:lang w:val="en-US" w:eastAsia="zh-CN"/>
        </w:rPr>
        <w:t>给离岗基层老兽医发放生活困难补助</w:t>
      </w:r>
      <w:r>
        <w:rPr>
          <w:rFonts w:hint="eastAsia" w:ascii="仿宋_GB2312" w:hAnsi="仿宋" w:eastAsia="仿宋_GB2312"/>
          <w:b w:val="0"/>
          <w:bCs w:val="0"/>
          <w:color w:val="auto"/>
          <w:sz w:val="32"/>
          <w:highlight w:val="none"/>
        </w:rPr>
        <w:t>产生的社会效益</w:t>
      </w:r>
      <w:r>
        <w:rPr>
          <w:rFonts w:hint="eastAsia" w:ascii="仿宋_GB2312" w:hAnsi="仿宋" w:eastAsia="仿宋_GB2312"/>
          <w:b w:val="0"/>
          <w:bCs w:val="0"/>
          <w:color w:val="auto"/>
          <w:sz w:val="32"/>
          <w:highlight w:val="none"/>
          <w:lang w:eastAsia="zh-CN"/>
        </w:rPr>
        <w:t>，以及</w:t>
      </w:r>
      <w:r>
        <w:rPr>
          <w:rFonts w:hint="eastAsia" w:ascii="仿宋_GB2312" w:hAnsi="仿宋" w:eastAsia="仿宋_GB2312"/>
          <w:b w:val="0"/>
          <w:bCs w:val="0"/>
          <w:color w:val="auto"/>
          <w:sz w:val="32"/>
          <w:highlight w:val="none"/>
          <w:lang w:val="en-US" w:eastAsia="zh-CN"/>
        </w:rPr>
        <w:t>服务对象的</w:t>
      </w:r>
      <w:r>
        <w:rPr>
          <w:rFonts w:hint="eastAsia" w:ascii="仿宋_GB2312" w:hAnsi="仿宋" w:eastAsia="仿宋_GB2312"/>
          <w:b w:val="0"/>
          <w:bCs w:val="0"/>
          <w:color w:val="auto"/>
          <w:sz w:val="32"/>
          <w:highlight w:val="none"/>
        </w:rPr>
        <w:t>满意度。指标分值30分，评价得分</w:t>
      </w:r>
      <w:r>
        <w:rPr>
          <w:rFonts w:hint="eastAsia" w:ascii="仿宋_GB2312" w:hAnsi="仿宋" w:eastAsia="仿宋_GB2312"/>
          <w:b w:val="0"/>
          <w:bCs w:val="0"/>
          <w:color w:val="auto"/>
          <w:sz w:val="32"/>
          <w:highlight w:val="none"/>
          <w:lang w:val="en-US" w:eastAsia="zh-CN"/>
        </w:rPr>
        <w:t>29.25</w:t>
      </w:r>
      <w:r>
        <w:rPr>
          <w:rFonts w:hint="eastAsia" w:ascii="仿宋_GB2312" w:hAnsi="仿宋" w:eastAsia="仿宋_GB2312"/>
          <w:b w:val="0"/>
          <w:bCs w:val="0"/>
          <w:color w:val="auto"/>
          <w:sz w:val="32"/>
          <w:highlight w:val="none"/>
        </w:rPr>
        <w:t>分，得分率为</w:t>
      </w:r>
      <w:r>
        <w:rPr>
          <w:rFonts w:hint="eastAsia" w:ascii="仿宋_GB2312" w:hAnsi="仿宋" w:eastAsia="仿宋_GB2312"/>
          <w:b w:val="0"/>
          <w:bCs w:val="0"/>
          <w:color w:val="auto"/>
          <w:sz w:val="32"/>
          <w:highlight w:val="none"/>
          <w:lang w:val="en-US" w:eastAsia="zh-CN"/>
        </w:rPr>
        <w:t>97.51</w:t>
      </w:r>
      <w:r>
        <w:rPr>
          <w:rFonts w:hint="eastAsia" w:ascii="仿宋_GB2312" w:hAnsi="仿宋" w:eastAsia="仿宋_GB2312"/>
          <w:b w:val="0"/>
          <w:bCs w:val="0"/>
          <w:color w:val="auto"/>
          <w:sz w:val="32"/>
          <w:highlight w:val="none"/>
        </w:rPr>
        <w:t>%。</w:t>
      </w:r>
    </w:p>
    <w:p>
      <w:pPr>
        <w:ind w:firstLine="643" w:firstLineChars="200"/>
        <w:rPr>
          <w:color w:val="auto"/>
          <w:highlight w:val="none"/>
        </w:rPr>
      </w:pPr>
      <w:r>
        <w:rPr>
          <w:rFonts w:hint="eastAsia" w:ascii="仿宋_GB2312" w:hAnsi="仿宋" w:eastAsia="仿宋_GB2312" w:cs="Times New Roman"/>
          <w:b/>
          <w:bCs/>
          <w:color w:val="auto"/>
          <w:kern w:val="0"/>
          <w:sz w:val="32"/>
          <w:szCs w:val="32"/>
          <w:highlight w:val="none"/>
          <w:lang w:val="en-US" w:eastAsia="zh-CN" w:bidi="ar-SA"/>
        </w:rPr>
        <w:t>（1）效果性。</w:t>
      </w:r>
      <w:r>
        <w:rPr>
          <w:rFonts w:hint="eastAsia" w:ascii="仿宋_GB2312" w:hAnsi="仿宋" w:eastAsia="仿宋_GB2312" w:cs="Times New Roman"/>
          <w:color w:val="auto"/>
          <w:kern w:val="0"/>
          <w:sz w:val="32"/>
          <w:szCs w:val="32"/>
          <w:highlight w:val="none"/>
          <w:lang w:val="en-US" w:eastAsia="zh-CN" w:bidi="ar-SA"/>
        </w:rPr>
        <w:t>该指标分值25分，评价得分24.25分，得分率为</w:t>
      </w:r>
      <w:r>
        <w:rPr>
          <w:rFonts w:hint="eastAsia" w:ascii="仿宋_GB2312" w:hAnsi="仿宋" w:eastAsia="仿宋_GB2312" w:cs="Times New Roman"/>
          <w:color w:val="auto"/>
          <w:sz w:val="32"/>
          <w:highlight w:val="none"/>
          <w:lang w:val="en-US" w:eastAsia="zh-CN"/>
        </w:rPr>
        <w:t>97.01</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val="en-US" w:eastAsia="zh-CN"/>
        </w:rPr>
        <w:t>救灾应急资金的使用产生了良好的社会、经济、生态、可持续发展效益。家禽及蔬菜瓜果应急收储奖补资金有力缓解了农产品积压、销售不畅的局面，保障了市场、行业的稳定，促进了农业种植、养殖的健康发展，有益于生态环境的稳定。</w:t>
      </w:r>
      <w:r>
        <w:rPr>
          <w:rFonts w:hint="eastAsia" w:ascii="仿宋_GB2312" w:hAnsi="仿宋" w:eastAsia="仿宋_GB2312"/>
          <w:color w:val="auto"/>
          <w:sz w:val="32"/>
          <w:highlight w:val="none"/>
          <w:lang w:val="en-US" w:eastAsia="zh-CN"/>
        </w:rPr>
        <w:t>红火蚁防控资金项目的实施有效遏制红火蚁疫情蔓延危害，避免了出现红火蚁恶性伤害人畜事件，避免了大面积弃耕现象的发生，减少了农业生产的经济损失。</w:t>
      </w:r>
      <w:r>
        <w:rPr>
          <w:rFonts w:hint="eastAsia" w:ascii="仿宋_GB2312" w:hAnsi="仿宋" w:eastAsia="仿宋_GB2312" w:cs="Times New Roman"/>
          <w:color w:val="auto"/>
          <w:sz w:val="32"/>
          <w:highlight w:val="none"/>
          <w:lang w:val="en-US" w:eastAsia="zh-CN"/>
        </w:rPr>
        <w:t>应急种子储备及调拨资金项目的实施有效保障了灾后恢复粮食生产的用种需要，促进了灾区农业的可持续发展。</w:t>
      </w:r>
    </w:p>
    <w:p>
      <w:pPr>
        <w:pStyle w:val="2"/>
        <w:ind w:left="0" w:leftChars="0" w:firstLine="643" w:firstLineChars="200"/>
        <w:rPr>
          <w:rFonts w:hint="eastAsia"/>
          <w:color w:val="auto"/>
          <w:highlight w:val="none"/>
        </w:rPr>
      </w:pPr>
      <w:r>
        <w:rPr>
          <w:rFonts w:hint="eastAsia" w:ascii="仿宋_GB2312" w:hAnsi="仿宋" w:eastAsia="仿宋_GB2312" w:cs="Times New Roman"/>
          <w:b/>
          <w:bCs/>
          <w:color w:val="auto"/>
          <w:kern w:val="0"/>
          <w:sz w:val="32"/>
          <w:szCs w:val="32"/>
          <w:highlight w:val="none"/>
          <w:lang w:val="en-US" w:eastAsia="zh-CN" w:bidi="ar-SA"/>
        </w:rPr>
        <w:t>（2）公平性。</w:t>
      </w:r>
      <w:r>
        <w:rPr>
          <w:rFonts w:hint="eastAsia" w:ascii="仿宋_GB2312" w:hAnsi="仿宋" w:eastAsia="仿宋_GB2312" w:cs="Times New Roman"/>
          <w:color w:val="auto"/>
          <w:kern w:val="0"/>
          <w:sz w:val="32"/>
          <w:szCs w:val="32"/>
          <w:highlight w:val="none"/>
          <w:lang w:val="en-US" w:eastAsia="zh-CN" w:bidi="ar-SA"/>
        </w:rPr>
        <w:t>该指标分值5分，评价得分5分，得分率为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val="en-US" w:eastAsia="zh-CN"/>
        </w:rPr>
        <w:t>救灾应急专项资金的服务对象满意度均达到既定目标值，总体上满意度较高。</w:t>
      </w:r>
    </w:p>
    <w:bookmarkEnd w:id="37"/>
    <w:p>
      <w:pPr>
        <w:pStyle w:val="3"/>
        <w:pageBreakBefore w:val="0"/>
        <w:kinsoku/>
        <w:wordWrap/>
        <w:overflowPunct/>
        <w:topLinePunct w:val="0"/>
        <w:bidi w:val="0"/>
        <w:spacing w:before="0" w:after="0" w:line="360" w:lineRule="auto"/>
        <w:ind w:firstLine="643" w:firstLineChars="200"/>
        <w:outlineLvl w:val="1"/>
        <w:rPr>
          <w:rFonts w:hint="eastAsia" w:ascii="Calibri" w:hAnsi="宋体"/>
          <w:color w:val="auto"/>
          <w:highlight w:val="none"/>
        </w:rPr>
      </w:pPr>
      <w:bookmarkStart w:id="49" w:name="_Toc2084656160_WPSOffice_Level2"/>
      <w:bookmarkStart w:id="50" w:name="_Toc42021444"/>
      <w:r>
        <w:rPr>
          <w:rFonts w:hint="eastAsia" w:ascii="Calibri" w:hAnsi="宋体"/>
          <w:color w:val="auto"/>
          <w:highlight w:val="none"/>
        </w:rPr>
        <w:t>（</w:t>
      </w:r>
      <w:r>
        <w:rPr>
          <w:rFonts w:hint="eastAsia" w:ascii="Calibri" w:hAnsi="宋体"/>
          <w:color w:val="auto"/>
          <w:highlight w:val="none"/>
          <w:lang w:eastAsia="zh-CN"/>
        </w:rPr>
        <w:t>二</w:t>
      </w:r>
      <w:r>
        <w:rPr>
          <w:rFonts w:hint="eastAsia" w:ascii="Calibri" w:hAnsi="宋体"/>
          <w:color w:val="auto"/>
          <w:highlight w:val="none"/>
        </w:rPr>
        <w:t>）专项资金使用绩效</w:t>
      </w:r>
      <w:bookmarkEnd w:id="49"/>
      <w:bookmarkEnd w:id="50"/>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643" w:firstLineChars="200"/>
        <w:textAlignment w:val="auto"/>
        <w:outlineLvl w:val="2"/>
        <w:rPr>
          <w:rFonts w:hint="eastAsia" w:ascii="仿宋_GB2312" w:eastAsia="仿宋_GB2312"/>
          <w:b/>
          <w:bCs/>
          <w:color w:val="auto"/>
          <w:sz w:val="32"/>
          <w:szCs w:val="32"/>
          <w:highlight w:val="none"/>
          <w:lang w:val="en-US" w:eastAsia="zh-CN"/>
        </w:rPr>
      </w:pPr>
      <w:bookmarkStart w:id="51" w:name="_Toc28393"/>
      <w:r>
        <w:rPr>
          <w:rFonts w:hint="eastAsia" w:ascii="仿宋_GB2312" w:eastAsia="仿宋_GB2312"/>
          <w:b/>
          <w:bCs/>
          <w:color w:val="auto"/>
          <w:sz w:val="32"/>
          <w:szCs w:val="32"/>
          <w:highlight w:val="none"/>
          <w:lang w:val="en-US" w:eastAsia="zh-CN"/>
        </w:rPr>
        <w:t>1.专项资金支出情况。</w:t>
      </w:r>
      <w:bookmarkEnd w:id="51"/>
    </w:p>
    <w:p>
      <w:pPr>
        <w:ind w:firstLine="640" w:firstLineChars="200"/>
        <w:rPr>
          <w:rFonts w:hint="default" w:ascii="仿宋" w:hAnsi="仿宋" w:eastAsia="仿宋" w:cs="仿宋"/>
          <w:color w:val="auto"/>
          <w:sz w:val="32"/>
          <w:szCs w:val="32"/>
          <w:highlight w:val="none"/>
          <w:lang w:val="en-US" w:eastAsia="zh-CN"/>
        </w:rPr>
      </w:pPr>
      <w:r>
        <w:rPr>
          <w:rFonts w:hint="eastAsia" w:ascii="仿宋_GB2312" w:eastAsia="仿宋_GB2312"/>
          <w:color w:val="auto"/>
          <w:sz w:val="32"/>
          <w:highlight w:val="none"/>
          <w:lang w:val="en-US" w:eastAsia="zh-CN"/>
        </w:rPr>
        <w:t>2020年省级救灾应急专项资金预算计划安排9641.47万元，包括家禽及蔬菜瓜果应急收储奖补资金8000万元、红火蚁防控专项资金1000万元、应急种子储备及调拨专项资金641.47万元。按政策</w:t>
      </w:r>
      <w:r>
        <w:rPr>
          <w:rFonts w:hint="eastAsia" w:ascii="仿宋" w:hAnsi="仿宋" w:eastAsia="仿宋" w:cs="仿宋"/>
          <w:color w:val="auto"/>
          <w:sz w:val="32"/>
          <w:szCs w:val="32"/>
          <w:highlight w:val="none"/>
          <w:lang w:val="en-US" w:eastAsia="zh-CN"/>
        </w:rPr>
        <w:t>各地市从2020年11月份停止家禽水产品收储和蔬菜瓜果收购、贮藏应急补贴工作，由省财政收回各市尚未发放的省级补贴资金3561.62万元，</w:t>
      </w:r>
      <w:r>
        <w:rPr>
          <w:rFonts w:hint="eastAsia" w:ascii="仿宋_GB2312" w:eastAsia="仿宋_GB2312"/>
          <w:color w:val="auto"/>
          <w:sz w:val="32"/>
          <w:highlight w:val="none"/>
          <w:lang w:val="en-US" w:eastAsia="zh-CN"/>
        </w:rPr>
        <w:t>家禽及蔬菜瓜果应急收储奖补资金</w:t>
      </w:r>
      <w:r>
        <w:rPr>
          <w:rFonts w:hint="eastAsia" w:ascii="仿宋" w:hAnsi="仿宋" w:eastAsia="仿宋" w:cs="仿宋"/>
          <w:color w:val="auto"/>
          <w:sz w:val="32"/>
          <w:szCs w:val="32"/>
          <w:highlight w:val="none"/>
          <w:lang w:val="en-US" w:eastAsia="zh-CN"/>
        </w:rPr>
        <w:t>实际安排预算资金4438.38万元。因此，</w:t>
      </w:r>
      <w:r>
        <w:rPr>
          <w:rFonts w:hint="eastAsia" w:ascii="仿宋_GB2312" w:eastAsia="仿宋_GB2312"/>
          <w:color w:val="auto"/>
          <w:sz w:val="32"/>
          <w:highlight w:val="none"/>
          <w:lang w:val="en-US" w:eastAsia="zh-CN"/>
        </w:rPr>
        <w:t>2020年省级救灾应急专项资金实际安排额度为6079.85万元，实际支出6079.85万元，实际安排额度的预算资金支出率为100%。</w:t>
      </w:r>
    </w:p>
    <w:p>
      <w:pPr>
        <w:ind w:firstLine="643" w:firstLineChars="200"/>
        <w:rPr>
          <w:rFonts w:hint="eastAsia" w:ascii="仿宋_GB2312" w:hAnsi="Times New Roman" w:eastAsia="仿宋_GB2312" w:cs="Times New Roman"/>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（1）家禽及蔬菜瓜果应急收储奖补资金。</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highlight w:val="none"/>
          <w:lang w:val="en-US" w:eastAsia="zh-CN"/>
        </w:rPr>
        <w:t>家禽及蔬菜瓜果应急收储项目下达资金共8000万元，按照各市收贮任务完成情况统计，蔬菜瓜果应急收储奖补资金到位数2000万元，累计发放省级财政补贴资金共计1156.26万元，结余843.74万元。家畜专项资金到位数6000万元，资金支出合计3282.12万元。家禽及蔬菜瓜果应急收储奖补资金实际支出4438.38万元（即实际安排额度预算资金），结余资金共计3561.62</w:t>
      </w:r>
      <w:r>
        <w:rPr>
          <w:rFonts w:hint="eastAsia" w:ascii="仿宋_GB2312" w:eastAsia="仿宋_GB2312" w:cs="Times New Roman"/>
          <w:color w:val="auto"/>
          <w:sz w:val="32"/>
          <w:szCs w:val="32"/>
          <w:highlight w:val="none"/>
          <w:lang w:val="en-US" w:eastAsia="zh-CN"/>
        </w:rPr>
        <w:t>万元按政策退回省级财政。剔除按政策由省财政收回的专项资金3561.62万元后，实际安排额度的预算资金支出率为100%。</w:t>
      </w:r>
    </w:p>
    <w:p>
      <w:pPr>
        <w:pStyle w:val="2"/>
        <w:keepNext w:val="0"/>
        <w:keepLines w:val="0"/>
        <w:pageBreakBefore w:val="0"/>
        <w:widowControl w:val="0"/>
        <w:kinsoku/>
        <w:wordWrap/>
        <w:overflowPunct/>
        <w:topLinePunct w:val="0"/>
        <w:autoSpaceDE/>
        <w:autoSpaceDN/>
        <w:bidi w:val="0"/>
        <w:adjustRightInd/>
        <w:snapToGrid/>
        <w:ind w:left="0" w:leftChars="0" w:firstLine="643" w:firstLineChars="200"/>
        <w:textAlignment w:val="auto"/>
        <w:rPr>
          <w:rFonts w:hint="default" w:ascii="仿宋_GB2312" w:eastAsia="仿宋_GB2312" w:cs="Times New Roman"/>
          <w:b/>
          <w:bCs/>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（2）红火蚁防控资金。</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红火蚁防控资金预算数1000万元，实际支出合计1000万元，资金支出率为100%。</w:t>
      </w:r>
    </w:p>
    <w:p>
      <w:pPr>
        <w:pStyle w:val="2"/>
        <w:keepNext w:val="0"/>
        <w:keepLines w:val="0"/>
        <w:pageBreakBefore w:val="0"/>
        <w:widowControl w:val="0"/>
        <w:kinsoku/>
        <w:wordWrap/>
        <w:overflowPunct/>
        <w:topLinePunct w:val="0"/>
        <w:autoSpaceDE/>
        <w:autoSpaceDN/>
        <w:bidi w:val="0"/>
        <w:adjustRightInd/>
        <w:snapToGrid/>
        <w:ind w:left="0" w:leftChars="0" w:firstLine="643" w:firstLineChars="200"/>
        <w:textAlignment w:val="auto"/>
        <w:rPr>
          <w:rFonts w:hint="eastAsia" w:ascii="仿宋_GB2312" w:eastAsia="仿宋_GB2312" w:cs="Times New Roman"/>
          <w:b/>
          <w:bCs/>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（3）应急种子储备及调拨资金。</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应急种子储备及调拨资金专项资金预算数641.47万元，实际支出合计641.47万元，资金支出率为100%。</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3" w:firstLineChars="200"/>
        <w:textAlignment w:val="auto"/>
        <w:outlineLvl w:val="2"/>
        <w:rPr>
          <w:rFonts w:hint="eastAsia" w:ascii="仿宋_GB2312" w:eastAsia="仿宋_GB2312"/>
          <w:b/>
          <w:bCs/>
          <w:color w:val="auto"/>
          <w:sz w:val="32"/>
          <w:szCs w:val="32"/>
          <w:highlight w:val="none"/>
          <w:lang w:val="en-US" w:eastAsia="zh-CN"/>
        </w:rPr>
      </w:pPr>
      <w:bookmarkStart w:id="52" w:name="_Toc5629"/>
      <w:r>
        <w:rPr>
          <w:rFonts w:hint="eastAsia" w:ascii="仿宋_GB2312" w:eastAsia="仿宋_GB2312"/>
          <w:b/>
          <w:bCs/>
          <w:color w:val="auto"/>
          <w:sz w:val="32"/>
          <w:szCs w:val="32"/>
          <w:highlight w:val="none"/>
          <w:lang w:val="en-US" w:eastAsia="zh-CN"/>
        </w:rPr>
        <w:t>2.专项资金完成绩效目标情况。</w:t>
      </w:r>
      <w:bookmarkEnd w:id="52"/>
    </w:p>
    <w:p>
      <w:pPr>
        <w:pStyle w:val="30"/>
        <w:keepNext w:val="0"/>
        <w:keepLines w:val="0"/>
        <w:pageBreakBefore w:val="0"/>
        <w:widowControl w:val="0"/>
        <w:tabs>
          <w:tab w:val="left" w:pos="1843"/>
        </w:tabs>
        <w:kinsoku/>
        <w:wordWrap/>
        <w:overflowPunct/>
        <w:topLinePunct w:val="0"/>
        <w:autoSpaceDE/>
        <w:autoSpaceDN/>
        <w:bidi w:val="0"/>
        <w:adjustRightInd/>
        <w:snapToGrid/>
        <w:spacing w:line="360" w:lineRule="auto"/>
        <w:ind w:firstLine="646" w:firstLineChars="201"/>
        <w:textAlignment w:val="auto"/>
        <w:rPr>
          <w:rFonts w:hint="eastAsia" w:ascii="仿宋_GB2312" w:eastAsia="仿宋_GB2312"/>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（1）家禽及蔬菜瓜果应急收储奖补资金</w:t>
      </w:r>
      <w:r>
        <w:rPr>
          <w:rFonts w:hint="eastAsia" w:ascii="仿宋_GB2312" w:eastAsia="仿宋_GB2312" w:cs="Times New Roman"/>
          <w:b/>
          <w:bCs/>
          <w:color w:val="auto"/>
          <w:sz w:val="32"/>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截至2020年11月，</w:t>
      </w:r>
      <w:r>
        <w:rPr>
          <w:rFonts w:hint="eastAsia" w:ascii="仿宋_GB2312" w:eastAsia="仿宋_GB2312"/>
          <w:color w:val="auto"/>
          <w:sz w:val="32"/>
          <w:szCs w:val="32"/>
          <w:highlight w:val="none"/>
          <w:lang w:val="en-US" w:eastAsia="zh-CN"/>
        </w:rPr>
        <w:t>全省累计完成蔬菜瓜果收贮89315.51吨，已完成收贮计划的77%，</w:t>
      </w:r>
      <w:r>
        <w:rPr>
          <w:rFonts w:hint="default" w:ascii="仿宋_GB2312" w:eastAsia="仿宋_GB2312" w:cs="Times New Roman"/>
          <w:color w:val="auto"/>
          <w:sz w:val="32"/>
          <w:szCs w:val="32"/>
          <w:highlight w:val="none"/>
          <w:lang w:val="en-US" w:eastAsia="zh-CN"/>
        </w:rPr>
        <w:t>汕头、汕尾、东莞、佛山、阳江、湛江、肇庆、揭阳</w:t>
      </w:r>
      <w:r>
        <w:rPr>
          <w:rFonts w:hint="eastAsia" w:ascii="仿宋_GB2312" w:eastAsia="仿宋_GB2312" w:cs="Times New Roman"/>
          <w:color w:val="auto"/>
          <w:sz w:val="32"/>
          <w:szCs w:val="32"/>
          <w:highlight w:val="none"/>
          <w:lang w:val="en-US" w:eastAsia="zh-CN"/>
        </w:rPr>
        <w:t>市等</w:t>
      </w:r>
      <w:r>
        <w:rPr>
          <w:rFonts w:hint="default" w:ascii="仿宋_GB2312" w:eastAsia="仿宋_GB2312" w:cs="Times New Roman"/>
          <w:color w:val="auto"/>
          <w:sz w:val="32"/>
          <w:szCs w:val="32"/>
          <w:highlight w:val="none"/>
          <w:lang w:val="en-US" w:eastAsia="zh-CN"/>
        </w:rPr>
        <w:t>8</w:t>
      </w:r>
      <w:r>
        <w:rPr>
          <w:rFonts w:hint="eastAsia" w:ascii="仿宋_GB2312" w:eastAsia="仿宋_GB2312" w:cs="Times New Roman"/>
          <w:color w:val="auto"/>
          <w:sz w:val="32"/>
          <w:szCs w:val="32"/>
          <w:highlight w:val="none"/>
          <w:lang w:val="en-US" w:eastAsia="zh-CN"/>
        </w:rPr>
        <w:t>个</w:t>
      </w:r>
      <w:r>
        <w:rPr>
          <w:rFonts w:hint="default" w:ascii="仿宋_GB2312" w:eastAsia="仿宋_GB2312" w:cs="Times New Roman"/>
          <w:color w:val="auto"/>
          <w:sz w:val="32"/>
          <w:szCs w:val="32"/>
          <w:highlight w:val="none"/>
          <w:lang w:val="en-US" w:eastAsia="zh-CN"/>
        </w:rPr>
        <w:t>市已完成或超额完成最低收贮任务</w:t>
      </w:r>
      <w:r>
        <w:rPr>
          <w:rFonts w:hint="eastAsia" w:ascii="仿宋_GB2312" w:eastAsia="仿宋_GB2312" w:cs="Times New Roman"/>
          <w:color w:val="auto"/>
          <w:sz w:val="32"/>
          <w:szCs w:val="32"/>
          <w:highlight w:val="none"/>
          <w:lang w:val="en-US" w:eastAsia="zh-CN"/>
        </w:rPr>
        <w:t>，部分地市未达成既定的收储计划，主要原因是疫情防控措施得力。全省家</w:t>
      </w:r>
      <w:r>
        <w:rPr>
          <w:rFonts w:hint="eastAsia" w:ascii="仿宋_GB2312" w:hAnsi="仿宋_GB2312" w:eastAsia="仿宋_GB2312" w:cs="仿宋_GB2312"/>
          <w:color w:val="auto"/>
          <w:sz w:val="32"/>
          <w:szCs w:val="32"/>
          <w:highlight w:val="none"/>
          <w:lang w:val="en-US" w:eastAsia="zh-CN"/>
        </w:rPr>
        <w:t>禽收储数量合计2352.04万只，</w:t>
      </w:r>
      <w:r>
        <w:rPr>
          <w:rFonts w:hint="eastAsia" w:ascii="仿宋_GB2312" w:eastAsia="仿宋_GB2312"/>
          <w:color w:val="auto"/>
          <w:sz w:val="32"/>
          <w:szCs w:val="32"/>
          <w:highlight w:val="none"/>
          <w:lang w:val="en-US" w:eastAsia="zh-CN"/>
        </w:rPr>
        <w:t>完成收储计划的70.42%</w:t>
      </w:r>
      <w:r>
        <w:rPr>
          <w:rFonts w:hint="eastAsia" w:ascii="仿宋_GB2312" w:hAnsi="仿宋_GB2312" w:eastAsia="仿宋_GB2312" w:cs="仿宋_GB2312"/>
          <w:color w:val="auto"/>
          <w:sz w:val="32"/>
          <w:szCs w:val="32"/>
          <w:highlight w:val="none"/>
          <w:lang w:val="en-US" w:eastAsia="zh-CN"/>
        </w:rPr>
        <w:t>。疫情常态化防控，市场快速恢复稳定，虽然蔬菜瓜果收储总量未达到计划要求，但是有效解决新冠肺炎疫情防控期间我省家禽、水产品和蔬菜瓜果积压滞销问题，维护了农业和市场的稳定。因疫情的不可预测性，难以精准预判收储数量和时限，原下达的收储计划并非硬性目标任务，当疫情进入疫情常态化防控阶段，收储工作按政策停止。实际上</w:t>
      </w:r>
      <w:r>
        <w:rPr>
          <w:rFonts w:hint="eastAsia" w:ascii="仿宋_GB2312" w:hAnsi="Times New Roman" w:eastAsia="仿宋_GB2312" w:cs="Times New Roman"/>
          <w:b w:val="0"/>
          <w:bCs w:val="0"/>
          <w:color w:val="auto"/>
          <w:sz w:val="32"/>
          <w:highlight w:val="none"/>
          <w:lang w:val="en-US" w:eastAsia="zh-CN"/>
        </w:rPr>
        <w:t>家禽及蔬菜瓜果应急收储项目已实现政策意图，</w:t>
      </w:r>
      <w:r>
        <w:rPr>
          <w:rFonts w:hint="eastAsia" w:ascii="仿宋_GB2312" w:hAnsi="仿宋_GB2312" w:eastAsia="仿宋_GB2312" w:cs="仿宋_GB2312"/>
          <w:color w:val="auto"/>
          <w:sz w:val="32"/>
          <w:szCs w:val="32"/>
          <w:highlight w:val="none"/>
          <w:lang w:val="en-US" w:eastAsia="zh-CN"/>
        </w:rPr>
        <w:t>基本完成了绩效目标。</w:t>
      </w:r>
    </w:p>
    <w:p>
      <w:pPr>
        <w:pStyle w:val="30"/>
        <w:keepNext w:val="0"/>
        <w:keepLines w:val="0"/>
        <w:pageBreakBefore w:val="0"/>
        <w:widowControl w:val="0"/>
        <w:tabs>
          <w:tab w:val="left" w:pos="1843"/>
        </w:tabs>
        <w:kinsoku/>
        <w:wordWrap/>
        <w:overflowPunct/>
        <w:topLinePunct w:val="0"/>
        <w:autoSpaceDE/>
        <w:autoSpaceDN/>
        <w:bidi w:val="0"/>
        <w:adjustRightInd/>
        <w:snapToGrid/>
        <w:spacing w:line="360" w:lineRule="auto"/>
        <w:ind w:firstLine="646" w:firstLineChars="201"/>
        <w:textAlignment w:val="auto"/>
        <w:rPr>
          <w:rFonts w:hint="eastAsia" w:ascii="仿宋_GB2312" w:eastAsia="仿宋_GB2312"/>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（2）红火蚁防控资金</w:t>
      </w:r>
      <w:r>
        <w:rPr>
          <w:rFonts w:hint="eastAsia" w:ascii="仿宋_GB2312" w:eastAsia="仿宋_GB2312" w:cs="Times New Roman"/>
          <w:b/>
          <w:bCs/>
          <w:color w:val="auto"/>
          <w:sz w:val="32"/>
          <w:highlight w:val="none"/>
          <w:lang w:val="en-US" w:eastAsia="zh-CN"/>
        </w:rPr>
        <w:t>。</w:t>
      </w:r>
    </w:p>
    <w:p>
      <w:pPr>
        <w:ind w:firstLine="640" w:firstLineChars="20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通过实施项目，支持各市采购红火蚁化学防治药剂，建立应急防控药剂储备机制，组织实施统一防控和应急处置，新发疫情应急处置率达90%，防治效果达85%以上，有效遏制红火蚁疫情蔓延危害，避免了出现红火蚁恶性伤害人畜事件和造成大面积弃耕；全省各地召开防控技术培训宣传活动165期次，召开技术指导培训约5882人次；年度资金执行率91.6%%，无资金重大违规违纪问题，项目区群众满意度达85%以上。专项资金基本实现了绩效目标。</w:t>
      </w:r>
    </w:p>
    <w:p>
      <w:pPr>
        <w:numPr>
          <w:ilvl w:val="0"/>
          <w:numId w:val="0"/>
        </w:numPr>
        <w:ind w:firstLine="643" w:firstLineChars="200"/>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（3）应急种子储备及调拨资金。</w:t>
      </w:r>
    </w:p>
    <w:p>
      <w:pPr>
        <w:pStyle w:val="2"/>
        <w:widowControl w:val="0"/>
        <w:numPr>
          <w:ilvl w:val="0"/>
          <w:numId w:val="0"/>
        </w:numPr>
        <w:spacing w:line="360" w:lineRule="auto"/>
        <w:ind w:firstLine="640" w:firstLineChars="200"/>
        <w:jc w:val="both"/>
        <w:rPr>
          <w:rFonts w:hint="eastAsia"/>
          <w:color w:val="auto"/>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完成了2020年度省级应急种子储备150万公斤、调拨省级应急储备种子7752公斤支持灾区恢复农业生产的绩效目标，有力地支持了灾区快速恢复农业生产，保障农业生产安全。专项资金绩效目标全部完成。</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3" w:firstLineChars="200"/>
        <w:textAlignment w:val="auto"/>
        <w:outlineLvl w:val="2"/>
        <w:rPr>
          <w:rFonts w:hint="eastAsia" w:ascii="仿宋_GB2312" w:eastAsia="仿宋_GB2312"/>
          <w:color w:val="auto"/>
          <w:sz w:val="32"/>
          <w:szCs w:val="32"/>
          <w:highlight w:val="none"/>
          <w:lang w:val="en-US" w:eastAsia="zh-CN"/>
        </w:rPr>
      </w:pPr>
      <w:bookmarkStart w:id="53" w:name="_Toc27992"/>
      <w:r>
        <w:rPr>
          <w:rFonts w:hint="eastAsia" w:ascii="仿宋_GB2312" w:eastAsia="仿宋_GB2312"/>
          <w:b/>
          <w:bCs/>
          <w:color w:val="auto"/>
          <w:sz w:val="32"/>
          <w:szCs w:val="32"/>
          <w:highlight w:val="none"/>
          <w:lang w:val="en-US" w:eastAsia="zh-CN"/>
        </w:rPr>
        <w:t>3.专项资金分用途使用绩效。</w:t>
      </w:r>
      <w:bookmarkEnd w:id="53"/>
    </w:p>
    <w:p>
      <w:pPr>
        <w:pStyle w:val="30"/>
        <w:keepNext w:val="0"/>
        <w:keepLines w:val="0"/>
        <w:pageBreakBefore w:val="0"/>
        <w:widowControl w:val="0"/>
        <w:numPr>
          <w:ilvl w:val="0"/>
          <w:numId w:val="4"/>
        </w:numPr>
        <w:tabs>
          <w:tab w:val="left" w:pos="1843"/>
        </w:tabs>
        <w:kinsoku/>
        <w:wordWrap/>
        <w:overflowPunct/>
        <w:topLinePunct w:val="0"/>
        <w:autoSpaceDE/>
        <w:autoSpaceDN/>
        <w:bidi w:val="0"/>
        <w:adjustRightInd/>
        <w:snapToGrid/>
        <w:spacing w:line="360" w:lineRule="auto"/>
        <w:ind w:firstLine="646" w:firstLineChars="201"/>
        <w:textAlignment w:val="auto"/>
        <w:rPr>
          <w:rFonts w:hint="eastAsia" w:ascii="仿宋_GB2312" w:eastAsia="仿宋_GB2312" w:cs="Times New Roman"/>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家禽及蔬菜瓜果应急收储奖补资金</w:t>
      </w:r>
      <w:r>
        <w:rPr>
          <w:rFonts w:hint="eastAsia" w:ascii="仿宋_GB2312" w:eastAsia="仿宋_GB2312" w:cs="Times New Roman"/>
          <w:b/>
          <w:bCs/>
          <w:color w:val="auto"/>
          <w:sz w:val="32"/>
          <w:highlight w:val="none"/>
          <w:lang w:val="en-US" w:eastAsia="zh-CN"/>
        </w:rPr>
        <w:t>。</w:t>
      </w:r>
    </w:p>
    <w:p>
      <w:pPr>
        <w:ind w:firstLine="643" w:firstLineChars="200"/>
        <w:rPr>
          <w:rFonts w:hint="eastAsia" w:ascii="仿宋_GB2312" w:eastAsia="仿宋_GB2312" w:cs="Times New Roman"/>
          <w:b w:val="0"/>
          <w:bCs w:val="0"/>
          <w:color w:val="auto"/>
          <w:sz w:val="32"/>
          <w:highlight w:val="none"/>
          <w:lang w:val="en-US" w:eastAsia="zh-CN"/>
        </w:rPr>
      </w:pPr>
      <w:r>
        <w:rPr>
          <w:rFonts w:hint="eastAsia" w:ascii="仿宋_GB2312" w:eastAsia="仿宋_GB2312" w:cs="Times New Roman"/>
          <w:b/>
          <w:bCs/>
          <w:color w:val="auto"/>
          <w:sz w:val="32"/>
          <w:highlight w:val="none"/>
          <w:lang w:val="en-US" w:eastAsia="zh-CN"/>
        </w:rPr>
        <w:t>项目总体绩效目标基本达成，为我省“菜篮子”稳产保供。</w:t>
      </w:r>
      <w:r>
        <w:rPr>
          <w:rFonts w:hint="eastAsia" w:ascii="仿宋_GB2312" w:eastAsia="仿宋_GB2312"/>
          <w:color w:val="auto"/>
          <w:sz w:val="32"/>
          <w:szCs w:val="32"/>
          <w:highlight w:val="none"/>
          <w:lang w:val="en-US" w:eastAsia="zh-CN"/>
        </w:rPr>
        <w:t>全省累计完成蔬菜瓜果收贮89315.51吨，</w:t>
      </w:r>
      <w:r>
        <w:rPr>
          <w:rFonts w:hint="eastAsia" w:ascii="仿宋_GB2312" w:hAnsi="仿宋_GB2312" w:eastAsia="仿宋_GB2312" w:cs="仿宋_GB2312"/>
          <w:color w:val="auto"/>
          <w:sz w:val="32"/>
          <w:szCs w:val="32"/>
          <w:highlight w:val="none"/>
          <w:lang w:val="en-US" w:eastAsia="zh-CN"/>
        </w:rPr>
        <w:t>全省家禽收储数量合计2352.04万只，</w:t>
      </w:r>
      <w:r>
        <w:rPr>
          <w:rFonts w:hint="eastAsia" w:ascii="仿宋_GB2312" w:eastAsia="仿宋_GB2312" w:cs="Times New Roman"/>
          <w:b w:val="0"/>
          <w:bCs w:val="0"/>
          <w:color w:val="auto"/>
          <w:sz w:val="32"/>
          <w:highlight w:val="none"/>
          <w:lang w:val="en-US" w:eastAsia="zh-CN"/>
        </w:rPr>
        <w:t>有效缓解了新冠肺炎疫情防控期间全省各地的家禽蔬菜瓜果滞销问题，有效地保障了全省在农业生产的稳定发展。有力缓解了家禽蔬菜瓜果积压、销售不畅的局面，保障了市场的稳定，有利于农业稳定发展，实现下阶段稳产保供，坚决打赢新冠肺炎疫情防控阻击战。同时促进了农业种植、养殖的可持续发展发展，确保农业增效、农民增收。</w:t>
      </w:r>
    </w:p>
    <w:p>
      <w:pPr>
        <w:rPr>
          <w:rFonts w:hint="eastAsia" w:ascii="仿宋_GB2312" w:hAnsi="Times New Roman" w:eastAsia="仿宋_GB2312" w:cs="Times New Roman"/>
          <w:color w:val="auto"/>
          <w:sz w:val="32"/>
          <w:szCs w:val="32"/>
          <w:highlight w:val="none"/>
          <w:lang w:val="en-US" w:eastAsia="zh-CN"/>
        </w:rPr>
      </w:pPr>
      <w:r>
        <w:rPr>
          <w:rFonts w:hint="eastAsia" w:ascii="仿宋_GB2312" w:eastAsia="仿宋_GB2312" w:cs="Times New Roman"/>
          <w:b w:val="0"/>
          <w:bCs w:val="0"/>
          <w:color w:val="auto"/>
          <w:sz w:val="32"/>
          <w:highlight w:val="none"/>
          <w:lang w:val="en-US" w:eastAsia="zh-CN"/>
        </w:rPr>
        <w:t xml:space="preserve">    </w:t>
      </w:r>
      <w:r>
        <w:rPr>
          <w:rFonts w:hint="eastAsia" w:ascii="仿宋_GB2312" w:eastAsia="仿宋_GB2312" w:cs="Times New Roman"/>
          <w:b/>
          <w:bCs/>
          <w:color w:val="auto"/>
          <w:sz w:val="32"/>
          <w:highlight w:val="none"/>
          <w:lang w:val="en-US" w:eastAsia="zh-CN"/>
        </w:rPr>
        <w:t>社会经济效应显著，保护人民群众利益，推动</w:t>
      </w:r>
      <w:r>
        <w:rPr>
          <w:rFonts w:hint="eastAsia" w:ascii="仿宋_GB2312" w:hAnsi="Times New Roman" w:eastAsia="仿宋_GB2312" w:cs="Times New Roman"/>
          <w:b/>
          <w:bCs/>
          <w:color w:val="auto"/>
          <w:sz w:val="32"/>
          <w:szCs w:val="32"/>
          <w:highlight w:val="none"/>
          <w:lang w:val="en-US" w:eastAsia="zh-CN"/>
        </w:rPr>
        <w:t>冷链仓储业的发展。</w:t>
      </w:r>
      <w:r>
        <w:rPr>
          <w:rFonts w:hint="eastAsia" w:ascii="仿宋_GB2312" w:hAnsi="Times New Roman" w:eastAsia="仿宋_GB2312" w:cs="Times New Roman"/>
          <w:b w:val="0"/>
          <w:bCs w:val="0"/>
          <w:color w:val="auto"/>
          <w:sz w:val="32"/>
          <w:highlight w:val="none"/>
          <w:lang w:val="en-US" w:eastAsia="zh-CN"/>
        </w:rPr>
        <w:t>家禽及蔬菜瓜果应急收储</w:t>
      </w:r>
      <w:r>
        <w:rPr>
          <w:rFonts w:hint="eastAsia" w:ascii="仿宋_GB2312" w:hAnsi="Times New Roman" w:eastAsia="仿宋_GB2312" w:cs="Times New Roman"/>
          <w:color w:val="auto"/>
          <w:sz w:val="32"/>
          <w:szCs w:val="32"/>
          <w:highlight w:val="none"/>
          <w:lang w:val="en-US" w:eastAsia="zh-CN"/>
        </w:rPr>
        <w:t>政策</w:t>
      </w:r>
      <w:r>
        <w:rPr>
          <w:rFonts w:hint="eastAsia" w:ascii="仿宋_GB2312" w:eastAsia="仿宋_GB2312" w:cs="Times New Roman"/>
          <w:color w:val="auto"/>
          <w:sz w:val="32"/>
          <w:szCs w:val="32"/>
          <w:highlight w:val="none"/>
          <w:lang w:val="en-US" w:eastAsia="zh-CN"/>
        </w:rPr>
        <w:t>成效显著，一是</w:t>
      </w:r>
      <w:r>
        <w:rPr>
          <w:rFonts w:hint="eastAsia" w:ascii="仿宋_GB2312" w:hAnsi="Times New Roman" w:eastAsia="仿宋_GB2312" w:cs="Times New Roman"/>
          <w:b w:val="0"/>
          <w:bCs w:val="0"/>
          <w:color w:val="auto"/>
          <w:sz w:val="32"/>
          <w:highlight w:val="none"/>
          <w:lang w:val="en-US" w:eastAsia="zh-CN"/>
        </w:rPr>
        <w:t>家禽及蔬菜瓜果应急收储奖补资金大力</w:t>
      </w:r>
      <w:r>
        <w:rPr>
          <w:rFonts w:hint="eastAsia" w:ascii="仿宋_GB2312" w:hAnsi="Times New Roman" w:eastAsia="仿宋_GB2312" w:cs="Times New Roman"/>
          <w:color w:val="auto"/>
          <w:sz w:val="32"/>
          <w:szCs w:val="32"/>
          <w:highlight w:val="none"/>
          <w:lang w:val="en-US" w:eastAsia="zh-CN"/>
        </w:rPr>
        <w:t>缓解</w:t>
      </w:r>
      <w:r>
        <w:rPr>
          <w:rFonts w:hint="eastAsia" w:ascii="仿宋_GB2312" w:eastAsia="仿宋_GB2312" w:cs="Times New Roman"/>
          <w:color w:val="auto"/>
          <w:sz w:val="32"/>
          <w:szCs w:val="32"/>
          <w:highlight w:val="none"/>
          <w:lang w:val="en-US" w:eastAsia="zh-CN"/>
        </w:rPr>
        <w:t>了</w:t>
      </w:r>
      <w:r>
        <w:rPr>
          <w:rFonts w:hint="eastAsia" w:ascii="仿宋_GB2312" w:hAnsi="Times New Roman" w:eastAsia="仿宋_GB2312" w:cs="Times New Roman"/>
          <w:color w:val="auto"/>
          <w:sz w:val="32"/>
          <w:szCs w:val="32"/>
          <w:highlight w:val="none"/>
          <w:lang w:val="en-US" w:eastAsia="zh-CN"/>
        </w:rPr>
        <w:t>新冠肺炎疫情影响带来的家禽、蔬菜瓜果积压</w:t>
      </w:r>
      <w:r>
        <w:rPr>
          <w:rFonts w:hint="eastAsia" w:ascii="仿宋_GB2312" w:eastAsia="仿宋_GB2312" w:cs="Times New Roman"/>
          <w:color w:val="auto"/>
          <w:sz w:val="32"/>
          <w:szCs w:val="32"/>
          <w:highlight w:val="none"/>
          <w:lang w:val="en-US" w:eastAsia="zh-CN"/>
        </w:rPr>
        <w:t>，有效地</w:t>
      </w:r>
      <w:r>
        <w:rPr>
          <w:rFonts w:hint="eastAsia" w:ascii="仿宋_GB2312" w:hAnsi="Times New Roman" w:eastAsia="仿宋_GB2312" w:cs="Times New Roman"/>
          <w:color w:val="auto"/>
          <w:sz w:val="32"/>
          <w:szCs w:val="32"/>
          <w:highlight w:val="none"/>
          <w:lang w:val="en-US" w:eastAsia="zh-CN"/>
        </w:rPr>
        <w:t>保护了种植户和养殖户的利益，对粤西地区北运菜的销售和雷州半岛蔬菜瓜果过海起到了显著促进作用</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二是一定程度上稳定了家禽和蔬菜瓜果收购价</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避免价格出现断崖式下降，保持市场稳定秩序。</w:t>
      </w:r>
      <w:r>
        <w:rPr>
          <w:rFonts w:hint="eastAsia" w:ascii="仿宋_GB2312" w:hAnsi="Times New Roman" w:eastAsia="仿宋_GB2312" w:cs="Times New Roman"/>
          <w:b w:val="0"/>
          <w:bCs w:val="0"/>
          <w:color w:val="auto"/>
          <w:sz w:val="32"/>
          <w:szCs w:val="32"/>
          <w:highlight w:val="none"/>
          <w:lang w:val="en-US" w:eastAsia="zh-CN"/>
        </w:rPr>
        <w:t>三是项目提</w:t>
      </w:r>
      <w:r>
        <w:rPr>
          <w:rFonts w:hint="eastAsia" w:ascii="仿宋_GB2312" w:hAnsi="Times New Roman" w:eastAsia="仿宋_GB2312" w:cs="Times New Roman"/>
          <w:color w:val="auto"/>
          <w:sz w:val="32"/>
          <w:szCs w:val="32"/>
          <w:highlight w:val="none"/>
          <w:lang w:val="en-US" w:eastAsia="zh-CN"/>
        </w:rPr>
        <w:t>高了收储企业的积极性</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部分企业不断扩大冷链仓储量</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带动了冷链仓储业的发展</w:t>
      </w:r>
      <w:r>
        <w:rPr>
          <w:rFonts w:hint="eastAsia" w:ascii="仿宋_GB2312" w:eastAsia="仿宋_GB2312" w:cs="Times New Roman"/>
          <w:color w:val="auto"/>
          <w:sz w:val="32"/>
          <w:szCs w:val="32"/>
          <w:highlight w:val="none"/>
          <w:lang w:val="en-US" w:eastAsia="zh-CN"/>
        </w:rPr>
        <w:t>。</w:t>
      </w:r>
    </w:p>
    <w:p>
      <w:pPr>
        <w:pStyle w:val="30"/>
        <w:keepNext w:val="0"/>
        <w:keepLines w:val="0"/>
        <w:pageBreakBefore w:val="0"/>
        <w:widowControl w:val="0"/>
        <w:numPr>
          <w:ilvl w:val="0"/>
          <w:numId w:val="4"/>
        </w:numPr>
        <w:tabs>
          <w:tab w:val="left" w:pos="1843"/>
        </w:tabs>
        <w:kinsoku/>
        <w:wordWrap/>
        <w:overflowPunct/>
        <w:topLinePunct w:val="0"/>
        <w:autoSpaceDE/>
        <w:autoSpaceDN/>
        <w:bidi w:val="0"/>
        <w:adjustRightInd/>
        <w:snapToGrid/>
        <w:spacing w:line="360" w:lineRule="auto"/>
        <w:ind w:left="0" w:leftChars="0" w:firstLine="646" w:firstLineChars="201"/>
        <w:textAlignment w:val="auto"/>
        <w:rPr>
          <w:rFonts w:hint="eastAsia" w:ascii="仿宋_GB2312" w:eastAsia="仿宋_GB2312" w:cs="Times New Roman"/>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红火蚁防控资金</w:t>
      </w:r>
      <w:r>
        <w:rPr>
          <w:rFonts w:hint="eastAsia" w:ascii="仿宋_GB2312" w:eastAsia="仿宋_GB2312" w:cs="Times New Roman"/>
          <w:b/>
          <w:bCs/>
          <w:color w:val="auto"/>
          <w:sz w:val="32"/>
          <w:highlight w:val="none"/>
          <w:lang w:val="en-US" w:eastAsia="zh-CN"/>
        </w:rPr>
        <w:t>。</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eastAsia="仿宋_GB2312" w:cs="Times New Roman"/>
          <w:b/>
          <w:bCs/>
          <w:color w:val="auto"/>
          <w:sz w:val="32"/>
          <w:highlight w:val="none"/>
          <w:lang w:val="en-US" w:eastAsia="zh-CN"/>
        </w:rPr>
        <w:t>绩效目标基本达成，红火蚁防控更加专业化，有效保障人民生命财产安全。</w:t>
      </w:r>
      <w:r>
        <w:rPr>
          <w:rFonts w:hint="eastAsia" w:ascii="仿宋_GB2312" w:hAnsi="仿宋_GB2312" w:eastAsia="仿宋_GB2312" w:cs="仿宋_GB2312"/>
          <w:color w:val="auto"/>
          <w:kern w:val="0"/>
          <w:sz w:val="32"/>
          <w:szCs w:val="32"/>
          <w:highlight w:val="none"/>
          <w:lang w:val="en-US" w:eastAsia="zh-CN" w:bidi="ar-SA"/>
        </w:rPr>
        <w:t>全省各地召开防控技术培训宣传活动165期次，召开技术指导培训约5882人次，提高了防控行动的专业化水平，增强防控意识，提升防控效率。</w:t>
      </w:r>
      <w:r>
        <w:rPr>
          <w:rFonts w:hint="eastAsia" w:ascii="仿宋_GB2312" w:eastAsia="仿宋_GB2312" w:cs="Times New Roman"/>
          <w:b w:val="0"/>
          <w:bCs w:val="0"/>
          <w:color w:val="auto"/>
          <w:sz w:val="32"/>
          <w:highlight w:val="none"/>
          <w:lang w:val="en-US" w:eastAsia="zh-CN"/>
        </w:rPr>
        <w:t>根据资金安排，各</w:t>
      </w:r>
      <w:r>
        <w:rPr>
          <w:rFonts w:hint="eastAsia" w:ascii="仿宋_GB2312" w:hAnsi="仿宋_GB2312" w:eastAsia="仿宋_GB2312" w:cs="仿宋_GB2312"/>
          <w:color w:val="auto"/>
          <w:kern w:val="0"/>
          <w:sz w:val="32"/>
          <w:szCs w:val="32"/>
          <w:highlight w:val="none"/>
          <w:lang w:val="en-US" w:eastAsia="zh-CN" w:bidi="ar-SA"/>
        </w:rPr>
        <w:t>地级市采购红火蚁化学防治药剂，建立应急防控药剂储备机制，组织实施统一防控和应急处置，新发疫情应急处置率达90%，防治效果达85%以上。项目的实施有效遏制红火蚁疫情蔓延危害，避免了出现红火蚁恶性伤害人畜事件，保障了人民群众的生命财产安全。</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取得良好的农业生态效益，维护了农业生产安全，减少农民经济损失。</w:t>
      </w:r>
      <w:r>
        <w:rPr>
          <w:rFonts w:hint="eastAsia" w:ascii="仿宋_GB2312" w:hAnsi="仿宋_GB2312" w:eastAsia="仿宋_GB2312" w:cs="仿宋_GB2312"/>
          <w:b w:val="0"/>
          <w:bCs w:val="0"/>
          <w:color w:val="auto"/>
          <w:kern w:val="0"/>
          <w:sz w:val="32"/>
          <w:szCs w:val="32"/>
          <w:highlight w:val="none"/>
          <w:lang w:val="en-US" w:eastAsia="zh-CN" w:bidi="ar-SA"/>
        </w:rPr>
        <w:t>红火蚁的发生除了直接威胁人体健康安全外，对农事生产也是一大威胁。据悉，红火蚁可以直接危害50多种农林作物，通过取食植物种子、嫩芽、根系、果实等直接影响作物生长，造成作物减产、品质下降等。同时威胁农事操作，造成农田丢荒。</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通过项目的实施，有效控制红火蚁危害和传播，避免了大面积弃耕现象的发生，保障了农作物产量和安全，大大减少了农业生产的经济损失。</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高位推动，建立了防控长效机制。</w:t>
      </w:r>
      <w:r>
        <w:rPr>
          <w:rFonts w:hint="eastAsia" w:ascii="仿宋_GB2312" w:hAnsi="仿宋_GB2312" w:eastAsia="仿宋_GB2312" w:cs="仿宋_GB2312"/>
          <w:b w:val="0"/>
          <w:bCs w:val="0"/>
          <w:color w:val="auto"/>
          <w:kern w:val="0"/>
          <w:sz w:val="32"/>
          <w:szCs w:val="32"/>
          <w:highlight w:val="none"/>
          <w:lang w:val="en-US" w:eastAsia="zh-CN" w:bidi="ar-SA"/>
        </w:rPr>
        <w:t>出台《广东省防控红火蚁若干措施》、《加强红火蚁阻截防控工作的通知》，红火蚁防控工作纳入省推进乡村振兴战略实绩考核和广东省十四五国民经济发展规划。上下联动，合力推进红火蚁防控，建立了防控长效机制。全省组织各有关成员单位及各地在全省范围内开展红火蚁统一防控行动。多措并举，着力提升红火蚁科学防控水平，建立“省、市、县、镇”四级科技指导服务体系</w:t>
      </w:r>
      <w:r>
        <w:rPr>
          <w:rFonts w:hint="default" w:ascii="仿宋_GB2312" w:hAnsi="仿宋_GB2312" w:eastAsia="仿宋_GB2312" w:cs="仿宋_GB2312"/>
          <w:b w:val="0"/>
          <w:bCs w:val="0"/>
          <w:color w:val="auto"/>
          <w:kern w:val="0"/>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bidi="ar-SA"/>
        </w:rPr>
        <w:t>省</w:t>
      </w:r>
      <w:r>
        <w:rPr>
          <w:rFonts w:hint="default" w:ascii="仿宋_GB2312" w:hAnsi="仿宋_GB2312" w:eastAsia="仿宋_GB2312" w:cs="仿宋_GB2312"/>
          <w:b w:val="0"/>
          <w:bCs w:val="0"/>
          <w:color w:val="auto"/>
          <w:kern w:val="0"/>
          <w:sz w:val="32"/>
          <w:szCs w:val="32"/>
          <w:highlight w:val="none"/>
          <w:lang w:val="en-US" w:eastAsia="zh-CN" w:bidi="ar-SA"/>
        </w:rPr>
        <w:t>制定</w:t>
      </w:r>
      <w:r>
        <w:rPr>
          <w:rFonts w:hint="eastAsia" w:ascii="仿宋_GB2312" w:hAnsi="仿宋_GB2312" w:eastAsia="仿宋_GB2312" w:cs="仿宋_GB2312"/>
          <w:b w:val="0"/>
          <w:bCs w:val="0"/>
          <w:color w:val="auto"/>
          <w:kern w:val="0"/>
          <w:sz w:val="32"/>
          <w:szCs w:val="32"/>
          <w:highlight w:val="none"/>
          <w:lang w:val="en-US" w:eastAsia="zh-CN" w:bidi="ar-SA"/>
        </w:rPr>
        <w:t>防控手册、统一培训教材和科普挂图、折页，分区域划片区安排专家开展</w:t>
      </w:r>
      <w:r>
        <w:rPr>
          <w:rFonts w:hint="default" w:ascii="仿宋_GB2312" w:hAnsi="仿宋_GB2312" w:eastAsia="仿宋_GB2312" w:cs="仿宋_GB2312"/>
          <w:b w:val="0"/>
          <w:bCs w:val="0"/>
          <w:color w:val="auto"/>
          <w:kern w:val="0"/>
          <w:sz w:val="32"/>
          <w:szCs w:val="32"/>
          <w:highlight w:val="none"/>
          <w:lang w:val="en-US" w:eastAsia="zh-CN" w:bidi="ar-SA"/>
        </w:rPr>
        <w:t>技术指导</w:t>
      </w:r>
      <w:r>
        <w:rPr>
          <w:rFonts w:hint="eastAsia" w:ascii="仿宋_GB2312" w:hAnsi="仿宋_GB2312" w:eastAsia="仿宋_GB2312" w:cs="仿宋_GB2312"/>
          <w:b w:val="0"/>
          <w:bCs w:val="0"/>
          <w:color w:val="auto"/>
          <w:kern w:val="0"/>
          <w:sz w:val="32"/>
          <w:szCs w:val="32"/>
          <w:highlight w:val="none"/>
          <w:lang w:val="en-US" w:eastAsia="zh-CN" w:bidi="ar-SA"/>
        </w:rPr>
        <w:t>服务</w:t>
      </w:r>
      <w:r>
        <w:rPr>
          <w:rFonts w:hint="default" w:ascii="仿宋_GB2312" w:hAnsi="仿宋_GB2312" w:eastAsia="仿宋_GB2312" w:cs="仿宋_GB2312"/>
          <w:b w:val="0"/>
          <w:bCs w:val="0"/>
          <w:color w:val="auto"/>
          <w:kern w:val="0"/>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bidi="ar-SA"/>
        </w:rPr>
        <w:t>在全省1156个乡镇布设红火蚁药剂零售店，做到乡镇销售红火蚁药剂全覆盖，基本解决群众“买药难”问题。</w:t>
      </w:r>
    </w:p>
    <w:p>
      <w:pPr>
        <w:keepNext w:val="0"/>
        <w:keepLines w:val="0"/>
        <w:pageBreakBefore w:val="0"/>
        <w:widowControl w:val="0"/>
        <w:kinsoku/>
        <w:wordWrap/>
        <w:overflowPunct/>
        <w:topLinePunct w:val="0"/>
        <w:autoSpaceDE/>
        <w:autoSpaceDN/>
        <w:bidi w:val="0"/>
        <w:adjustRightInd/>
        <w:snapToGrid/>
        <w:ind w:firstLine="643" w:firstLineChars="200"/>
        <w:rPr>
          <w:rFonts w:hint="eastAsia" w:ascii="仿宋_GB2312" w:hAnsi="Times New Roman" w:eastAsia="仿宋_GB2312" w:cs="Times New Roman"/>
          <w:b/>
          <w:bCs/>
          <w:color w:val="auto"/>
          <w:sz w:val="32"/>
          <w:szCs w:val="32"/>
          <w:highlight w:val="none"/>
          <w:lang w:val="en-US" w:eastAsia="zh-CN"/>
        </w:rPr>
      </w:pPr>
      <w:r>
        <w:rPr>
          <w:rFonts w:hint="eastAsia" w:ascii="仿宋_GB2312" w:hAnsi="Times New Roman" w:eastAsia="仿宋_GB2312" w:cs="Times New Roman"/>
          <w:b/>
          <w:bCs/>
          <w:color w:val="auto"/>
          <w:sz w:val="32"/>
          <w:szCs w:val="32"/>
          <w:highlight w:val="none"/>
          <w:lang w:val="en-US" w:eastAsia="zh-CN"/>
        </w:rPr>
        <w:t>（3）应急种子储备及调拨资金。</w:t>
      </w:r>
    </w:p>
    <w:p>
      <w:pPr>
        <w:keepNext w:val="0"/>
        <w:keepLines w:val="0"/>
        <w:pageBreakBefore w:val="0"/>
        <w:widowControl w:val="0"/>
        <w:kinsoku/>
        <w:wordWrap/>
        <w:overflowPunct/>
        <w:topLinePunct w:val="0"/>
        <w:autoSpaceDE/>
        <w:autoSpaceDN/>
        <w:bidi w:val="0"/>
        <w:adjustRightInd/>
        <w:snapToGrid/>
        <w:ind w:firstLine="643" w:firstLineChars="200"/>
        <w:rPr>
          <w:rFonts w:hint="eastAsia" w:ascii="仿宋_GB2312" w:hAnsi="Times New Roman" w:eastAsia="仿宋_GB2312" w:cs="Times New Roman"/>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专项资金绩效目标全部完成，有效保障灾后恢复用种需要，促进农业生产恢复。</w:t>
      </w:r>
      <w:r>
        <w:rPr>
          <w:rFonts w:hint="eastAsia" w:ascii="仿宋_GB2312" w:hAnsi="Times New Roman" w:eastAsia="仿宋_GB2312" w:cs="Times New Roman"/>
          <w:color w:val="auto"/>
          <w:sz w:val="32"/>
          <w:szCs w:val="32"/>
          <w:highlight w:val="none"/>
          <w:lang w:val="en-US" w:eastAsia="zh-CN"/>
        </w:rPr>
        <w:t>广东省金稻种业有限公司、广东华农大种业有限公司等</w:t>
      </w:r>
      <w:r>
        <w:rPr>
          <w:rFonts w:hint="eastAsia" w:ascii="仿宋_GB2312" w:eastAsia="仿宋_GB2312" w:cs="Times New Roman"/>
          <w:color w:val="auto"/>
          <w:sz w:val="32"/>
          <w:szCs w:val="32"/>
          <w:highlight w:val="none"/>
          <w:lang w:val="en-US" w:eastAsia="zh-CN"/>
        </w:rPr>
        <w:t>8</w:t>
      </w:r>
      <w:r>
        <w:rPr>
          <w:rFonts w:hint="eastAsia" w:ascii="仿宋_GB2312" w:hAnsi="Times New Roman" w:eastAsia="仿宋_GB2312" w:cs="Times New Roman"/>
          <w:color w:val="auto"/>
          <w:sz w:val="32"/>
          <w:szCs w:val="32"/>
          <w:highlight w:val="none"/>
          <w:lang w:val="en-US" w:eastAsia="zh-CN"/>
        </w:rPr>
        <w:t>家承储单位已完成储备20</w:t>
      </w:r>
      <w:r>
        <w:rPr>
          <w:rFonts w:hint="eastAsia" w:ascii="仿宋_GB2312" w:eastAsia="仿宋_GB2312" w:cs="Times New Roman"/>
          <w:color w:val="auto"/>
          <w:sz w:val="32"/>
          <w:szCs w:val="32"/>
          <w:highlight w:val="none"/>
          <w:lang w:val="en-US" w:eastAsia="zh-CN"/>
        </w:rPr>
        <w:t>20</w:t>
      </w:r>
      <w:r>
        <w:rPr>
          <w:rFonts w:hint="eastAsia" w:ascii="仿宋_GB2312" w:hAnsi="Times New Roman" w:eastAsia="仿宋_GB2312" w:cs="Times New Roman"/>
          <w:color w:val="auto"/>
          <w:sz w:val="32"/>
          <w:szCs w:val="32"/>
          <w:highlight w:val="none"/>
          <w:lang w:val="en-US" w:eastAsia="zh-CN"/>
        </w:rPr>
        <w:t>年度省级应急种子</w:t>
      </w:r>
      <w:r>
        <w:rPr>
          <w:rFonts w:hint="eastAsia" w:ascii="仿宋_GB2312" w:eastAsia="仿宋_GB2312" w:cs="Times New Roman"/>
          <w:color w:val="auto"/>
          <w:sz w:val="32"/>
          <w:szCs w:val="32"/>
          <w:highlight w:val="none"/>
          <w:lang w:val="en-US" w:eastAsia="zh-CN"/>
        </w:rPr>
        <w:t>150</w:t>
      </w:r>
      <w:r>
        <w:rPr>
          <w:rFonts w:hint="eastAsia" w:ascii="仿宋_GB2312" w:hAnsi="Times New Roman" w:eastAsia="仿宋_GB2312" w:cs="Times New Roman"/>
          <w:color w:val="auto"/>
          <w:sz w:val="32"/>
          <w:szCs w:val="32"/>
          <w:highlight w:val="none"/>
          <w:lang w:val="en-US" w:eastAsia="zh-CN"/>
        </w:rPr>
        <w:t>万公斤</w:t>
      </w:r>
      <w:r>
        <w:rPr>
          <w:rFonts w:hint="eastAsia" w:ascii="仿宋_GB2312" w:eastAsia="仿宋_GB2312" w:cs="Times New Roman"/>
          <w:color w:val="auto"/>
          <w:sz w:val="32"/>
          <w:szCs w:val="32"/>
          <w:highlight w:val="none"/>
          <w:lang w:val="en-US" w:eastAsia="zh-CN"/>
        </w:rPr>
        <w:t>；根据灾区申请和省农业农村厅、省财政厅联合批复同意，从</w:t>
      </w:r>
      <w:r>
        <w:rPr>
          <w:rFonts w:hint="eastAsia" w:ascii="仿宋_GB2312" w:hAnsi="Times New Roman" w:eastAsia="仿宋_GB2312" w:cs="Times New Roman"/>
          <w:color w:val="auto"/>
          <w:sz w:val="32"/>
          <w:szCs w:val="32"/>
          <w:highlight w:val="none"/>
          <w:lang w:val="en-US" w:eastAsia="zh-CN"/>
        </w:rPr>
        <w:t>广东华农大种业有限公司</w:t>
      </w:r>
      <w:r>
        <w:rPr>
          <w:rFonts w:hint="eastAsia" w:ascii="仿宋_GB2312" w:eastAsia="仿宋_GB2312" w:cs="Times New Roman"/>
          <w:color w:val="auto"/>
          <w:sz w:val="32"/>
          <w:szCs w:val="32"/>
          <w:highlight w:val="none"/>
          <w:lang w:val="en-US" w:eastAsia="zh-CN"/>
        </w:rPr>
        <w:t>承储单位</w:t>
      </w:r>
      <w:r>
        <w:rPr>
          <w:rFonts w:hint="eastAsia" w:ascii="仿宋_GB2312" w:hAnsi="Times New Roman" w:eastAsia="仿宋_GB2312" w:cs="Times New Roman"/>
          <w:color w:val="auto"/>
          <w:sz w:val="32"/>
          <w:szCs w:val="32"/>
          <w:highlight w:val="none"/>
          <w:lang w:val="en-US" w:eastAsia="zh-CN"/>
        </w:rPr>
        <w:t>调用省级应急储备种子</w:t>
      </w:r>
      <w:r>
        <w:rPr>
          <w:rFonts w:hint="eastAsia" w:ascii="仿宋_GB2312" w:eastAsia="仿宋_GB2312" w:cs="Times New Roman"/>
          <w:color w:val="auto"/>
          <w:sz w:val="32"/>
          <w:szCs w:val="32"/>
          <w:highlight w:val="none"/>
          <w:lang w:val="en-US" w:eastAsia="zh-CN"/>
        </w:rPr>
        <w:t>7752</w:t>
      </w:r>
      <w:r>
        <w:rPr>
          <w:rFonts w:hint="eastAsia" w:ascii="仿宋_GB2312" w:hAnsi="Times New Roman" w:eastAsia="仿宋_GB2312" w:cs="Times New Roman"/>
          <w:color w:val="auto"/>
          <w:sz w:val="32"/>
          <w:szCs w:val="32"/>
          <w:highlight w:val="none"/>
          <w:lang w:val="en-US" w:eastAsia="zh-CN"/>
        </w:rPr>
        <w:t>公斤支持</w:t>
      </w:r>
      <w:r>
        <w:rPr>
          <w:rFonts w:hint="eastAsia" w:ascii="仿宋_GB2312" w:eastAsia="仿宋_GB2312" w:cs="Times New Roman"/>
          <w:color w:val="auto"/>
          <w:sz w:val="32"/>
          <w:szCs w:val="32"/>
          <w:highlight w:val="none"/>
          <w:lang w:val="en-US" w:eastAsia="zh-CN"/>
        </w:rPr>
        <w:t>云浮</w:t>
      </w:r>
      <w:r>
        <w:rPr>
          <w:rFonts w:hint="eastAsia" w:ascii="仿宋_GB2312" w:hAnsi="Times New Roman" w:eastAsia="仿宋_GB2312" w:cs="Times New Roman"/>
          <w:color w:val="auto"/>
          <w:sz w:val="32"/>
          <w:szCs w:val="32"/>
          <w:highlight w:val="none"/>
          <w:lang w:val="en-US" w:eastAsia="zh-CN"/>
        </w:rPr>
        <w:t>灾区恢复农业生产</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20</w:t>
      </w:r>
      <w:r>
        <w:rPr>
          <w:rFonts w:hint="eastAsia" w:ascii="仿宋_GB2312" w:eastAsia="仿宋_GB2312" w:cs="Times New Roman"/>
          <w:color w:val="auto"/>
          <w:sz w:val="32"/>
          <w:szCs w:val="32"/>
          <w:highlight w:val="none"/>
          <w:lang w:val="en-US" w:eastAsia="zh-CN"/>
        </w:rPr>
        <w:t>20</w:t>
      </w:r>
      <w:r>
        <w:rPr>
          <w:rFonts w:hint="eastAsia" w:ascii="仿宋_GB2312" w:hAnsi="Times New Roman" w:eastAsia="仿宋_GB2312" w:cs="Times New Roman"/>
          <w:color w:val="auto"/>
          <w:sz w:val="32"/>
          <w:szCs w:val="32"/>
          <w:highlight w:val="none"/>
          <w:lang w:val="en-US" w:eastAsia="zh-CN"/>
        </w:rPr>
        <w:t>年度省级应急种子储备项目的实施</w:t>
      </w:r>
      <w:r>
        <w:rPr>
          <w:rFonts w:hint="eastAsia" w:ascii="仿宋_GB2312" w:eastAsia="仿宋_GB2312" w:cs="Times New Roman"/>
          <w:color w:val="auto"/>
          <w:sz w:val="32"/>
          <w:szCs w:val="32"/>
          <w:highlight w:val="none"/>
          <w:lang w:val="en-US" w:eastAsia="zh-CN"/>
        </w:rPr>
        <w:t>，有效保障了</w:t>
      </w:r>
      <w:r>
        <w:rPr>
          <w:rFonts w:hint="eastAsia" w:ascii="仿宋_GB2312" w:hAnsi="Times New Roman" w:eastAsia="仿宋_GB2312" w:cs="Times New Roman"/>
          <w:color w:val="auto"/>
          <w:sz w:val="32"/>
          <w:szCs w:val="32"/>
          <w:highlight w:val="none"/>
          <w:lang w:val="en-US" w:eastAsia="zh-CN"/>
        </w:rPr>
        <w:t>灾后恢复粮食生产的用种需要，有力地支持了灾区快速恢复农业生产</w:t>
      </w:r>
      <w:r>
        <w:rPr>
          <w:rFonts w:hint="eastAsia" w:ascii="仿宋_GB2312" w:eastAsia="仿宋_GB2312" w:cs="Times New Roman"/>
          <w:color w:val="auto"/>
          <w:sz w:val="32"/>
          <w:szCs w:val="32"/>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157" w:afterLines="50"/>
        <w:ind w:left="0" w:leftChars="0" w:firstLine="643" w:firstLineChars="200"/>
        <w:textAlignment w:val="auto"/>
        <w:rPr>
          <w:rFonts w:hint="eastAsia" w:ascii="仿宋_GB2312" w:hAnsi="Times New Roman" w:eastAsia="仿宋_GB2312" w:cs="Times New Roman"/>
          <w:b w:val="0"/>
          <w:bCs w:val="0"/>
          <w:color w:val="auto"/>
          <w:kern w:val="2"/>
          <w:sz w:val="32"/>
          <w:szCs w:val="32"/>
          <w:highlight w:val="none"/>
          <w:lang w:val="en-US" w:eastAsia="zh-CN" w:bidi="ar-SA"/>
        </w:rPr>
      </w:pPr>
      <w:r>
        <w:rPr>
          <w:rFonts w:hint="eastAsia" w:ascii="仿宋_GB2312" w:hAnsi="Times New Roman" w:eastAsia="仿宋_GB2312" w:cs="Times New Roman"/>
          <w:b/>
          <w:bCs/>
          <w:color w:val="auto"/>
          <w:kern w:val="2"/>
          <w:sz w:val="32"/>
          <w:szCs w:val="32"/>
          <w:highlight w:val="none"/>
          <w:lang w:val="en-US" w:eastAsia="zh-CN" w:bidi="ar-SA"/>
        </w:rPr>
        <w:t>资金使用效益显著，促进社会稳定发展，人民满意度、获得感、信任感不断增强。</w:t>
      </w:r>
      <w:r>
        <w:rPr>
          <w:rFonts w:hint="eastAsia" w:ascii="仿宋_GB2312" w:hAnsi="Times New Roman" w:eastAsia="仿宋_GB2312" w:cs="Times New Roman"/>
          <w:b w:val="0"/>
          <w:bCs w:val="0"/>
          <w:color w:val="auto"/>
          <w:kern w:val="2"/>
          <w:sz w:val="32"/>
          <w:szCs w:val="32"/>
          <w:highlight w:val="none"/>
          <w:lang w:val="en-US" w:eastAsia="zh-CN" w:bidi="ar-SA"/>
        </w:rPr>
        <w:t>应急种子</w:t>
      </w:r>
      <w:r>
        <w:rPr>
          <w:rFonts w:hint="eastAsia" w:ascii="仿宋_GB2312" w:hAnsi="Times New Roman" w:eastAsia="仿宋_GB2312" w:cs="Times New Roman"/>
          <w:b w:val="0"/>
          <w:bCs w:val="0"/>
          <w:color w:val="auto"/>
          <w:sz w:val="32"/>
          <w:szCs w:val="32"/>
          <w:highlight w:val="none"/>
          <w:lang w:val="en-US" w:eastAsia="zh-CN"/>
        </w:rPr>
        <w:t>储备</w:t>
      </w:r>
      <w:r>
        <w:rPr>
          <w:rFonts w:hint="eastAsia" w:ascii="仿宋_GB2312" w:hAnsi="Times New Roman" w:eastAsia="仿宋_GB2312" w:cs="Times New Roman"/>
          <w:b w:val="0"/>
          <w:bCs w:val="0"/>
          <w:color w:val="auto"/>
          <w:kern w:val="2"/>
          <w:sz w:val="32"/>
          <w:szCs w:val="32"/>
          <w:highlight w:val="none"/>
          <w:lang w:val="en-US" w:eastAsia="zh-CN" w:bidi="ar-SA"/>
        </w:rPr>
        <w:t>及调拨资金降低了灾区农民损失，为维护社会稳定筑牢了防护堤坝。项目实施意义深远，取得了较好的生态、社会、经济效益，具有可持续发展性，对维持灾区经济发展水平、保障人民收入具有重要作用，进一步提升了群众的满意度、获得感和政府公信力。</w:t>
      </w:r>
      <w:bookmarkStart w:id="54" w:name="_Toc42021449"/>
    </w:p>
    <w:p>
      <w:pPr>
        <w:pStyle w:val="3"/>
        <w:pageBreakBefore w:val="0"/>
        <w:kinsoku/>
        <w:wordWrap/>
        <w:overflowPunct/>
        <w:topLinePunct w:val="0"/>
        <w:bidi w:val="0"/>
        <w:spacing w:before="0" w:after="0" w:line="360" w:lineRule="auto"/>
        <w:ind w:firstLine="643" w:firstLineChars="200"/>
        <w:outlineLvl w:val="1"/>
        <w:rPr>
          <w:rFonts w:hint="eastAsia" w:ascii="Calibri" w:hAnsi="宋体" w:cs="Times New Roman"/>
          <w:color w:val="auto"/>
          <w:highlight w:val="none"/>
          <w:lang w:val="en-US" w:eastAsia="zh-CN"/>
        </w:rPr>
      </w:pPr>
      <w:bookmarkStart w:id="55" w:name="_Toc849506390_WPSOffice_Level2"/>
      <w:r>
        <w:rPr>
          <w:rFonts w:hint="eastAsia" w:ascii="Calibri" w:hAnsi="宋体" w:cs="Times New Roman"/>
          <w:color w:val="auto"/>
          <w:highlight w:val="none"/>
          <w:lang w:val="en-US" w:eastAsia="zh-CN"/>
        </w:rPr>
        <w:t>（三）专项资金使用绩效存在的问题</w:t>
      </w:r>
      <w:bookmarkEnd w:id="54"/>
      <w:bookmarkEnd w:id="55"/>
      <w:bookmarkStart w:id="56" w:name="_Toc42021450"/>
    </w:p>
    <w:p>
      <w:pPr>
        <w:pStyle w:val="2"/>
        <w:numPr>
          <w:ilvl w:val="0"/>
          <w:numId w:val="0"/>
        </w:numPr>
        <w:ind w:left="0" w:leftChars="0" w:firstLine="643" w:firstLineChars="200"/>
        <w:rPr>
          <w:rFonts w:hint="default" w:ascii="仿宋_GB2312" w:hAnsi="Times New Roman" w:eastAsia="仿宋_GB2312" w:cs="Times New Roman"/>
          <w:color w:val="auto"/>
          <w:sz w:val="32"/>
          <w:szCs w:val="32"/>
          <w:highlight w:val="none"/>
          <w:lang w:val="en-US" w:eastAsia="zh-CN"/>
        </w:rPr>
      </w:pPr>
      <w:r>
        <w:rPr>
          <w:rFonts w:hint="eastAsia" w:ascii="仿宋_GB2312" w:hAnsi="仿宋" w:eastAsia="仿宋_GB2312"/>
          <w:b/>
          <w:bCs/>
          <w:color w:val="auto"/>
          <w:sz w:val="32"/>
          <w:highlight w:val="none"/>
          <w:lang w:val="en-US" w:eastAsia="zh-CN"/>
        </w:rPr>
        <w:t>一是</w:t>
      </w:r>
      <w:r>
        <w:rPr>
          <w:rFonts w:hint="eastAsia" w:ascii="仿宋_GB2312" w:hAnsi="仿宋" w:eastAsia="仿宋_GB2312" w:cs="Times New Roman"/>
          <w:b w:val="0"/>
          <w:bCs w:val="0"/>
          <w:color w:val="auto"/>
          <w:sz w:val="32"/>
          <w:highlight w:val="none"/>
          <w:lang w:val="en-US" w:eastAsia="zh-CN"/>
        </w:rPr>
        <w:t>3项政策任务专项</w:t>
      </w:r>
      <w:r>
        <w:rPr>
          <w:rFonts w:hint="eastAsia" w:ascii="仿宋_GB2312" w:hAnsi="仿宋" w:eastAsia="仿宋_GB2312"/>
          <w:b w:val="0"/>
          <w:bCs w:val="0"/>
          <w:color w:val="auto"/>
          <w:sz w:val="32"/>
          <w:highlight w:val="none"/>
          <w:lang w:val="en-US" w:eastAsia="zh-CN"/>
        </w:rPr>
        <w:t>资金项目绩效目标的完整性、合理性和可衡量性有待提高。</w:t>
      </w:r>
      <w:r>
        <w:rPr>
          <w:rFonts w:hint="eastAsia" w:ascii="仿宋_GB2312" w:hAnsi="仿宋" w:eastAsia="仿宋_GB2312" w:cs="Times New Roman"/>
          <w:b/>
          <w:bCs/>
          <w:color w:val="auto"/>
          <w:kern w:val="2"/>
          <w:sz w:val="32"/>
          <w:szCs w:val="44"/>
          <w:highlight w:val="none"/>
          <w:lang w:val="en-US" w:eastAsia="zh-CN" w:bidi="ar-SA"/>
        </w:rPr>
        <w:t>二是</w:t>
      </w:r>
      <w:r>
        <w:rPr>
          <w:rFonts w:hint="eastAsia" w:ascii="仿宋_GB2312" w:hAnsi="仿宋" w:eastAsia="仿宋_GB2312" w:cs="Times New Roman"/>
          <w:b w:val="0"/>
          <w:bCs w:val="0"/>
          <w:color w:val="auto"/>
          <w:kern w:val="2"/>
          <w:sz w:val="32"/>
          <w:szCs w:val="44"/>
          <w:highlight w:val="none"/>
          <w:lang w:val="en-US" w:eastAsia="zh-CN" w:bidi="ar-SA"/>
        </w:rPr>
        <w:t>家禽及蔬菜瓜果应急收储奖补资金支出效率有待提高。</w:t>
      </w:r>
      <w:r>
        <w:rPr>
          <w:rFonts w:hint="eastAsia" w:ascii="仿宋_GB2312" w:eastAsia="仿宋_GB2312" w:cs="Times New Roman"/>
          <w:color w:val="auto"/>
          <w:sz w:val="32"/>
          <w:szCs w:val="32"/>
          <w:highlight w:val="none"/>
          <w:lang w:val="en-US" w:eastAsia="zh-CN"/>
        </w:rPr>
        <w:t>由于对新冠肺炎疫情对市场的影响估计不足，且基层在疫情防控的同时既要充分保证财政资金支出规范性要求、又要在短期内甄别补贴对象和额度，导致部分地区资金支出工作滞后于补贴需求，部分补贴没有及时到位。</w:t>
      </w:r>
      <w:r>
        <w:rPr>
          <w:rFonts w:hint="eastAsia" w:ascii="仿宋_GB2312" w:hAnsi="仿宋" w:eastAsia="仿宋_GB2312" w:cs="Times New Roman"/>
          <w:b w:val="0"/>
          <w:bCs w:val="0"/>
          <w:color w:val="auto"/>
          <w:kern w:val="2"/>
          <w:sz w:val="32"/>
          <w:szCs w:val="44"/>
          <w:highlight w:val="none"/>
          <w:lang w:val="en-US" w:eastAsia="zh-CN" w:bidi="ar-SA"/>
        </w:rPr>
        <w:t>随着疫情快速有效得到控制，全省很快进入常态化防控阶段，部分地市没有完成收储计划，家禽及蔬菜瓜果应急收储奖补资金有较大额度的结余。</w:t>
      </w:r>
      <w:r>
        <w:rPr>
          <w:rFonts w:hint="eastAsia" w:ascii="仿宋_GB2312" w:hAnsi="仿宋" w:eastAsia="仿宋_GB2312"/>
          <w:b/>
          <w:bCs/>
          <w:color w:val="auto"/>
          <w:sz w:val="32"/>
          <w:highlight w:val="none"/>
          <w:lang w:val="en-US" w:eastAsia="zh-CN"/>
        </w:rPr>
        <w:t>三是</w:t>
      </w:r>
      <w:r>
        <w:rPr>
          <w:rFonts w:hint="eastAsia" w:ascii="仿宋_GB2312" w:hAnsi="仿宋" w:eastAsia="仿宋_GB2312"/>
          <w:b w:val="0"/>
          <w:bCs w:val="0"/>
          <w:color w:val="auto"/>
          <w:sz w:val="32"/>
          <w:highlight w:val="none"/>
          <w:lang w:val="en-US" w:eastAsia="zh-CN"/>
        </w:rPr>
        <w:t>种子应急储备及调拨资金使用存在操作难的问题。</w:t>
      </w:r>
      <w:r>
        <w:rPr>
          <w:rFonts w:hint="eastAsia" w:ascii="仿宋_GB2312" w:hAnsi="Times New Roman" w:eastAsia="仿宋_GB2312" w:cs="Times New Roman"/>
          <w:color w:val="auto"/>
          <w:sz w:val="32"/>
          <w:szCs w:val="32"/>
          <w:highlight w:val="none"/>
          <w:lang w:val="en-US" w:eastAsia="zh-CN"/>
        </w:rPr>
        <w:t>有承储单</w:t>
      </w:r>
      <w:r>
        <w:rPr>
          <w:rFonts w:hint="eastAsia" w:ascii="仿宋_GB2312" w:eastAsia="仿宋_GB2312" w:cs="Times New Roman"/>
          <w:color w:val="auto"/>
          <w:sz w:val="32"/>
          <w:szCs w:val="32"/>
          <w:highlight w:val="none"/>
          <w:lang w:val="en-US" w:eastAsia="zh-CN"/>
        </w:rPr>
        <w:t>位</w:t>
      </w:r>
      <w:r>
        <w:rPr>
          <w:rFonts w:hint="eastAsia" w:ascii="仿宋_GB2312" w:hAnsi="Times New Roman" w:eastAsia="仿宋_GB2312" w:cs="Times New Roman"/>
          <w:color w:val="auto"/>
          <w:sz w:val="32"/>
          <w:szCs w:val="32"/>
          <w:highlight w:val="none"/>
          <w:lang w:val="en-US" w:eastAsia="zh-CN"/>
        </w:rPr>
        <w:t>反映按《广东省省级粮食应急种子储备实施方案》规定，在</w:t>
      </w:r>
      <w:r>
        <w:rPr>
          <w:rFonts w:hint="eastAsia" w:ascii="仿宋" w:hAnsi="仿宋" w:eastAsia="仿宋" w:cs="仿宋"/>
          <w:b w:val="0"/>
          <w:bCs w:val="0"/>
          <w:color w:val="auto"/>
          <w:sz w:val="32"/>
          <w:szCs w:val="32"/>
          <w:highlight w:val="none"/>
          <w:lang w:val="en-US" w:eastAsia="zh-CN"/>
        </w:rPr>
        <w:t>应急种子储备及调拨资金</w:t>
      </w:r>
      <w:r>
        <w:rPr>
          <w:rFonts w:hint="eastAsia" w:ascii="仿宋_GB2312" w:hAnsi="Times New Roman" w:eastAsia="仿宋_GB2312" w:cs="Times New Roman"/>
          <w:color w:val="auto"/>
          <w:sz w:val="32"/>
          <w:szCs w:val="32"/>
          <w:highlight w:val="none"/>
          <w:lang w:val="en-US" w:eastAsia="zh-CN"/>
        </w:rPr>
        <w:t>项目实施过程中，种子损耗、削价、转商亏损等难以做账</w:t>
      </w:r>
      <w:r>
        <w:rPr>
          <w:rFonts w:hint="eastAsia" w:ascii="仿宋_GB2312" w:eastAsia="仿宋_GB2312" w:cs="Times New Roman"/>
          <w:color w:val="auto"/>
          <w:sz w:val="32"/>
          <w:szCs w:val="32"/>
          <w:highlight w:val="none"/>
          <w:lang w:val="en-US" w:eastAsia="zh-CN"/>
        </w:rPr>
        <w:t>，自有产权仓储设施设备折旧损失等种子储备成本也无法列支</w:t>
      </w:r>
      <w:r>
        <w:rPr>
          <w:rFonts w:hint="eastAsia" w:ascii="仿宋_GB2312" w:hAnsi="Times New Roman" w:eastAsia="仿宋_GB2312" w:cs="Times New Roman"/>
          <w:color w:val="auto"/>
          <w:sz w:val="32"/>
          <w:szCs w:val="32"/>
          <w:highlight w:val="none"/>
          <w:lang w:val="en-US" w:eastAsia="zh-CN"/>
        </w:rPr>
        <w:t>。</w:t>
      </w:r>
    </w:p>
    <w:p>
      <w:pPr>
        <w:pStyle w:val="13"/>
        <w:pageBreakBefore w:val="0"/>
        <w:numPr>
          <w:ilvl w:val="0"/>
          <w:numId w:val="0"/>
        </w:numPr>
        <w:kinsoku/>
        <w:wordWrap/>
        <w:overflowPunct/>
        <w:topLinePunct w:val="0"/>
        <w:bidi w:val="0"/>
        <w:spacing w:before="0" w:after="0" w:line="360" w:lineRule="auto"/>
        <w:ind w:firstLine="640" w:firstLineChars="200"/>
        <w:jc w:val="both"/>
        <w:rPr>
          <w:rFonts w:hint="eastAsia" w:ascii="黑体" w:hAnsi="黑体"/>
          <w:bCs/>
          <w:color w:val="auto"/>
          <w:highlight w:val="none"/>
        </w:rPr>
      </w:pPr>
      <w:bookmarkStart w:id="57" w:name="_Toc965134885_WPSOffice_Level1"/>
      <w:r>
        <w:rPr>
          <w:rFonts w:hint="eastAsia" w:ascii="黑体" w:hAnsi="黑体"/>
          <w:bCs/>
          <w:color w:val="auto"/>
          <w:highlight w:val="none"/>
          <w:lang w:eastAsia="zh-CN"/>
        </w:rPr>
        <w:t>三、</w:t>
      </w:r>
      <w:r>
        <w:rPr>
          <w:rFonts w:hint="eastAsia" w:ascii="黑体" w:hAnsi="黑体"/>
          <w:bCs/>
          <w:color w:val="auto"/>
          <w:highlight w:val="none"/>
        </w:rPr>
        <w:t>改进意见</w:t>
      </w:r>
      <w:bookmarkEnd w:id="56"/>
      <w:bookmarkEnd w:id="57"/>
    </w:p>
    <w:p>
      <w:pPr>
        <w:pStyle w:val="2"/>
        <w:ind w:left="0" w:leftChars="0" w:firstLine="643" w:firstLineChars="200"/>
        <w:rPr>
          <w:rFonts w:hint="eastAsia" w:ascii="仿宋_GB2312" w:hAnsi="Times New Roman" w:eastAsia="仿宋_GB2312" w:cs="Times New Roman"/>
          <w:b w:val="0"/>
          <w:bCs w:val="0"/>
          <w:color w:val="auto"/>
          <w:kern w:val="2"/>
          <w:sz w:val="32"/>
          <w:szCs w:val="32"/>
          <w:highlight w:val="none"/>
          <w:lang w:val="en-US" w:eastAsia="zh-CN" w:bidi="ar-SA"/>
        </w:rPr>
      </w:pPr>
      <w:r>
        <w:rPr>
          <w:rFonts w:hint="eastAsia" w:ascii="仿宋_GB2312" w:hAnsi="Times New Roman" w:eastAsia="仿宋_GB2312" w:cs="Times New Roman"/>
          <w:b/>
          <w:bCs/>
          <w:color w:val="auto"/>
          <w:kern w:val="2"/>
          <w:sz w:val="32"/>
          <w:szCs w:val="32"/>
          <w:highlight w:val="none"/>
          <w:lang w:val="en-US" w:eastAsia="zh-CN" w:bidi="ar-SA"/>
        </w:rPr>
        <w:t>一是</w:t>
      </w:r>
      <w:r>
        <w:rPr>
          <w:rFonts w:hint="eastAsia" w:ascii="仿宋_GB2312" w:hAnsi="Times New Roman" w:eastAsia="仿宋_GB2312" w:cs="Times New Roman"/>
          <w:b w:val="0"/>
          <w:bCs w:val="0"/>
          <w:color w:val="auto"/>
          <w:kern w:val="2"/>
          <w:sz w:val="32"/>
          <w:szCs w:val="32"/>
          <w:highlight w:val="none"/>
          <w:lang w:val="en-US" w:eastAsia="zh-CN" w:bidi="ar-SA"/>
        </w:rPr>
        <w:t>加强绩效管理，认真落实《中共广东省委 广东省人民政府关于全面实施预算绩效管理的若干意见》（粤发〔2019〕5号）和《广东省省级财政预算绩效目标管理办法（试行）》（粤财绩〔2019〕11号）等有关文件要求，提高绩效目标的完整性、合理性与可衡量性，加强绩效监控，做好绩效评价</w:t>
      </w:r>
      <w:r>
        <w:rPr>
          <w:rFonts w:hint="eastAsia" w:ascii="仿宋" w:hAnsi="仿宋" w:eastAsia="仿宋" w:cs="仿宋"/>
          <w:b w:val="0"/>
          <w:bCs w:val="0"/>
          <w:color w:val="auto"/>
          <w:sz w:val="32"/>
          <w:szCs w:val="32"/>
          <w:highlight w:val="none"/>
          <w:lang w:val="en-US" w:eastAsia="zh-CN"/>
        </w:rPr>
        <w:t>。</w:t>
      </w:r>
      <w:r>
        <w:rPr>
          <w:rFonts w:hint="eastAsia" w:ascii="仿宋_GB2312" w:hAnsi="Times New Roman" w:eastAsia="仿宋_GB2312" w:cs="Times New Roman"/>
          <w:b/>
          <w:bCs/>
          <w:color w:val="auto"/>
          <w:kern w:val="2"/>
          <w:sz w:val="32"/>
          <w:szCs w:val="32"/>
          <w:highlight w:val="none"/>
          <w:lang w:val="en-US" w:eastAsia="zh-CN" w:bidi="ar-SA"/>
        </w:rPr>
        <w:t>二是</w:t>
      </w:r>
      <w:r>
        <w:rPr>
          <w:rFonts w:hint="eastAsia" w:ascii="仿宋_GB2312" w:hAnsi="Times New Roman" w:eastAsia="仿宋_GB2312" w:cs="Times New Roman"/>
          <w:b w:val="0"/>
          <w:bCs w:val="0"/>
          <w:color w:val="auto"/>
          <w:kern w:val="2"/>
          <w:sz w:val="32"/>
          <w:szCs w:val="32"/>
          <w:highlight w:val="none"/>
          <w:lang w:val="en-US" w:eastAsia="zh-CN" w:bidi="ar-SA"/>
        </w:rPr>
        <w:t>优化资金支付流程。针对家禽及蔬菜瓜果应急收储奖补资金项目，</w:t>
      </w:r>
      <w:r>
        <w:rPr>
          <w:rFonts w:hint="default" w:ascii="仿宋_GB2312" w:hAnsi="Times New Roman" w:eastAsia="仿宋_GB2312" w:cs="Times New Roman"/>
          <w:b w:val="0"/>
          <w:bCs w:val="0"/>
          <w:color w:val="auto"/>
          <w:kern w:val="2"/>
          <w:sz w:val="32"/>
          <w:szCs w:val="32"/>
          <w:highlight w:val="none"/>
          <w:lang w:val="en-US" w:eastAsia="zh-CN" w:bidi="ar-SA"/>
        </w:rPr>
        <w:t>建立具有紧急收储</w:t>
      </w:r>
      <w:r>
        <w:rPr>
          <w:rFonts w:hint="eastAsia" w:ascii="仿宋_GB2312" w:hAnsi="Times New Roman" w:eastAsia="仿宋_GB2312" w:cs="Times New Roman"/>
          <w:b w:val="0"/>
          <w:bCs w:val="0"/>
          <w:color w:val="auto"/>
          <w:kern w:val="2"/>
          <w:sz w:val="32"/>
          <w:szCs w:val="32"/>
          <w:highlight w:val="none"/>
          <w:lang w:val="en-US" w:eastAsia="zh-CN" w:bidi="ar-SA"/>
        </w:rPr>
        <w:t>农产品</w:t>
      </w:r>
      <w:r>
        <w:rPr>
          <w:rFonts w:hint="default" w:ascii="仿宋_GB2312" w:hAnsi="Times New Roman" w:eastAsia="仿宋_GB2312" w:cs="Times New Roman"/>
          <w:b w:val="0"/>
          <w:bCs w:val="0"/>
          <w:color w:val="auto"/>
          <w:kern w:val="2"/>
          <w:sz w:val="32"/>
          <w:szCs w:val="32"/>
          <w:highlight w:val="none"/>
          <w:lang w:val="en-US" w:eastAsia="zh-CN" w:bidi="ar-SA"/>
        </w:rPr>
        <w:t>资格的市场主体库名单，确保紧急情况下市场主体的收储能力达到收储要求，保证补贴资金精准快速到位，更好地发挥财政资金效益。</w:t>
      </w:r>
      <w:r>
        <w:rPr>
          <w:rFonts w:hint="eastAsia" w:ascii="仿宋_GB2312" w:hAnsi="Times New Roman" w:eastAsia="仿宋_GB2312" w:cs="Times New Roman"/>
          <w:b/>
          <w:bCs/>
          <w:color w:val="auto"/>
          <w:kern w:val="2"/>
          <w:sz w:val="32"/>
          <w:szCs w:val="32"/>
          <w:highlight w:val="none"/>
          <w:lang w:val="en-US" w:eastAsia="zh-CN" w:bidi="ar-SA"/>
        </w:rPr>
        <w:t>三是</w:t>
      </w:r>
      <w:r>
        <w:rPr>
          <w:rFonts w:hint="eastAsia" w:ascii="仿宋_GB2312" w:hAnsi="Times New Roman" w:eastAsia="仿宋_GB2312" w:cs="Times New Roman"/>
          <w:b w:val="0"/>
          <w:bCs w:val="0"/>
          <w:color w:val="auto"/>
          <w:kern w:val="2"/>
          <w:sz w:val="32"/>
          <w:szCs w:val="32"/>
          <w:highlight w:val="none"/>
          <w:lang w:val="en-US" w:eastAsia="zh-CN" w:bidi="ar-SA"/>
        </w:rPr>
        <w:t>督促市县</w:t>
      </w:r>
      <w:r>
        <w:rPr>
          <w:rFonts w:hint="eastAsia" w:ascii="仿宋_GB2312" w:eastAsia="仿宋_GB2312"/>
          <w:color w:val="auto"/>
          <w:sz w:val="32"/>
          <w:szCs w:val="32"/>
          <w:highlight w:val="none"/>
          <w:lang w:val="en-US" w:eastAsia="zh-CN"/>
        </w:rPr>
        <w:t>红火蚁防控项目</w:t>
      </w:r>
      <w:r>
        <w:rPr>
          <w:rFonts w:hint="eastAsia" w:ascii="仿宋_GB2312" w:hAnsi="Times New Roman" w:eastAsia="仿宋_GB2312" w:cs="Times New Roman"/>
          <w:b w:val="0"/>
          <w:bCs w:val="0"/>
          <w:color w:val="auto"/>
          <w:kern w:val="2"/>
          <w:sz w:val="32"/>
          <w:szCs w:val="32"/>
          <w:highlight w:val="none"/>
          <w:lang w:val="en-US" w:eastAsia="zh-CN" w:bidi="ar-SA"/>
        </w:rPr>
        <w:t>主管部门，加强项目管理，科学合理安排好春秋两季的关键防控工作，按要求完成防控任务。</w:t>
      </w:r>
      <w:r>
        <w:rPr>
          <w:rFonts w:hint="eastAsia" w:ascii="仿宋_GB2312" w:hAnsi="Times New Roman" w:eastAsia="仿宋_GB2312" w:cs="Times New Roman"/>
          <w:b/>
          <w:bCs/>
          <w:color w:val="auto"/>
          <w:kern w:val="2"/>
          <w:sz w:val="32"/>
          <w:szCs w:val="32"/>
          <w:highlight w:val="none"/>
          <w:lang w:val="en-US" w:eastAsia="zh-CN" w:bidi="ar-SA"/>
        </w:rPr>
        <w:t>四是</w:t>
      </w:r>
      <w:r>
        <w:rPr>
          <w:rFonts w:hint="eastAsia" w:ascii="仿宋_GB2312" w:hAnsi="Times New Roman" w:eastAsia="仿宋_GB2312" w:cs="Times New Roman"/>
          <w:b w:val="0"/>
          <w:bCs w:val="0"/>
          <w:color w:val="auto"/>
          <w:kern w:val="2"/>
          <w:sz w:val="32"/>
          <w:szCs w:val="32"/>
          <w:highlight w:val="none"/>
          <w:lang w:val="en-US" w:eastAsia="zh-CN" w:bidi="ar-SA"/>
        </w:rPr>
        <w:t>完善种子应急储备及调拨资金使用管理制度，提高资金使用效率。针对应急种子储备及调拨资金项目中承储单位反映的专项资金使用存在操作难的问题，组织相关专家论证研究，与财政部门进行沟通，希望得到财政部门的指导，尽快补充完善种子应急储备及调拨资金使用操作指南等管理制度。</w:t>
      </w:r>
    </w:p>
    <w:p>
      <w:pPr>
        <w:pStyle w:val="2"/>
        <w:ind w:left="0" w:leftChars="0" w:firstLine="640" w:firstLineChars="200"/>
        <w:rPr>
          <w:rFonts w:hint="eastAsia" w:ascii="仿宋_GB2312" w:hAnsi="Times New Roman" w:eastAsia="仿宋_GB2312" w:cs="Times New Roman"/>
          <w:b w:val="0"/>
          <w:bCs w:val="0"/>
          <w:color w:val="auto"/>
          <w:kern w:val="2"/>
          <w:sz w:val="32"/>
          <w:szCs w:val="32"/>
          <w:highlight w:val="none"/>
          <w:lang w:val="en-US" w:eastAsia="zh-CN" w:bidi="ar-SA"/>
        </w:rPr>
      </w:pPr>
    </w:p>
    <w:p>
      <w:pPr>
        <w:pStyle w:val="2"/>
        <w:ind w:left="0" w:leftChars="0" w:firstLine="640" w:firstLineChars="200"/>
        <w:rPr>
          <w:rFonts w:hint="eastAsia" w:ascii="仿宋_GB2312" w:hAnsi="Times New Roman" w:eastAsia="仿宋_GB2312" w:cs="Times New Roman"/>
          <w:b w:val="0"/>
          <w:bCs w:val="0"/>
          <w:color w:val="auto"/>
          <w:kern w:val="2"/>
          <w:sz w:val="32"/>
          <w:szCs w:val="32"/>
          <w:highlight w:val="none"/>
          <w:lang w:val="en-US" w:eastAsia="zh-CN" w:bidi="ar-SA"/>
        </w:rPr>
      </w:pPr>
    </w:p>
    <w:p>
      <w:pPr>
        <w:pStyle w:val="2"/>
        <w:ind w:left="0" w:leftChars="0" w:firstLine="640" w:firstLineChars="200"/>
        <w:rPr>
          <w:rFonts w:hint="default" w:ascii="仿宋_GB2312" w:hAnsi="Times New Roman" w:eastAsia="仿宋_GB2312" w:cs="Times New Roman"/>
          <w:b w:val="0"/>
          <w:bCs w:val="0"/>
          <w:color w:val="auto"/>
          <w:kern w:val="2"/>
          <w:sz w:val="32"/>
          <w:szCs w:val="32"/>
          <w:highlight w:val="none"/>
          <w:lang w:val="en-US" w:eastAsia="zh-CN" w:bidi="ar-SA"/>
        </w:rPr>
      </w:pPr>
      <w:r>
        <w:rPr>
          <w:rFonts w:hint="default" w:ascii="仿宋_GB2312" w:hAnsi="Times New Roman" w:eastAsia="仿宋_GB2312" w:cs="Times New Roman"/>
          <w:b w:val="0"/>
          <w:bCs w:val="0"/>
          <w:color w:val="auto"/>
          <w:kern w:val="2"/>
          <w:sz w:val="32"/>
          <w:szCs w:val="32"/>
          <w:highlight w:val="none"/>
          <w:lang w:val="en-US" w:eastAsia="zh-CN" w:bidi="ar-SA"/>
        </w:rPr>
        <w:t xml:space="preserve"> </w:t>
      </w:r>
    </w:p>
    <w:p>
      <w:pPr>
        <w:pStyle w:val="2"/>
        <w:rPr>
          <w:rFonts w:hint="default"/>
          <w:color w:val="auto"/>
          <w:highlight w:val="none"/>
          <w:lang w:val="en-US" w:eastAsia="zh-CN"/>
        </w:rPr>
      </w:pPr>
    </w:p>
    <w:sectPr>
      <w:footerReference r:id="rId4" w:type="default"/>
      <w:pgSz w:w="11906" w:h="16838"/>
      <w:pgMar w:top="2041" w:right="1417" w:bottom="1417" w:left="153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方正小标宋简体">
    <w:altName w:val="Arial Unicode MS"/>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书宋_GBK">
    <w:altName w:val="Arial Unicode MS"/>
    <w:panose1 w:val="02000000000000000000"/>
    <w:charset w:val="86"/>
    <w:family w:val="auto"/>
    <w:pitch w:val="default"/>
    <w:sig w:usb0="00000000" w:usb1="00000000" w:usb2="0000000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DejaVu Sans">
    <w:altName w:val="Segoe Print"/>
    <w:panose1 w:val="020B0603030804020204"/>
    <w:charset w:val="00"/>
    <w:family w:val="auto"/>
    <w:pitch w:val="default"/>
    <w:sig w:usb0="00000000" w:usb1="00000000" w:usb2="0A246029" w:usb3="0400200C" w:csb0="600001FF" w:csb1="DFFF0000"/>
  </w:font>
  <w:font w:name="Liberation Serif">
    <w:altName w:val="Traditional Arabic"/>
    <w:panose1 w:val="02020603050405020304"/>
    <w:charset w:val="00"/>
    <w:family w:val="auto"/>
    <w:pitch w:val="default"/>
    <w:sig w:usb0="00000000" w:usb1="00000000" w:usb2="00000000" w:usb3="00000000" w:csb0="6000009F" w:csb1="DFD70000"/>
  </w:font>
  <w:font w:name="楷体">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汉仪仿宋S">
    <w:altName w:val="仿宋"/>
    <w:panose1 w:val="00020600040101000101"/>
    <w:charset w:val="86"/>
    <w:family w:val="auto"/>
    <w:pitch w:val="default"/>
    <w:sig w:usb0="00000000" w:usb1="00000000" w:usb2="00000016" w:usb3="00000000" w:csb0="0004009F" w:csb1="00000000"/>
  </w:font>
  <w:font w:name="汉仪中圆B5">
    <w:altName w:val="Microsoft JhengHei"/>
    <w:panose1 w:val="02010600000101010101"/>
    <w:charset w:val="88"/>
    <w:family w:val="auto"/>
    <w:pitch w:val="default"/>
    <w:sig w:usb0="00000000" w:usb1="00000000" w:usb2="00000002" w:usb3="00000000" w:csb0="00100000" w:csb1="00000000"/>
  </w:font>
  <w:font w:name="等线">
    <w:altName w:val="Segoe Print"/>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Traditional Arabic">
    <w:panose1 w:val="02020603050405020304"/>
    <w:charset w:val="00"/>
    <w:family w:val="auto"/>
    <w:pitch w:val="default"/>
    <w:sig w:usb0="00006003" w:usb1="80000000" w:usb2="00000008" w:usb3="00000000" w:csb0="00000041" w:csb1="2008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posOffset>5238750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12.5pt;margin-top:0pt;height:144pt;width:144pt;mso-position-horizontal-relative:margin;mso-wrap-style:none;z-index:251659264;mso-width-relative:page;mso-height-relative:page;" filled="f" stroked="f" coordsize="21600,21600" o:gfxdata="UEsDBAoAAAAAAIdO4kAAAAAAAAAAAAAAAAAEAAAAZHJzL1BLAwQUAAAACACHTuJAeFCXCtYAAAAJ&#10;AQAADwAAAGRycy9kb3ducmV2LnhtbE2PzU7DMBCE70i8g7VI3KidFFAU4lSiIhyRaHrg6MZLktY/&#10;ke2m4e3ZnuCy2tWMZr+pNos1bMYQR+8kZCsBDF3n9eh6Cfu2eSiAxaScVsY7lPCDETb17U2lSu0v&#10;7hPnXeoZhbhYKglDSlPJeewGtCqu/ISOtG8frEp0hp7roC4Ubg3PhXjmVo2OPgxqwu2A3Wl3thK2&#10;TduGGWMwX/jerI8fr4/4tkh5f5eJF2AJl/Rnhis+oUNNTAd/djoyI6HIn6hLkkDzKmfZmraDhLwo&#10;BPC64v8b1L9QSwMEFAAAAAgAh07iQHP4ZNkPAgAABwQAAA4AAABkcnMvZTJvRG9jLnhtbK1TzY7T&#10;MBC+I/EOlu80aRGrqmq6KrsqQqrYlQri7DpOE8l/st0m5QHgDThx4c5z9Tn47CRdBJwQF3vsGX8z&#10;883n5W2nJDkJ5xujCzqd5JQIzU3Z6ENBP7zfvJhT4gPTJZNGi4Kehae3q+fPlq1diJmpjSyFIwDR&#10;ftHagtYh2EWWeV4LxfzEWKHhrIxTLODoDlnpWAt0JbNZnt9krXGldYYL73F73zvpKuFXleDhoaq8&#10;CEQWFLWFtLq07uOarZZscXDM1g0fymD/UIVijUbSK9Q9C4wcXfMHlGq4M95UYcKNykxVNVykHtDN&#10;NP+tm13NrEi9gBxvrzT5/wfL350eHWnKgs4o0UxhRJevXy7ffly+fyazSE9r/QJRO4u40L02HcY8&#10;3ntcxq67yqm4ox8CP4g+X8kVXSA8PprP5vMcLg7feAB+9vTcOh/eCKNINArqML1EKjttfehDx5CY&#10;TZtNI2WaoNSkLejNy1d5enD1AFxq5IhN9MVGK3T7buhsb8ozGnOmV4a3fNMg+Zb58MgcpICCIe/w&#10;gKWSBknMYFFSG/fpb/cxHhOCl5IW0iqohvYpkW81JhdVOBpuNPajoY/qzkCrU3wby5OJBy7I0ayc&#10;UR+h+XXMARfTHJkKGkbzLvTyxp/hYr1OQdCaZWGrd5ZH6Eiet+tjAIGJ10hKz8TAFdSWJjP8jCjn&#10;X88p6un/rn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eFCXCtYAAAAJAQAADwAAAAAAAAABACAA&#10;AAAiAAAAZHJzL2Rvd25yZXYueG1sUEsBAhQAFAAAAAgAh07iQHP4ZNkPAgAABwQAAA4AAAAAAAAA&#10;AQAgAAAAJQEAAGRycy9lMm9Eb2MueG1sUEsFBgAAAAAGAAYAWQEAAKYFAAAAAA==&#10;">
              <v:fill on="f" focussize="0,0"/>
              <v:stroke on="f" weight="0.5pt"/>
              <v:imagedata o:title=""/>
              <o:lock v:ext="edit" aspectratio="f"/>
              <v:textbox inset="0mm,0mm,0mm,0mm" style="mso-fit-shape-to-text:t;">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C6E4E3"/>
    <w:multiLevelType w:val="singleLevel"/>
    <w:tmpl w:val="D4C6E4E3"/>
    <w:lvl w:ilvl="0" w:tentative="0">
      <w:start w:val="4"/>
      <w:numFmt w:val="chineseCounting"/>
      <w:suff w:val="nothing"/>
      <w:lvlText w:val="（%1）"/>
      <w:lvlJc w:val="left"/>
      <w:rPr>
        <w:rFonts w:hint="eastAsia"/>
      </w:rPr>
    </w:lvl>
  </w:abstractNum>
  <w:abstractNum w:abstractNumId="1">
    <w:nsid w:val="E37DF7A5"/>
    <w:multiLevelType w:val="singleLevel"/>
    <w:tmpl w:val="E37DF7A5"/>
    <w:lvl w:ilvl="0" w:tentative="0">
      <w:start w:val="1"/>
      <w:numFmt w:val="decimal"/>
      <w:suff w:val="nothing"/>
      <w:lvlText w:val="（%1）"/>
      <w:lvlJc w:val="left"/>
    </w:lvl>
  </w:abstractNum>
  <w:abstractNum w:abstractNumId="2">
    <w:nsid w:val="3BF92EB9"/>
    <w:multiLevelType w:val="singleLevel"/>
    <w:tmpl w:val="3BF92EB9"/>
    <w:lvl w:ilvl="0" w:tentative="0">
      <w:start w:val="1"/>
      <w:numFmt w:val="chineseCounting"/>
      <w:suff w:val="nothing"/>
      <w:lvlText w:val="（%1）"/>
      <w:lvlJc w:val="left"/>
      <w:rPr>
        <w:rFonts w:hint="eastAsia"/>
      </w:rPr>
    </w:lvl>
  </w:abstractNum>
  <w:abstractNum w:abstractNumId="3">
    <w:nsid w:val="3EA02A3A"/>
    <w:multiLevelType w:val="singleLevel"/>
    <w:tmpl w:val="3EA02A3A"/>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D0"/>
    <w:rsid w:val="00007C1C"/>
    <w:rsid w:val="00024539"/>
    <w:rsid w:val="00041063"/>
    <w:rsid w:val="00062AC8"/>
    <w:rsid w:val="00077799"/>
    <w:rsid w:val="000A7DF1"/>
    <w:rsid w:val="000B5C8C"/>
    <w:rsid w:val="000C38BD"/>
    <w:rsid w:val="000D6714"/>
    <w:rsid w:val="001077D4"/>
    <w:rsid w:val="001405D4"/>
    <w:rsid w:val="00152B67"/>
    <w:rsid w:val="00152C65"/>
    <w:rsid w:val="00155962"/>
    <w:rsid w:val="00156E6F"/>
    <w:rsid w:val="00175145"/>
    <w:rsid w:val="001D10EA"/>
    <w:rsid w:val="001D5A64"/>
    <w:rsid w:val="001E064D"/>
    <w:rsid w:val="001F1426"/>
    <w:rsid w:val="0021570B"/>
    <w:rsid w:val="00215CAF"/>
    <w:rsid w:val="0029042F"/>
    <w:rsid w:val="002B7B74"/>
    <w:rsid w:val="003138A7"/>
    <w:rsid w:val="00316B5A"/>
    <w:rsid w:val="003221D0"/>
    <w:rsid w:val="003364A6"/>
    <w:rsid w:val="00345D75"/>
    <w:rsid w:val="0035018B"/>
    <w:rsid w:val="00357D7D"/>
    <w:rsid w:val="00362AEC"/>
    <w:rsid w:val="0039133F"/>
    <w:rsid w:val="003B748E"/>
    <w:rsid w:val="003D7939"/>
    <w:rsid w:val="003E3DC4"/>
    <w:rsid w:val="004269BE"/>
    <w:rsid w:val="00453821"/>
    <w:rsid w:val="0045687C"/>
    <w:rsid w:val="00487168"/>
    <w:rsid w:val="00490666"/>
    <w:rsid w:val="00497A3F"/>
    <w:rsid w:val="004B3401"/>
    <w:rsid w:val="004D7A4A"/>
    <w:rsid w:val="004E2F46"/>
    <w:rsid w:val="00504CD1"/>
    <w:rsid w:val="005174F1"/>
    <w:rsid w:val="00523683"/>
    <w:rsid w:val="005410E6"/>
    <w:rsid w:val="0058684A"/>
    <w:rsid w:val="00593C61"/>
    <w:rsid w:val="005B1699"/>
    <w:rsid w:val="005B2A60"/>
    <w:rsid w:val="005D7252"/>
    <w:rsid w:val="005F65B7"/>
    <w:rsid w:val="006258D1"/>
    <w:rsid w:val="00651E73"/>
    <w:rsid w:val="00652306"/>
    <w:rsid w:val="00674B42"/>
    <w:rsid w:val="006B162A"/>
    <w:rsid w:val="006B2426"/>
    <w:rsid w:val="006B7C4F"/>
    <w:rsid w:val="006F4782"/>
    <w:rsid w:val="0071275A"/>
    <w:rsid w:val="007448F8"/>
    <w:rsid w:val="00745F9C"/>
    <w:rsid w:val="007463AC"/>
    <w:rsid w:val="00751C20"/>
    <w:rsid w:val="00793C1E"/>
    <w:rsid w:val="007B228A"/>
    <w:rsid w:val="007B2BA6"/>
    <w:rsid w:val="007D5CA2"/>
    <w:rsid w:val="007F3FFF"/>
    <w:rsid w:val="007F6541"/>
    <w:rsid w:val="00850A26"/>
    <w:rsid w:val="008A481B"/>
    <w:rsid w:val="008D45AB"/>
    <w:rsid w:val="008E5456"/>
    <w:rsid w:val="008F123E"/>
    <w:rsid w:val="008F1E2D"/>
    <w:rsid w:val="008F1E5E"/>
    <w:rsid w:val="008F6122"/>
    <w:rsid w:val="009006A6"/>
    <w:rsid w:val="00904413"/>
    <w:rsid w:val="00912EFE"/>
    <w:rsid w:val="00963A95"/>
    <w:rsid w:val="00975DE8"/>
    <w:rsid w:val="009A76BF"/>
    <w:rsid w:val="009B381C"/>
    <w:rsid w:val="009C185D"/>
    <w:rsid w:val="009D387C"/>
    <w:rsid w:val="009F365C"/>
    <w:rsid w:val="009F38E3"/>
    <w:rsid w:val="00A15BDD"/>
    <w:rsid w:val="00A42722"/>
    <w:rsid w:val="00A562D2"/>
    <w:rsid w:val="00AA6FD0"/>
    <w:rsid w:val="00AB42D9"/>
    <w:rsid w:val="00AC4792"/>
    <w:rsid w:val="00AE1C03"/>
    <w:rsid w:val="00AF2BA8"/>
    <w:rsid w:val="00B81707"/>
    <w:rsid w:val="00B97B3C"/>
    <w:rsid w:val="00BD2451"/>
    <w:rsid w:val="00BD61DF"/>
    <w:rsid w:val="00BE358B"/>
    <w:rsid w:val="00C02459"/>
    <w:rsid w:val="00C4222E"/>
    <w:rsid w:val="00C666BA"/>
    <w:rsid w:val="00C731CD"/>
    <w:rsid w:val="00C77F18"/>
    <w:rsid w:val="00C81F0F"/>
    <w:rsid w:val="00CC6A27"/>
    <w:rsid w:val="00CD2355"/>
    <w:rsid w:val="00CD36CE"/>
    <w:rsid w:val="00CF1750"/>
    <w:rsid w:val="00D60F67"/>
    <w:rsid w:val="00D943CE"/>
    <w:rsid w:val="00DE799A"/>
    <w:rsid w:val="00E05F81"/>
    <w:rsid w:val="00E16108"/>
    <w:rsid w:val="00E33F3C"/>
    <w:rsid w:val="00E8376A"/>
    <w:rsid w:val="00E94B36"/>
    <w:rsid w:val="00EA19CC"/>
    <w:rsid w:val="00EB1F1E"/>
    <w:rsid w:val="00F01828"/>
    <w:rsid w:val="00F12244"/>
    <w:rsid w:val="00F66928"/>
    <w:rsid w:val="00F67C07"/>
    <w:rsid w:val="00F801C8"/>
    <w:rsid w:val="00FB6015"/>
    <w:rsid w:val="00FC03E5"/>
    <w:rsid w:val="00FE7094"/>
    <w:rsid w:val="01627210"/>
    <w:rsid w:val="0171095C"/>
    <w:rsid w:val="017B2084"/>
    <w:rsid w:val="018D7851"/>
    <w:rsid w:val="01A21D74"/>
    <w:rsid w:val="01AB01A5"/>
    <w:rsid w:val="01F525CE"/>
    <w:rsid w:val="023F5CB3"/>
    <w:rsid w:val="02651338"/>
    <w:rsid w:val="02792BEA"/>
    <w:rsid w:val="027F7101"/>
    <w:rsid w:val="02877425"/>
    <w:rsid w:val="0293741E"/>
    <w:rsid w:val="02C46E62"/>
    <w:rsid w:val="0378149E"/>
    <w:rsid w:val="0397336C"/>
    <w:rsid w:val="03E67CD5"/>
    <w:rsid w:val="03FC10D0"/>
    <w:rsid w:val="04325BFC"/>
    <w:rsid w:val="043C5883"/>
    <w:rsid w:val="04742A5B"/>
    <w:rsid w:val="04896D7D"/>
    <w:rsid w:val="049411A1"/>
    <w:rsid w:val="04A81DBC"/>
    <w:rsid w:val="04AA161D"/>
    <w:rsid w:val="04D35F3E"/>
    <w:rsid w:val="04DB4634"/>
    <w:rsid w:val="04E1731F"/>
    <w:rsid w:val="04E51356"/>
    <w:rsid w:val="04F77FB2"/>
    <w:rsid w:val="051B26EE"/>
    <w:rsid w:val="057633A2"/>
    <w:rsid w:val="065A63C9"/>
    <w:rsid w:val="067351E3"/>
    <w:rsid w:val="06825279"/>
    <w:rsid w:val="06AD336D"/>
    <w:rsid w:val="06B43FED"/>
    <w:rsid w:val="06DD3DEA"/>
    <w:rsid w:val="06EE6530"/>
    <w:rsid w:val="06F43BCC"/>
    <w:rsid w:val="073019F2"/>
    <w:rsid w:val="074B3A16"/>
    <w:rsid w:val="076F2ECD"/>
    <w:rsid w:val="07B246D1"/>
    <w:rsid w:val="07B861A8"/>
    <w:rsid w:val="07BC4290"/>
    <w:rsid w:val="07BD60E0"/>
    <w:rsid w:val="07E45036"/>
    <w:rsid w:val="083A4841"/>
    <w:rsid w:val="08620CB8"/>
    <w:rsid w:val="088F1FB5"/>
    <w:rsid w:val="08D7729F"/>
    <w:rsid w:val="091D6427"/>
    <w:rsid w:val="09747564"/>
    <w:rsid w:val="09F059D3"/>
    <w:rsid w:val="09FC19D9"/>
    <w:rsid w:val="0A8061E2"/>
    <w:rsid w:val="0AC41700"/>
    <w:rsid w:val="0B0E299C"/>
    <w:rsid w:val="0B1B6555"/>
    <w:rsid w:val="0B390286"/>
    <w:rsid w:val="0B411B58"/>
    <w:rsid w:val="0BD3517F"/>
    <w:rsid w:val="0BDB6102"/>
    <w:rsid w:val="0C2942B6"/>
    <w:rsid w:val="0C2C46AF"/>
    <w:rsid w:val="0C6979A0"/>
    <w:rsid w:val="0C697BC1"/>
    <w:rsid w:val="0CA4455C"/>
    <w:rsid w:val="0CBC71FC"/>
    <w:rsid w:val="0CE551DA"/>
    <w:rsid w:val="0D1F4C0C"/>
    <w:rsid w:val="0D535AC4"/>
    <w:rsid w:val="0D65079D"/>
    <w:rsid w:val="0DCA3E55"/>
    <w:rsid w:val="0E773AB4"/>
    <w:rsid w:val="0EAC20A6"/>
    <w:rsid w:val="0EC10CAD"/>
    <w:rsid w:val="0EFC543F"/>
    <w:rsid w:val="0F7A7C39"/>
    <w:rsid w:val="0F9A1334"/>
    <w:rsid w:val="0FC740E3"/>
    <w:rsid w:val="0FD41694"/>
    <w:rsid w:val="0FDB0895"/>
    <w:rsid w:val="1025078F"/>
    <w:rsid w:val="102E70B1"/>
    <w:rsid w:val="105F083F"/>
    <w:rsid w:val="10813B7B"/>
    <w:rsid w:val="10A57D1A"/>
    <w:rsid w:val="10FA444E"/>
    <w:rsid w:val="10FD05CA"/>
    <w:rsid w:val="1119786B"/>
    <w:rsid w:val="113A15B2"/>
    <w:rsid w:val="115D27D4"/>
    <w:rsid w:val="11D74F0A"/>
    <w:rsid w:val="11F50BAB"/>
    <w:rsid w:val="121D5ECA"/>
    <w:rsid w:val="12640487"/>
    <w:rsid w:val="12BF1CCA"/>
    <w:rsid w:val="12E1125E"/>
    <w:rsid w:val="12F82822"/>
    <w:rsid w:val="13554D0D"/>
    <w:rsid w:val="13773B6E"/>
    <w:rsid w:val="13822027"/>
    <w:rsid w:val="13917638"/>
    <w:rsid w:val="13A51F52"/>
    <w:rsid w:val="13C604CB"/>
    <w:rsid w:val="13F07F40"/>
    <w:rsid w:val="14180C5D"/>
    <w:rsid w:val="141A2D37"/>
    <w:rsid w:val="141F532D"/>
    <w:rsid w:val="142563D6"/>
    <w:rsid w:val="14636EE2"/>
    <w:rsid w:val="14B41373"/>
    <w:rsid w:val="14C86408"/>
    <w:rsid w:val="15123642"/>
    <w:rsid w:val="151C4D63"/>
    <w:rsid w:val="152D7AB0"/>
    <w:rsid w:val="1589255F"/>
    <w:rsid w:val="15A60BEE"/>
    <w:rsid w:val="15D92A75"/>
    <w:rsid w:val="16092441"/>
    <w:rsid w:val="161E32D2"/>
    <w:rsid w:val="16254AE6"/>
    <w:rsid w:val="16716FA4"/>
    <w:rsid w:val="16DF75C9"/>
    <w:rsid w:val="16FA2DF7"/>
    <w:rsid w:val="17072E0B"/>
    <w:rsid w:val="170A5BDD"/>
    <w:rsid w:val="17235D0D"/>
    <w:rsid w:val="17263F93"/>
    <w:rsid w:val="175D717B"/>
    <w:rsid w:val="17774FE0"/>
    <w:rsid w:val="1788578F"/>
    <w:rsid w:val="180C6EEA"/>
    <w:rsid w:val="18295A65"/>
    <w:rsid w:val="18357721"/>
    <w:rsid w:val="18AE56AA"/>
    <w:rsid w:val="18AE757C"/>
    <w:rsid w:val="18B1753E"/>
    <w:rsid w:val="18BB66A4"/>
    <w:rsid w:val="19173FA3"/>
    <w:rsid w:val="1938714C"/>
    <w:rsid w:val="19421E45"/>
    <w:rsid w:val="196832B1"/>
    <w:rsid w:val="198E23BD"/>
    <w:rsid w:val="19C64E27"/>
    <w:rsid w:val="1A0003E6"/>
    <w:rsid w:val="1A062B69"/>
    <w:rsid w:val="1A117861"/>
    <w:rsid w:val="1A181932"/>
    <w:rsid w:val="1A1E464B"/>
    <w:rsid w:val="1A3721FE"/>
    <w:rsid w:val="1A4C3B8C"/>
    <w:rsid w:val="1A6311B0"/>
    <w:rsid w:val="1A64095A"/>
    <w:rsid w:val="1A757977"/>
    <w:rsid w:val="1A8515E3"/>
    <w:rsid w:val="1A932028"/>
    <w:rsid w:val="1A9349CF"/>
    <w:rsid w:val="1A98752E"/>
    <w:rsid w:val="1A9D29EF"/>
    <w:rsid w:val="1AA62EEA"/>
    <w:rsid w:val="1ABF03F9"/>
    <w:rsid w:val="1AC2509B"/>
    <w:rsid w:val="1AFF5A14"/>
    <w:rsid w:val="1B0B5181"/>
    <w:rsid w:val="1B886D96"/>
    <w:rsid w:val="1BF52B62"/>
    <w:rsid w:val="1C026A0B"/>
    <w:rsid w:val="1C0A1177"/>
    <w:rsid w:val="1C8F7C2B"/>
    <w:rsid w:val="1C9E4BCD"/>
    <w:rsid w:val="1CA11FF8"/>
    <w:rsid w:val="1CBC6798"/>
    <w:rsid w:val="1D277A67"/>
    <w:rsid w:val="1D505A3B"/>
    <w:rsid w:val="1D795CBF"/>
    <w:rsid w:val="1D8001CF"/>
    <w:rsid w:val="1DA05FD2"/>
    <w:rsid w:val="1DEC768B"/>
    <w:rsid w:val="1DEF79DF"/>
    <w:rsid w:val="1DF970B3"/>
    <w:rsid w:val="1E006219"/>
    <w:rsid w:val="1E024C20"/>
    <w:rsid w:val="1E2B5FD7"/>
    <w:rsid w:val="1E377AF7"/>
    <w:rsid w:val="1E43742A"/>
    <w:rsid w:val="1E633573"/>
    <w:rsid w:val="1E6F292C"/>
    <w:rsid w:val="1F08402C"/>
    <w:rsid w:val="1F0D0CB8"/>
    <w:rsid w:val="1F293EAF"/>
    <w:rsid w:val="1F3F3924"/>
    <w:rsid w:val="1F647B16"/>
    <w:rsid w:val="1F705D0A"/>
    <w:rsid w:val="1F890903"/>
    <w:rsid w:val="1F974213"/>
    <w:rsid w:val="202A39BE"/>
    <w:rsid w:val="206D1D81"/>
    <w:rsid w:val="20DF2DB0"/>
    <w:rsid w:val="20FD68B8"/>
    <w:rsid w:val="215F5BE1"/>
    <w:rsid w:val="21640C0A"/>
    <w:rsid w:val="2165149E"/>
    <w:rsid w:val="21725522"/>
    <w:rsid w:val="217B0B0F"/>
    <w:rsid w:val="217C78EF"/>
    <w:rsid w:val="21B40EDE"/>
    <w:rsid w:val="220E301C"/>
    <w:rsid w:val="2217141E"/>
    <w:rsid w:val="22375DF4"/>
    <w:rsid w:val="22987546"/>
    <w:rsid w:val="22A653F8"/>
    <w:rsid w:val="22BE77E2"/>
    <w:rsid w:val="230C646B"/>
    <w:rsid w:val="235924C7"/>
    <w:rsid w:val="23853B19"/>
    <w:rsid w:val="238E074C"/>
    <w:rsid w:val="238E5E2D"/>
    <w:rsid w:val="23E13761"/>
    <w:rsid w:val="23F303BA"/>
    <w:rsid w:val="242108ED"/>
    <w:rsid w:val="24232EE3"/>
    <w:rsid w:val="246D78D9"/>
    <w:rsid w:val="24727313"/>
    <w:rsid w:val="249A7F71"/>
    <w:rsid w:val="249C5B04"/>
    <w:rsid w:val="24A23D4C"/>
    <w:rsid w:val="24CB0C86"/>
    <w:rsid w:val="24DA0B4C"/>
    <w:rsid w:val="24E50E2F"/>
    <w:rsid w:val="251A461B"/>
    <w:rsid w:val="257A0CB0"/>
    <w:rsid w:val="259B628F"/>
    <w:rsid w:val="25BF2E34"/>
    <w:rsid w:val="25F71E07"/>
    <w:rsid w:val="262D631C"/>
    <w:rsid w:val="26470278"/>
    <w:rsid w:val="265A16A0"/>
    <w:rsid w:val="2668128F"/>
    <w:rsid w:val="26982C97"/>
    <w:rsid w:val="26AB6AB9"/>
    <w:rsid w:val="26E40B20"/>
    <w:rsid w:val="270A6B48"/>
    <w:rsid w:val="276E0050"/>
    <w:rsid w:val="27B11977"/>
    <w:rsid w:val="283B2DC7"/>
    <w:rsid w:val="28574095"/>
    <w:rsid w:val="28615C27"/>
    <w:rsid w:val="28650EAB"/>
    <w:rsid w:val="28755B1F"/>
    <w:rsid w:val="2888071D"/>
    <w:rsid w:val="28A222F8"/>
    <w:rsid w:val="28B7073C"/>
    <w:rsid w:val="28ED019C"/>
    <w:rsid w:val="292306AD"/>
    <w:rsid w:val="294B6BC8"/>
    <w:rsid w:val="29937C68"/>
    <w:rsid w:val="29943A04"/>
    <w:rsid w:val="29BB5E34"/>
    <w:rsid w:val="29E34F1A"/>
    <w:rsid w:val="29E544E7"/>
    <w:rsid w:val="29E64A91"/>
    <w:rsid w:val="2A215464"/>
    <w:rsid w:val="2A735E13"/>
    <w:rsid w:val="2A8A1F00"/>
    <w:rsid w:val="2A8F2F3A"/>
    <w:rsid w:val="2ADC699A"/>
    <w:rsid w:val="2AFE0DAF"/>
    <w:rsid w:val="2B03110E"/>
    <w:rsid w:val="2B1D2653"/>
    <w:rsid w:val="2B4E0F5E"/>
    <w:rsid w:val="2BA063FA"/>
    <w:rsid w:val="2BC44E2A"/>
    <w:rsid w:val="2BD4056E"/>
    <w:rsid w:val="2C045177"/>
    <w:rsid w:val="2CC578D1"/>
    <w:rsid w:val="2CCC2AC0"/>
    <w:rsid w:val="2CF268CC"/>
    <w:rsid w:val="2CF34BD4"/>
    <w:rsid w:val="2D191EBA"/>
    <w:rsid w:val="2D306B61"/>
    <w:rsid w:val="2D341991"/>
    <w:rsid w:val="2D400CEC"/>
    <w:rsid w:val="2D61555D"/>
    <w:rsid w:val="2D8522DC"/>
    <w:rsid w:val="2DB6680D"/>
    <w:rsid w:val="2DC234A9"/>
    <w:rsid w:val="2E103E50"/>
    <w:rsid w:val="2E104919"/>
    <w:rsid w:val="2E5E5779"/>
    <w:rsid w:val="2E7F7EB2"/>
    <w:rsid w:val="2EC54FFE"/>
    <w:rsid w:val="2EDE33AB"/>
    <w:rsid w:val="2F0156EA"/>
    <w:rsid w:val="2F5B03C6"/>
    <w:rsid w:val="2F8B6E46"/>
    <w:rsid w:val="2FA637BB"/>
    <w:rsid w:val="2FBE574C"/>
    <w:rsid w:val="2FD31FC4"/>
    <w:rsid w:val="2FE57AEC"/>
    <w:rsid w:val="307B7C54"/>
    <w:rsid w:val="309836C0"/>
    <w:rsid w:val="30A8164B"/>
    <w:rsid w:val="30E613D5"/>
    <w:rsid w:val="30FC7FB5"/>
    <w:rsid w:val="31066357"/>
    <w:rsid w:val="310D6A0C"/>
    <w:rsid w:val="31112FB8"/>
    <w:rsid w:val="322D2025"/>
    <w:rsid w:val="323C737B"/>
    <w:rsid w:val="324A4BBD"/>
    <w:rsid w:val="32505226"/>
    <w:rsid w:val="328726C9"/>
    <w:rsid w:val="328F4B4C"/>
    <w:rsid w:val="329B1B53"/>
    <w:rsid w:val="32B6153E"/>
    <w:rsid w:val="333D22CA"/>
    <w:rsid w:val="335D3069"/>
    <w:rsid w:val="33664349"/>
    <w:rsid w:val="33BA34F4"/>
    <w:rsid w:val="33CD65D6"/>
    <w:rsid w:val="34384578"/>
    <w:rsid w:val="34505616"/>
    <w:rsid w:val="3481653F"/>
    <w:rsid w:val="34BE582A"/>
    <w:rsid w:val="34D273D8"/>
    <w:rsid w:val="34F313C3"/>
    <w:rsid w:val="352B3CEA"/>
    <w:rsid w:val="356979AE"/>
    <w:rsid w:val="356E0774"/>
    <w:rsid w:val="35895AED"/>
    <w:rsid w:val="35B95099"/>
    <w:rsid w:val="35C61DC8"/>
    <w:rsid w:val="35E02176"/>
    <w:rsid w:val="35EB0C0B"/>
    <w:rsid w:val="36253076"/>
    <w:rsid w:val="362B66F7"/>
    <w:rsid w:val="365264A3"/>
    <w:rsid w:val="36633EA0"/>
    <w:rsid w:val="366505C0"/>
    <w:rsid w:val="36931F4E"/>
    <w:rsid w:val="36973134"/>
    <w:rsid w:val="369D4AFB"/>
    <w:rsid w:val="36A47D9E"/>
    <w:rsid w:val="36B35909"/>
    <w:rsid w:val="36D80B7F"/>
    <w:rsid w:val="36DB4345"/>
    <w:rsid w:val="36EC58E0"/>
    <w:rsid w:val="36F01248"/>
    <w:rsid w:val="37286BFC"/>
    <w:rsid w:val="37300C14"/>
    <w:rsid w:val="373C710A"/>
    <w:rsid w:val="37F3463A"/>
    <w:rsid w:val="37F90C82"/>
    <w:rsid w:val="381456D7"/>
    <w:rsid w:val="38263DA0"/>
    <w:rsid w:val="386C1915"/>
    <w:rsid w:val="38742402"/>
    <w:rsid w:val="388B09FA"/>
    <w:rsid w:val="38915C50"/>
    <w:rsid w:val="39055C49"/>
    <w:rsid w:val="397E69BE"/>
    <w:rsid w:val="39876C41"/>
    <w:rsid w:val="399D4DF5"/>
    <w:rsid w:val="39DC57EE"/>
    <w:rsid w:val="3A120531"/>
    <w:rsid w:val="3A2B180B"/>
    <w:rsid w:val="3A4A4F03"/>
    <w:rsid w:val="3A6406C3"/>
    <w:rsid w:val="3A672E20"/>
    <w:rsid w:val="3A8E5908"/>
    <w:rsid w:val="3ADA3776"/>
    <w:rsid w:val="3B055E84"/>
    <w:rsid w:val="3B432B4A"/>
    <w:rsid w:val="3B4D5FE3"/>
    <w:rsid w:val="3B825CC6"/>
    <w:rsid w:val="3B9552C2"/>
    <w:rsid w:val="3B97203E"/>
    <w:rsid w:val="3BA93FC4"/>
    <w:rsid w:val="3BC30761"/>
    <w:rsid w:val="3BDD6EFB"/>
    <w:rsid w:val="3BEB6F06"/>
    <w:rsid w:val="3BF34CA2"/>
    <w:rsid w:val="3C221152"/>
    <w:rsid w:val="3C3B7D69"/>
    <w:rsid w:val="3C49121B"/>
    <w:rsid w:val="3C906486"/>
    <w:rsid w:val="3CCB705B"/>
    <w:rsid w:val="3CE50D05"/>
    <w:rsid w:val="3D20116D"/>
    <w:rsid w:val="3D3122AD"/>
    <w:rsid w:val="3D4536DB"/>
    <w:rsid w:val="3D544521"/>
    <w:rsid w:val="3D602918"/>
    <w:rsid w:val="3D8375CF"/>
    <w:rsid w:val="3DB251DC"/>
    <w:rsid w:val="3DFC6F2A"/>
    <w:rsid w:val="3DFF0D90"/>
    <w:rsid w:val="3E65491C"/>
    <w:rsid w:val="3E9F214D"/>
    <w:rsid w:val="3EA15B24"/>
    <w:rsid w:val="3EAB664F"/>
    <w:rsid w:val="3ECC3D62"/>
    <w:rsid w:val="3EDE5957"/>
    <w:rsid w:val="3F4C4AAC"/>
    <w:rsid w:val="3FA353D1"/>
    <w:rsid w:val="3FFC3EE0"/>
    <w:rsid w:val="40285734"/>
    <w:rsid w:val="404606C5"/>
    <w:rsid w:val="404F43F2"/>
    <w:rsid w:val="40C33E8C"/>
    <w:rsid w:val="40C47A66"/>
    <w:rsid w:val="40C50C06"/>
    <w:rsid w:val="40CF0E2E"/>
    <w:rsid w:val="40D375B3"/>
    <w:rsid w:val="40D52CD4"/>
    <w:rsid w:val="40DC0547"/>
    <w:rsid w:val="40F22086"/>
    <w:rsid w:val="410055EA"/>
    <w:rsid w:val="410B5F36"/>
    <w:rsid w:val="411A496E"/>
    <w:rsid w:val="413B4A9E"/>
    <w:rsid w:val="414554EA"/>
    <w:rsid w:val="41734B32"/>
    <w:rsid w:val="41985742"/>
    <w:rsid w:val="41A767BA"/>
    <w:rsid w:val="42030EFA"/>
    <w:rsid w:val="420600B5"/>
    <w:rsid w:val="42137E49"/>
    <w:rsid w:val="423B491C"/>
    <w:rsid w:val="423E34FC"/>
    <w:rsid w:val="427E23AB"/>
    <w:rsid w:val="42AD30F5"/>
    <w:rsid w:val="42FF280A"/>
    <w:rsid w:val="430A7A25"/>
    <w:rsid w:val="43291DB2"/>
    <w:rsid w:val="43597FF0"/>
    <w:rsid w:val="435D7F7A"/>
    <w:rsid w:val="436B059C"/>
    <w:rsid w:val="436C6FF9"/>
    <w:rsid w:val="4372602B"/>
    <w:rsid w:val="438117CF"/>
    <w:rsid w:val="43997839"/>
    <w:rsid w:val="44B10EE9"/>
    <w:rsid w:val="44C74BFE"/>
    <w:rsid w:val="45325EA8"/>
    <w:rsid w:val="456D228A"/>
    <w:rsid w:val="45D67A09"/>
    <w:rsid w:val="45F73B10"/>
    <w:rsid w:val="46692CE5"/>
    <w:rsid w:val="466A6B0C"/>
    <w:rsid w:val="46A67EFA"/>
    <w:rsid w:val="46BE4002"/>
    <w:rsid w:val="46C37154"/>
    <w:rsid w:val="470D05B5"/>
    <w:rsid w:val="470E016E"/>
    <w:rsid w:val="475C5B96"/>
    <w:rsid w:val="476E292E"/>
    <w:rsid w:val="47B55C38"/>
    <w:rsid w:val="47E04B82"/>
    <w:rsid w:val="480B4E1D"/>
    <w:rsid w:val="4837659A"/>
    <w:rsid w:val="48912283"/>
    <w:rsid w:val="492B0560"/>
    <w:rsid w:val="496013F6"/>
    <w:rsid w:val="49891431"/>
    <w:rsid w:val="49924968"/>
    <w:rsid w:val="49A31940"/>
    <w:rsid w:val="49A54E81"/>
    <w:rsid w:val="49AA5DF0"/>
    <w:rsid w:val="49B72CF1"/>
    <w:rsid w:val="49E51357"/>
    <w:rsid w:val="4A5E7304"/>
    <w:rsid w:val="4ACF253B"/>
    <w:rsid w:val="4AEE4E55"/>
    <w:rsid w:val="4B2E1F51"/>
    <w:rsid w:val="4B4675A6"/>
    <w:rsid w:val="4B655078"/>
    <w:rsid w:val="4B790B54"/>
    <w:rsid w:val="4B831C64"/>
    <w:rsid w:val="4B9750EA"/>
    <w:rsid w:val="4BB44E59"/>
    <w:rsid w:val="4BCD10AB"/>
    <w:rsid w:val="4BFC7E29"/>
    <w:rsid w:val="4C082092"/>
    <w:rsid w:val="4C1314B6"/>
    <w:rsid w:val="4C161E30"/>
    <w:rsid w:val="4C1C30CF"/>
    <w:rsid w:val="4C7873AB"/>
    <w:rsid w:val="4C7B348D"/>
    <w:rsid w:val="4C82561F"/>
    <w:rsid w:val="4C9C309D"/>
    <w:rsid w:val="4CD15E24"/>
    <w:rsid w:val="4D2D4F03"/>
    <w:rsid w:val="4D433C85"/>
    <w:rsid w:val="4D4914C0"/>
    <w:rsid w:val="4D71452F"/>
    <w:rsid w:val="4D734E69"/>
    <w:rsid w:val="4D971D71"/>
    <w:rsid w:val="4DB4008D"/>
    <w:rsid w:val="4DC1358A"/>
    <w:rsid w:val="4DC94F7A"/>
    <w:rsid w:val="4DD106AC"/>
    <w:rsid w:val="4DED3AAA"/>
    <w:rsid w:val="4E074DBD"/>
    <w:rsid w:val="4E3D13BA"/>
    <w:rsid w:val="4E491EF4"/>
    <w:rsid w:val="4EA8676B"/>
    <w:rsid w:val="4F70137C"/>
    <w:rsid w:val="4F7218A2"/>
    <w:rsid w:val="4F8B1191"/>
    <w:rsid w:val="4FAD66F4"/>
    <w:rsid w:val="500348AB"/>
    <w:rsid w:val="501A31A9"/>
    <w:rsid w:val="502D3DD0"/>
    <w:rsid w:val="504D4F4C"/>
    <w:rsid w:val="50666CEF"/>
    <w:rsid w:val="510A7086"/>
    <w:rsid w:val="511D1383"/>
    <w:rsid w:val="51686DE0"/>
    <w:rsid w:val="516E18F6"/>
    <w:rsid w:val="51813954"/>
    <w:rsid w:val="519A0115"/>
    <w:rsid w:val="51CB79AB"/>
    <w:rsid w:val="51CE7A1A"/>
    <w:rsid w:val="51D64A0D"/>
    <w:rsid w:val="51EE45F7"/>
    <w:rsid w:val="51F16F40"/>
    <w:rsid w:val="5261264D"/>
    <w:rsid w:val="52A32873"/>
    <w:rsid w:val="52A4714D"/>
    <w:rsid w:val="52D5405B"/>
    <w:rsid w:val="537C620E"/>
    <w:rsid w:val="53B353C4"/>
    <w:rsid w:val="53E12686"/>
    <w:rsid w:val="53FF2B0A"/>
    <w:rsid w:val="542E2387"/>
    <w:rsid w:val="54375765"/>
    <w:rsid w:val="547635C3"/>
    <w:rsid w:val="547D0220"/>
    <w:rsid w:val="54966A37"/>
    <w:rsid w:val="54AE0E21"/>
    <w:rsid w:val="54B11BF7"/>
    <w:rsid w:val="54BC6BC2"/>
    <w:rsid w:val="54BD36D6"/>
    <w:rsid w:val="54E32795"/>
    <w:rsid w:val="550035EB"/>
    <w:rsid w:val="552408A2"/>
    <w:rsid w:val="552B495D"/>
    <w:rsid w:val="55521606"/>
    <w:rsid w:val="55632CF6"/>
    <w:rsid w:val="557E415E"/>
    <w:rsid w:val="559C3B78"/>
    <w:rsid w:val="55A45A35"/>
    <w:rsid w:val="55B50024"/>
    <w:rsid w:val="55B9087C"/>
    <w:rsid w:val="55DA487D"/>
    <w:rsid w:val="562B6930"/>
    <w:rsid w:val="56604132"/>
    <w:rsid w:val="56631897"/>
    <w:rsid w:val="568825B9"/>
    <w:rsid w:val="56966DA2"/>
    <w:rsid w:val="56BB6E53"/>
    <w:rsid w:val="56DB2751"/>
    <w:rsid w:val="56FD7A71"/>
    <w:rsid w:val="571D7AD2"/>
    <w:rsid w:val="576E797B"/>
    <w:rsid w:val="57A42E69"/>
    <w:rsid w:val="57B761DB"/>
    <w:rsid w:val="57CC07C7"/>
    <w:rsid w:val="57E74426"/>
    <w:rsid w:val="583527FE"/>
    <w:rsid w:val="58493639"/>
    <w:rsid w:val="584C6011"/>
    <w:rsid w:val="584F60EE"/>
    <w:rsid w:val="589301F4"/>
    <w:rsid w:val="589E5684"/>
    <w:rsid w:val="58B026DF"/>
    <w:rsid w:val="59372AA2"/>
    <w:rsid w:val="595E7566"/>
    <w:rsid w:val="598C3A79"/>
    <w:rsid w:val="599812E5"/>
    <w:rsid w:val="59B9671F"/>
    <w:rsid w:val="59CC4EE0"/>
    <w:rsid w:val="59EF4490"/>
    <w:rsid w:val="5A337429"/>
    <w:rsid w:val="5A606BFC"/>
    <w:rsid w:val="5A7536F8"/>
    <w:rsid w:val="5A8A6FE4"/>
    <w:rsid w:val="5A921A6F"/>
    <w:rsid w:val="5A94527D"/>
    <w:rsid w:val="5AA14217"/>
    <w:rsid w:val="5AED246F"/>
    <w:rsid w:val="5B2C5C96"/>
    <w:rsid w:val="5B345F67"/>
    <w:rsid w:val="5B577E76"/>
    <w:rsid w:val="5B6A3C15"/>
    <w:rsid w:val="5B6D3F39"/>
    <w:rsid w:val="5BA86B79"/>
    <w:rsid w:val="5BAB57F8"/>
    <w:rsid w:val="5BE54158"/>
    <w:rsid w:val="5BF11894"/>
    <w:rsid w:val="5C6A0C6B"/>
    <w:rsid w:val="5C7240D4"/>
    <w:rsid w:val="5C8B2909"/>
    <w:rsid w:val="5CBA6764"/>
    <w:rsid w:val="5CC0312F"/>
    <w:rsid w:val="5CCB2156"/>
    <w:rsid w:val="5CCF6F29"/>
    <w:rsid w:val="5CF90314"/>
    <w:rsid w:val="5D396AF3"/>
    <w:rsid w:val="5D651C60"/>
    <w:rsid w:val="5D77084D"/>
    <w:rsid w:val="5D981475"/>
    <w:rsid w:val="5DB07601"/>
    <w:rsid w:val="5DF80830"/>
    <w:rsid w:val="5E2C47BA"/>
    <w:rsid w:val="5E3509FD"/>
    <w:rsid w:val="5E6205CA"/>
    <w:rsid w:val="5E666C1C"/>
    <w:rsid w:val="5E89337E"/>
    <w:rsid w:val="5EC36660"/>
    <w:rsid w:val="5EDC74F1"/>
    <w:rsid w:val="5EF76AF1"/>
    <w:rsid w:val="5F0E466E"/>
    <w:rsid w:val="5F493F95"/>
    <w:rsid w:val="5F7712B3"/>
    <w:rsid w:val="5F891558"/>
    <w:rsid w:val="5F990C37"/>
    <w:rsid w:val="5F9E0AB5"/>
    <w:rsid w:val="6005415B"/>
    <w:rsid w:val="6035649E"/>
    <w:rsid w:val="603776DA"/>
    <w:rsid w:val="60797ECD"/>
    <w:rsid w:val="608379BC"/>
    <w:rsid w:val="609D6CD6"/>
    <w:rsid w:val="60A924A6"/>
    <w:rsid w:val="60F5036B"/>
    <w:rsid w:val="61106A90"/>
    <w:rsid w:val="612B548C"/>
    <w:rsid w:val="6133160F"/>
    <w:rsid w:val="617C6B62"/>
    <w:rsid w:val="619D34BB"/>
    <w:rsid w:val="61AB51D0"/>
    <w:rsid w:val="61AF19C8"/>
    <w:rsid w:val="61B25CAB"/>
    <w:rsid w:val="61DA138A"/>
    <w:rsid w:val="61E80FE9"/>
    <w:rsid w:val="6236544E"/>
    <w:rsid w:val="62661BC0"/>
    <w:rsid w:val="62905E0E"/>
    <w:rsid w:val="62B74455"/>
    <w:rsid w:val="633544AB"/>
    <w:rsid w:val="633767A9"/>
    <w:rsid w:val="63800F4A"/>
    <w:rsid w:val="64180CD3"/>
    <w:rsid w:val="64354802"/>
    <w:rsid w:val="643826C6"/>
    <w:rsid w:val="64CD28AC"/>
    <w:rsid w:val="64D51848"/>
    <w:rsid w:val="65416457"/>
    <w:rsid w:val="656C4491"/>
    <w:rsid w:val="65716BAE"/>
    <w:rsid w:val="65833513"/>
    <w:rsid w:val="65B2515C"/>
    <w:rsid w:val="65B7046E"/>
    <w:rsid w:val="65FF7928"/>
    <w:rsid w:val="66025E2A"/>
    <w:rsid w:val="660F47D1"/>
    <w:rsid w:val="662C1AAA"/>
    <w:rsid w:val="667B55C0"/>
    <w:rsid w:val="66822F5F"/>
    <w:rsid w:val="668E0DF8"/>
    <w:rsid w:val="66A81885"/>
    <w:rsid w:val="670A0C0D"/>
    <w:rsid w:val="670B3AD6"/>
    <w:rsid w:val="670E24A3"/>
    <w:rsid w:val="67114B39"/>
    <w:rsid w:val="67254A0C"/>
    <w:rsid w:val="67815F3D"/>
    <w:rsid w:val="678D73DA"/>
    <w:rsid w:val="679D29F1"/>
    <w:rsid w:val="67B832CD"/>
    <w:rsid w:val="67BA4FAF"/>
    <w:rsid w:val="67D70D69"/>
    <w:rsid w:val="67D976D5"/>
    <w:rsid w:val="67F8351F"/>
    <w:rsid w:val="67F911EE"/>
    <w:rsid w:val="680F122E"/>
    <w:rsid w:val="6826548A"/>
    <w:rsid w:val="683F30FE"/>
    <w:rsid w:val="68683080"/>
    <w:rsid w:val="68B42E16"/>
    <w:rsid w:val="69054E81"/>
    <w:rsid w:val="69313B09"/>
    <w:rsid w:val="69A004FC"/>
    <w:rsid w:val="6A0C1E3A"/>
    <w:rsid w:val="6A2477ED"/>
    <w:rsid w:val="6A496B74"/>
    <w:rsid w:val="6ABE1033"/>
    <w:rsid w:val="6B340C6B"/>
    <w:rsid w:val="6B695969"/>
    <w:rsid w:val="6B750D8C"/>
    <w:rsid w:val="6B975345"/>
    <w:rsid w:val="6B9833BE"/>
    <w:rsid w:val="6BAE722A"/>
    <w:rsid w:val="6BE3540D"/>
    <w:rsid w:val="6C3F7978"/>
    <w:rsid w:val="6C772A2C"/>
    <w:rsid w:val="6CF45DAC"/>
    <w:rsid w:val="6DAB3ED9"/>
    <w:rsid w:val="6DB34A63"/>
    <w:rsid w:val="6DC1145A"/>
    <w:rsid w:val="6DF84EE3"/>
    <w:rsid w:val="6E034E25"/>
    <w:rsid w:val="6E152A45"/>
    <w:rsid w:val="6E3A1CA5"/>
    <w:rsid w:val="6E7D42A3"/>
    <w:rsid w:val="6E8B32FE"/>
    <w:rsid w:val="6E8D61CD"/>
    <w:rsid w:val="6E8F7D82"/>
    <w:rsid w:val="6EC34C6F"/>
    <w:rsid w:val="6F102712"/>
    <w:rsid w:val="6F850CE8"/>
    <w:rsid w:val="6F8651C6"/>
    <w:rsid w:val="6FD03C8D"/>
    <w:rsid w:val="708745A7"/>
    <w:rsid w:val="70975C2C"/>
    <w:rsid w:val="70C42741"/>
    <w:rsid w:val="70C648F6"/>
    <w:rsid w:val="70F63163"/>
    <w:rsid w:val="70F800EB"/>
    <w:rsid w:val="70F92CD6"/>
    <w:rsid w:val="710B6121"/>
    <w:rsid w:val="711427E5"/>
    <w:rsid w:val="713D372A"/>
    <w:rsid w:val="7144719B"/>
    <w:rsid w:val="71561E5E"/>
    <w:rsid w:val="71B72F62"/>
    <w:rsid w:val="71C967A0"/>
    <w:rsid w:val="724849E6"/>
    <w:rsid w:val="7271745F"/>
    <w:rsid w:val="728656FE"/>
    <w:rsid w:val="72DA151E"/>
    <w:rsid w:val="730F64FC"/>
    <w:rsid w:val="734E1139"/>
    <w:rsid w:val="73A33BD5"/>
    <w:rsid w:val="73BC07AA"/>
    <w:rsid w:val="73E96659"/>
    <w:rsid w:val="74246842"/>
    <w:rsid w:val="74471E9E"/>
    <w:rsid w:val="745A2085"/>
    <w:rsid w:val="746D6F23"/>
    <w:rsid w:val="74750647"/>
    <w:rsid w:val="748F15B9"/>
    <w:rsid w:val="74C92346"/>
    <w:rsid w:val="74E03E87"/>
    <w:rsid w:val="755556EE"/>
    <w:rsid w:val="75837206"/>
    <w:rsid w:val="75D10B11"/>
    <w:rsid w:val="75E41E79"/>
    <w:rsid w:val="75EB5152"/>
    <w:rsid w:val="75FF5CAF"/>
    <w:rsid w:val="76461C08"/>
    <w:rsid w:val="76491C49"/>
    <w:rsid w:val="769A409C"/>
    <w:rsid w:val="76C62B85"/>
    <w:rsid w:val="76D50E91"/>
    <w:rsid w:val="76FE0E6C"/>
    <w:rsid w:val="77317359"/>
    <w:rsid w:val="776F5602"/>
    <w:rsid w:val="77C3215C"/>
    <w:rsid w:val="77D342D3"/>
    <w:rsid w:val="781B4757"/>
    <w:rsid w:val="78282F82"/>
    <w:rsid w:val="78793763"/>
    <w:rsid w:val="78EA1606"/>
    <w:rsid w:val="793D0C1F"/>
    <w:rsid w:val="79771051"/>
    <w:rsid w:val="79964D9E"/>
    <w:rsid w:val="79A23B15"/>
    <w:rsid w:val="79CC256C"/>
    <w:rsid w:val="79FC78F7"/>
    <w:rsid w:val="7A447204"/>
    <w:rsid w:val="7A6E29DC"/>
    <w:rsid w:val="7A6F307E"/>
    <w:rsid w:val="7A721CF6"/>
    <w:rsid w:val="7A7C1790"/>
    <w:rsid w:val="7ABE5DB5"/>
    <w:rsid w:val="7AC7687E"/>
    <w:rsid w:val="7AEA2D29"/>
    <w:rsid w:val="7B564300"/>
    <w:rsid w:val="7B86775B"/>
    <w:rsid w:val="7B8C2F50"/>
    <w:rsid w:val="7BD00AC7"/>
    <w:rsid w:val="7BD87F3B"/>
    <w:rsid w:val="7C315AAD"/>
    <w:rsid w:val="7C362596"/>
    <w:rsid w:val="7C5D0803"/>
    <w:rsid w:val="7C8D009F"/>
    <w:rsid w:val="7C950A0B"/>
    <w:rsid w:val="7CEE2E9A"/>
    <w:rsid w:val="7D2A29F1"/>
    <w:rsid w:val="7D2B0BD0"/>
    <w:rsid w:val="7D3E71B2"/>
    <w:rsid w:val="7D3F4E53"/>
    <w:rsid w:val="7D4520AD"/>
    <w:rsid w:val="7D7C4568"/>
    <w:rsid w:val="7D8B57B4"/>
    <w:rsid w:val="7D9C5C1D"/>
    <w:rsid w:val="7DB55EDE"/>
    <w:rsid w:val="7DCE7A21"/>
    <w:rsid w:val="7DD055D2"/>
    <w:rsid w:val="7DD42213"/>
    <w:rsid w:val="7DF67C77"/>
    <w:rsid w:val="7E27664C"/>
    <w:rsid w:val="7E4436DC"/>
    <w:rsid w:val="7E522C7B"/>
    <w:rsid w:val="7E6A3BB9"/>
    <w:rsid w:val="7E725FD3"/>
    <w:rsid w:val="7E89234E"/>
    <w:rsid w:val="7E8C0973"/>
    <w:rsid w:val="7E9E4723"/>
    <w:rsid w:val="7EDE3D97"/>
    <w:rsid w:val="7EE6449F"/>
    <w:rsid w:val="7EFF5F5E"/>
    <w:rsid w:val="7F2A7062"/>
    <w:rsid w:val="7F4169A9"/>
    <w:rsid w:val="7F923D51"/>
    <w:rsid w:val="7FAD687A"/>
    <w:rsid w:val="7FEB1173"/>
    <w:rsid w:val="B59DA9B5"/>
    <w:rsid w:val="EFEFD9C1"/>
    <w:rsid w:val="FFF68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3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spacing w:before="340" w:after="330" w:line="578" w:lineRule="auto"/>
      <w:outlineLvl w:val="0"/>
    </w:pPr>
    <w:rPr>
      <w:rFonts w:eastAsia="楷体_GB2312"/>
      <w:b/>
      <w:bCs/>
      <w:kern w:val="44"/>
      <w:sz w:val="32"/>
      <w:szCs w:val="44"/>
    </w:rPr>
  </w:style>
  <w:style w:type="paragraph" w:styleId="4">
    <w:name w:val="heading 2"/>
    <w:basedOn w:val="1"/>
    <w:next w:val="1"/>
    <w:link w:val="23"/>
    <w:qFormat/>
    <w:uiPriority w:val="9"/>
    <w:pPr>
      <w:keepNext/>
      <w:keepLines/>
      <w:spacing w:before="260" w:after="260" w:line="416" w:lineRule="auto"/>
      <w:outlineLvl w:val="1"/>
    </w:pPr>
    <w:rPr>
      <w:rFonts w:ascii="等线 Light" w:hAnsi="等线 Light" w:eastAsia="楷体_GB2312"/>
      <w:b/>
      <w:bCs/>
      <w:kern w:val="0"/>
      <w:sz w:val="32"/>
      <w:szCs w:val="32"/>
    </w:rPr>
  </w:style>
  <w:style w:type="paragraph" w:styleId="5">
    <w:name w:val="heading 3"/>
    <w:basedOn w:val="1"/>
    <w:next w:val="1"/>
    <w:link w:val="19"/>
    <w:unhideWhenUsed/>
    <w:qFormat/>
    <w:uiPriority w:val="9"/>
    <w:pPr>
      <w:keepNext/>
      <w:keepLines/>
      <w:spacing w:before="260" w:after="260" w:line="415" w:lineRule="auto"/>
      <w:ind w:left="200" w:leftChars="200"/>
      <w:outlineLvl w:val="2"/>
      <w:pPrChange w:id="0" w:author="XIE XIN" w:date="2020-06-02T20:01:00Z">
        <w:pPr>
          <w:keepNext/>
          <w:keepLines/>
          <w:widowControl w:val="0"/>
          <w:spacing w:before="260" w:after="260" w:line="416" w:lineRule="auto"/>
          <w:jc w:val="both"/>
          <w:outlineLvl w:val="2"/>
        </w:pPr>
      </w:pPrChange>
    </w:pPr>
    <w:rPr>
      <w:rFonts w:eastAsia="仿宋_GB2312"/>
      <w:b/>
      <w:bCs/>
      <w:sz w:val="32"/>
      <w:szCs w:val="32"/>
      <w:rPrChange w:id="1" w:author="XIE XIN" w:date="2020-06-02T20:01:00Z">
        <w:rPr>
          <w:rFonts w:eastAsia="仿宋_GB2312"/>
          <w:bCs/>
          <w:kern w:val="2"/>
          <w:sz w:val="32"/>
          <w:szCs w:val="32"/>
          <w:lang w:val="en-US" w:eastAsia="zh-CN" w:bidi="ar-SA"/>
        </w:rPr>
      </w:rPrChange>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2">
    <w:name w:val="toc 2"/>
    <w:basedOn w:val="1"/>
    <w:next w:val="1"/>
    <w:unhideWhenUsed/>
    <w:qFormat/>
    <w:uiPriority w:val="39"/>
    <w:pPr>
      <w:spacing w:line="360" w:lineRule="auto"/>
      <w:ind w:left="420" w:leftChars="200"/>
    </w:pPr>
    <w:rPr>
      <w:rFonts w:ascii="Calibri" w:hAnsi="Calibri"/>
      <w:kern w:val="0"/>
      <w:szCs w:val="32"/>
    </w:rPr>
  </w:style>
  <w:style w:type="paragraph" w:styleId="6">
    <w:name w:val="annotation text"/>
    <w:basedOn w:val="1"/>
    <w:unhideWhenUsed/>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20"/>
    <w:unhideWhenUsed/>
    <w:qFormat/>
    <w:uiPriority w:val="99"/>
    <w:rPr>
      <w:sz w:val="18"/>
      <w:szCs w:val="18"/>
    </w:rPr>
  </w:style>
  <w:style w:type="paragraph" w:styleId="9">
    <w:name w:val="footer"/>
    <w:basedOn w:val="1"/>
    <w:link w:val="28"/>
    <w:unhideWhenUsed/>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Subtitle"/>
    <w:basedOn w:val="1"/>
    <w:next w:val="1"/>
    <w:link w:val="21"/>
    <w:qFormat/>
    <w:uiPriority w:val="11"/>
    <w:pPr>
      <w:spacing w:before="240" w:after="60" w:line="312" w:lineRule="auto"/>
      <w:jc w:val="center"/>
      <w:outlineLvl w:val="1"/>
    </w:pPr>
    <w:rPr>
      <w:rFonts w:ascii="等线 Light" w:hAnsi="等线 Light"/>
      <w:b/>
      <w:bCs/>
      <w:kern w:val="28"/>
      <w:sz w:val="32"/>
      <w:szCs w:val="32"/>
    </w:rPr>
  </w:style>
  <w:style w:type="paragraph" w:styleId="13">
    <w:name w:val="Title"/>
    <w:basedOn w:val="3"/>
    <w:next w:val="1"/>
    <w:link w:val="24"/>
    <w:qFormat/>
    <w:uiPriority w:val="0"/>
    <w:pPr>
      <w:spacing w:line="360" w:lineRule="auto"/>
      <w:ind w:firstLine="880" w:firstLineChars="200"/>
      <w:jc w:val="left"/>
    </w:pPr>
    <w:rPr>
      <w:rFonts w:ascii="Cambria" w:hAnsi="Cambria" w:eastAsia="黑体"/>
      <w:b w:val="0"/>
      <w:bCs w:val="0"/>
      <w:kern w:val="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annotation reference"/>
    <w:basedOn w:val="14"/>
    <w:unhideWhenUsed/>
    <w:qFormat/>
    <w:uiPriority w:val="99"/>
    <w:rPr>
      <w:sz w:val="21"/>
      <w:szCs w:val="21"/>
    </w:rPr>
  </w:style>
  <w:style w:type="paragraph" w:customStyle="1" w:styleId="18">
    <w:name w:val="样式1"/>
    <w:basedOn w:val="5"/>
    <w:next w:val="1"/>
    <w:qFormat/>
    <w:uiPriority w:val="0"/>
    <w:pPr>
      <w:keepNext w:val="0"/>
      <w:keepLines w:val="0"/>
      <w:widowControl/>
      <w:spacing w:before="100" w:beforeAutospacing="1" w:after="100" w:afterAutospacing="1" w:line="360" w:lineRule="auto"/>
      <w:ind w:firstLine="880" w:firstLineChars="200"/>
      <w:jc w:val="left"/>
    </w:pPr>
    <w:rPr>
      <w:rFonts w:ascii="Arial" w:hAnsi="Arial"/>
      <w:b w:val="0"/>
      <w:kern w:val="0"/>
      <w:szCs w:val="27"/>
    </w:rPr>
  </w:style>
  <w:style w:type="character" w:customStyle="1" w:styleId="19">
    <w:name w:val="标题 3 字符"/>
    <w:basedOn w:val="14"/>
    <w:link w:val="5"/>
    <w:qFormat/>
    <w:uiPriority w:val="9"/>
    <w:rPr>
      <w:rFonts w:eastAsia="仿宋_GB2312"/>
      <w:b/>
      <w:bCs/>
      <w:kern w:val="2"/>
      <w:sz w:val="32"/>
      <w:szCs w:val="32"/>
    </w:rPr>
  </w:style>
  <w:style w:type="character" w:customStyle="1" w:styleId="20">
    <w:name w:val="批注框文本 字符"/>
    <w:basedOn w:val="14"/>
    <w:link w:val="8"/>
    <w:semiHidden/>
    <w:qFormat/>
    <w:uiPriority w:val="99"/>
    <w:rPr>
      <w:rFonts w:ascii="Times New Roman" w:hAnsi="Times New Roman" w:eastAsia="宋体" w:cs="Times New Roman"/>
      <w:sz w:val="18"/>
      <w:szCs w:val="18"/>
    </w:rPr>
  </w:style>
  <w:style w:type="character" w:customStyle="1" w:styleId="21">
    <w:name w:val="副标题 字符"/>
    <w:basedOn w:val="14"/>
    <w:link w:val="12"/>
    <w:qFormat/>
    <w:uiPriority w:val="11"/>
    <w:rPr>
      <w:rFonts w:ascii="等线 Light" w:hAnsi="等线 Light" w:eastAsia="宋体" w:cs="Times New Roman"/>
      <w:b/>
      <w:bCs/>
      <w:kern w:val="28"/>
      <w:sz w:val="32"/>
      <w:szCs w:val="32"/>
    </w:rPr>
  </w:style>
  <w:style w:type="paragraph" w:customStyle="1" w:styleId="22">
    <w:name w:val="1."/>
    <w:basedOn w:val="5"/>
    <w:qFormat/>
    <w:uiPriority w:val="0"/>
    <w:pPr>
      <w:keepNext w:val="0"/>
      <w:keepLines w:val="0"/>
      <w:widowControl/>
      <w:spacing w:before="100" w:beforeAutospacing="1" w:after="100" w:afterAutospacing="1" w:line="360" w:lineRule="auto"/>
      <w:ind w:firstLine="880" w:firstLineChars="200"/>
      <w:jc w:val="left"/>
    </w:pPr>
    <w:rPr>
      <w:rFonts w:ascii="宋体" w:hAnsi="宋体"/>
      <w:kern w:val="0"/>
      <w:szCs w:val="27"/>
    </w:rPr>
  </w:style>
  <w:style w:type="character" w:customStyle="1" w:styleId="23">
    <w:name w:val="标题 2 字符"/>
    <w:basedOn w:val="14"/>
    <w:link w:val="4"/>
    <w:qFormat/>
    <w:uiPriority w:val="9"/>
    <w:rPr>
      <w:rFonts w:ascii="等线 Light" w:hAnsi="等线 Light" w:eastAsia="楷体_GB2312"/>
      <w:b/>
      <w:bCs/>
      <w:sz w:val="32"/>
      <w:szCs w:val="32"/>
    </w:rPr>
  </w:style>
  <w:style w:type="character" w:customStyle="1" w:styleId="24">
    <w:name w:val="标题 字符"/>
    <w:basedOn w:val="14"/>
    <w:link w:val="13"/>
    <w:qFormat/>
    <w:uiPriority w:val="0"/>
    <w:rPr>
      <w:rFonts w:ascii="Cambria" w:hAnsi="Cambria" w:eastAsia="黑体" w:cs="Times New Roman"/>
      <w:sz w:val="32"/>
      <w:szCs w:val="44"/>
    </w:rPr>
  </w:style>
  <w:style w:type="character" w:customStyle="1" w:styleId="25">
    <w:name w:val="标题 1 字符"/>
    <w:basedOn w:val="14"/>
    <w:link w:val="3"/>
    <w:qFormat/>
    <w:uiPriority w:val="9"/>
    <w:rPr>
      <w:rFonts w:eastAsia="楷体_GB2312"/>
      <w:b/>
      <w:bCs/>
      <w:kern w:val="44"/>
      <w:sz w:val="32"/>
      <w:szCs w:val="44"/>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Cs w:val="32"/>
    </w:rPr>
  </w:style>
  <w:style w:type="character" w:customStyle="1" w:styleId="27">
    <w:name w:val="页眉 字符"/>
    <w:basedOn w:val="14"/>
    <w:link w:val="10"/>
    <w:qFormat/>
    <w:uiPriority w:val="99"/>
    <w:rPr>
      <w:rFonts w:ascii="Times New Roman" w:hAnsi="Times New Roman" w:eastAsia="宋体" w:cs="Times New Roman"/>
      <w:sz w:val="18"/>
      <w:szCs w:val="18"/>
    </w:rPr>
  </w:style>
  <w:style w:type="character" w:customStyle="1" w:styleId="28">
    <w:name w:val="页脚 字符"/>
    <w:basedOn w:val="14"/>
    <w:link w:val="9"/>
    <w:qFormat/>
    <w:uiPriority w:val="99"/>
    <w:rPr>
      <w:rFonts w:ascii="Times New Roman" w:hAnsi="Times New Roman" w:eastAsia="宋体" w:cs="Times New Roman"/>
      <w:sz w:val="18"/>
      <w:szCs w:val="18"/>
    </w:rPr>
  </w:style>
  <w:style w:type="paragraph" w:customStyle="1" w:styleId="29">
    <w:name w:val="（一）"/>
    <w:basedOn w:val="4"/>
    <w:next w:val="1"/>
    <w:qFormat/>
    <w:uiPriority w:val="0"/>
    <w:pPr>
      <w:spacing w:line="360" w:lineRule="auto"/>
    </w:pPr>
    <w:rPr>
      <w:rFonts w:eastAsia="楷体_GB2312"/>
      <w:b w:val="0"/>
    </w:rPr>
  </w:style>
  <w:style w:type="paragraph" w:customStyle="1" w:styleId="30">
    <w:name w:val="_Style 1"/>
    <w:basedOn w:val="1"/>
    <w:qFormat/>
    <w:uiPriority w:val="0"/>
    <w:pPr>
      <w:ind w:firstLine="420"/>
    </w:pPr>
  </w:style>
  <w:style w:type="character" w:customStyle="1" w:styleId="31">
    <w:name w:val="font51"/>
    <w:basedOn w:val="14"/>
    <w:qFormat/>
    <w:uiPriority w:val="0"/>
    <w:rPr>
      <w:rFonts w:ascii="宋体" w:hAnsi="宋体" w:eastAsia="宋体" w:cs="宋体"/>
      <w:b/>
      <w:color w:val="000000"/>
      <w:sz w:val="24"/>
      <w:szCs w:val="24"/>
      <w:u w:val="none"/>
    </w:rPr>
  </w:style>
  <w:style w:type="character" w:customStyle="1" w:styleId="32">
    <w:name w:val="NormalCharacter"/>
    <w:link w:val="1"/>
    <w:semiHidden/>
    <w:qFormat/>
    <w:uiPriority w:val="0"/>
    <w:rPr>
      <w:rFonts w:ascii="Times New Roman" w:hAnsi="Times New Roman" w:eastAsia="宋体" w:cs="Times New Roman"/>
      <w:kern w:val="2"/>
      <w:sz w:val="21"/>
      <w:szCs w:val="24"/>
      <w:lang w:val="en-US" w:eastAsia="zh-CN" w:bidi="ar-SA"/>
    </w:rPr>
  </w:style>
  <w:style w:type="character" w:customStyle="1" w:styleId="33">
    <w:name w:val="font23"/>
    <w:basedOn w:val="14"/>
    <w:qFormat/>
    <w:uiPriority w:val="0"/>
    <w:rPr>
      <w:rFonts w:hint="eastAsia" w:ascii="宋体" w:hAnsi="宋体" w:eastAsia="宋体" w:cs="宋体"/>
      <w:color w:val="363434"/>
      <w:sz w:val="17"/>
      <w:szCs w:val="17"/>
      <w:u w:val="none"/>
    </w:rPr>
  </w:style>
  <w:style w:type="character" w:customStyle="1" w:styleId="34">
    <w:name w:val="font01"/>
    <w:basedOn w:val="14"/>
    <w:qFormat/>
    <w:uiPriority w:val="0"/>
    <w:rPr>
      <w:rFonts w:hint="eastAsia" w:ascii="宋体" w:hAnsi="宋体" w:eastAsia="宋体" w:cs="宋体"/>
      <w:color w:val="494949"/>
      <w:sz w:val="17"/>
      <w:szCs w:val="17"/>
      <w:u w:val="none"/>
    </w:rPr>
  </w:style>
  <w:style w:type="character" w:customStyle="1" w:styleId="35">
    <w:name w:val="font11"/>
    <w:basedOn w:val="14"/>
    <w:qFormat/>
    <w:uiPriority w:val="0"/>
    <w:rPr>
      <w:rFonts w:hint="eastAsia" w:ascii="宋体" w:hAnsi="宋体" w:eastAsia="宋体" w:cs="宋体"/>
      <w:color w:val="6D6D6D"/>
      <w:sz w:val="17"/>
      <w:szCs w:val="17"/>
      <w:u w:val="none"/>
    </w:rPr>
  </w:style>
  <w:style w:type="character" w:customStyle="1" w:styleId="36">
    <w:name w:val="font91"/>
    <w:basedOn w:val="14"/>
    <w:qFormat/>
    <w:uiPriority w:val="0"/>
    <w:rPr>
      <w:rFonts w:hint="eastAsia" w:ascii="宋体" w:hAnsi="宋体" w:eastAsia="宋体" w:cs="宋体"/>
      <w:color w:val="757575"/>
      <w:sz w:val="16"/>
      <w:szCs w:val="16"/>
      <w:u w:val="none"/>
    </w:rPr>
  </w:style>
  <w:style w:type="character" w:customStyle="1" w:styleId="37">
    <w:name w:val="font101"/>
    <w:basedOn w:val="14"/>
    <w:qFormat/>
    <w:uiPriority w:val="0"/>
    <w:rPr>
      <w:rFonts w:hint="eastAsia" w:ascii="宋体" w:hAnsi="宋体" w:eastAsia="宋体" w:cs="宋体"/>
      <w:color w:val="3D3D3D"/>
      <w:sz w:val="16"/>
      <w:szCs w:val="16"/>
      <w:u w:val="none"/>
    </w:rPr>
  </w:style>
  <w:style w:type="character" w:customStyle="1" w:styleId="38">
    <w:name w:val="font121"/>
    <w:basedOn w:val="14"/>
    <w:qFormat/>
    <w:uiPriority w:val="0"/>
    <w:rPr>
      <w:rFonts w:hint="eastAsia" w:ascii="宋体" w:hAnsi="宋体" w:eastAsia="宋体" w:cs="宋体"/>
      <w:color w:val="606060"/>
      <w:sz w:val="16"/>
      <w:szCs w:val="16"/>
      <w:u w:val="none"/>
    </w:rPr>
  </w:style>
  <w:style w:type="character" w:customStyle="1" w:styleId="39">
    <w:name w:val="font112"/>
    <w:basedOn w:val="14"/>
    <w:qFormat/>
    <w:uiPriority w:val="0"/>
    <w:rPr>
      <w:rFonts w:hint="eastAsia" w:ascii="宋体" w:hAnsi="宋体" w:eastAsia="宋体" w:cs="宋体"/>
      <w:color w:val="6E6E6E"/>
      <w:sz w:val="17"/>
      <w:szCs w:val="17"/>
      <w:u w:val="none"/>
    </w:rPr>
  </w:style>
  <w:style w:type="character" w:customStyle="1" w:styleId="40">
    <w:name w:val="font161"/>
    <w:basedOn w:val="14"/>
    <w:qFormat/>
    <w:uiPriority w:val="0"/>
    <w:rPr>
      <w:rFonts w:hint="eastAsia" w:ascii="宋体" w:hAnsi="宋体" w:eastAsia="宋体" w:cs="宋体"/>
      <w:color w:val="363636"/>
      <w:sz w:val="17"/>
      <w:szCs w:val="17"/>
      <w:u w:val="none"/>
    </w:rPr>
  </w:style>
  <w:style w:type="character" w:customStyle="1" w:styleId="41">
    <w:name w:val="font81"/>
    <w:basedOn w:val="14"/>
    <w:qFormat/>
    <w:uiPriority w:val="0"/>
    <w:rPr>
      <w:rFonts w:hint="eastAsia" w:ascii="宋体" w:hAnsi="宋体" w:eastAsia="宋体" w:cs="宋体"/>
      <w:color w:val="4B4B4B"/>
      <w:sz w:val="17"/>
      <w:szCs w:val="17"/>
      <w:u w:val="none"/>
    </w:rPr>
  </w:style>
  <w:style w:type="character" w:customStyle="1" w:styleId="42">
    <w:name w:val="font151"/>
    <w:basedOn w:val="14"/>
    <w:qFormat/>
    <w:uiPriority w:val="0"/>
    <w:rPr>
      <w:rFonts w:hint="eastAsia" w:ascii="宋体" w:hAnsi="宋体" w:eastAsia="宋体" w:cs="宋体"/>
      <w:color w:val="6B6B6B"/>
      <w:sz w:val="17"/>
      <w:szCs w:val="17"/>
      <w:u w:val="none"/>
    </w:rPr>
  </w:style>
  <w:style w:type="character" w:customStyle="1" w:styleId="43">
    <w:name w:val="font191"/>
    <w:basedOn w:val="14"/>
    <w:qFormat/>
    <w:uiPriority w:val="0"/>
    <w:rPr>
      <w:rFonts w:hint="eastAsia" w:ascii="宋体" w:hAnsi="宋体" w:eastAsia="宋体" w:cs="宋体"/>
      <w:color w:val="7C7C7C"/>
      <w:sz w:val="17"/>
      <w:szCs w:val="17"/>
      <w:u w:val="none"/>
    </w:rPr>
  </w:style>
  <w:style w:type="character" w:customStyle="1" w:styleId="44">
    <w:name w:val="font141"/>
    <w:basedOn w:val="14"/>
    <w:qFormat/>
    <w:uiPriority w:val="0"/>
    <w:rPr>
      <w:rFonts w:hint="eastAsia" w:ascii="宋体" w:hAnsi="宋体" w:eastAsia="宋体" w:cs="宋体"/>
      <w:color w:val="3A3A38"/>
      <w:sz w:val="17"/>
      <w:szCs w:val="17"/>
      <w:u w:val="none"/>
    </w:rPr>
  </w:style>
  <w:style w:type="character" w:customStyle="1" w:styleId="45">
    <w:name w:val="font131"/>
    <w:basedOn w:val="14"/>
    <w:qFormat/>
    <w:uiPriority w:val="0"/>
    <w:rPr>
      <w:rFonts w:hint="eastAsia" w:ascii="宋体" w:hAnsi="宋体" w:eastAsia="宋体" w:cs="宋体"/>
      <w:color w:val="565656"/>
      <w:sz w:val="17"/>
      <w:szCs w:val="17"/>
      <w:u w:val="none"/>
    </w:rPr>
  </w:style>
  <w:style w:type="character" w:customStyle="1" w:styleId="46">
    <w:name w:val="font181"/>
    <w:basedOn w:val="14"/>
    <w:qFormat/>
    <w:uiPriority w:val="0"/>
    <w:rPr>
      <w:rFonts w:hint="eastAsia" w:ascii="宋体" w:hAnsi="宋体" w:eastAsia="宋体" w:cs="宋体"/>
      <w:color w:val="757575"/>
      <w:sz w:val="17"/>
      <w:szCs w:val="17"/>
      <w:u w:val="none"/>
    </w:rPr>
  </w:style>
  <w:style w:type="character" w:customStyle="1" w:styleId="47">
    <w:name w:val="font171"/>
    <w:basedOn w:val="14"/>
    <w:qFormat/>
    <w:uiPriority w:val="0"/>
    <w:rPr>
      <w:rFonts w:hint="eastAsia" w:ascii="宋体" w:hAnsi="宋体" w:eastAsia="宋体" w:cs="宋体"/>
      <w:color w:val="5E5E5E"/>
      <w:sz w:val="17"/>
      <w:szCs w:val="17"/>
      <w:u w:val="none"/>
    </w:rPr>
  </w:style>
  <w:style w:type="character" w:customStyle="1" w:styleId="48">
    <w:name w:val="font251"/>
    <w:basedOn w:val="14"/>
    <w:qFormat/>
    <w:uiPriority w:val="0"/>
    <w:rPr>
      <w:rFonts w:hint="eastAsia" w:ascii="宋体" w:hAnsi="宋体" w:eastAsia="宋体" w:cs="宋体"/>
      <w:color w:val="707070"/>
      <w:sz w:val="17"/>
      <w:szCs w:val="17"/>
      <w:u w:val="none"/>
    </w:rPr>
  </w:style>
  <w:style w:type="character" w:customStyle="1" w:styleId="49">
    <w:name w:val="font301"/>
    <w:basedOn w:val="14"/>
    <w:qFormat/>
    <w:uiPriority w:val="0"/>
    <w:rPr>
      <w:rFonts w:hint="eastAsia" w:ascii="宋体" w:hAnsi="宋体" w:eastAsia="宋体" w:cs="宋体"/>
      <w:color w:val="3B3A3A"/>
      <w:sz w:val="17"/>
      <w:szCs w:val="17"/>
      <w:u w:val="none"/>
    </w:rPr>
  </w:style>
  <w:style w:type="character" w:customStyle="1" w:styleId="50">
    <w:name w:val="font71"/>
    <w:basedOn w:val="14"/>
    <w:qFormat/>
    <w:uiPriority w:val="0"/>
    <w:rPr>
      <w:rFonts w:hint="eastAsia" w:ascii="宋体" w:hAnsi="宋体" w:eastAsia="宋体" w:cs="宋体"/>
      <w:color w:val="595959"/>
      <w:sz w:val="17"/>
      <w:szCs w:val="17"/>
      <w:u w:val="none"/>
    </w:rPr>
  </w:style>
  <w:style w:type="character" w:customStyle="1" w:styleId="51">
    <w:name w:val="font291"/>
    <w:basedOn w:val="14"/>
    <w:qFormat/>
    <w:uiPriority w:val="0"/>
    <w:rPr>
      <w:rFonts w:hint="eastAsia" w:ascii="宋体" w:hAnsi="宋体" w:eastAsia="宋体" w:cs="宋体"/>
      <w:color w:val="727272"/>
      <w:sz w:val="17"/>
      <w:szCs w:val="17"/>
      <w:u w:val="none"/>
    </w:rPr>
  </w:style>
  <w:style w:type="character" w:customStyle="1" w:styleId="52">
    <w:name w:val="font241"/>
    <w:basedOn w:val="14"/>
    <w:qFormat/>
    <w:uiPriority w:val="0"/>
    <w:rPr>
      <w:rFonts w:hint="eastAsia" w:ascii="宋体" w:hAnsi="宋体" w:eastAsia="宋体" w:cs="宋体"/>
      <w:color w:val="838383"/>
      <w:sz w:val="17"/>
      <w:szCs w:val="17"/>
      <w:u w:val="none"/>
    </w:rPr>
  </w:style>
  <w:style w:type="character" w:customStyle="1" w:styleId="53">
    <w:name w:val="font232"/>
    <w:basedOn w:val="14"/>
    <w:qFormat/>
    <w:uiPriority w:val="0"/>
    <w:rPr>
      <w:rFonts w:hint="eastAsia" w:ascii="宋体" w:hAnsi="宋体" w:eastAsia="宋体" w:cs="宋体"/>
      <w:color w:val="3B3A38"/>
      <w:sz w:val="16"/>
      <w:szCs w:val="16"/>
      <w:u w:val="none"/>
    </w:rPr>
  </w:style>
  <w:style w:type="character" w:customStyle="1" w:styleId="54">
    <w:name w:val="font221"/>
    <w:basedOn w:val="14"/>
    <w:qFormat/>
    <w:uiPriority w:val="0"/>
    <w:rPr>
      <w:rFonts w:hint="eastAsia" w:ascii="宋体" w:hAnsi="宋体" w:eastAsia="宋体" w:cs="宋体"/>
      <w:color w:val="6E6E6E"/>
      <w:sz w:val="16"/>
      <w:szCs w:val="16"/>
      <w:u w:val="none"/>
    </w:rPr>
  </w:style>
  <w:style w:type="character" w:customStyle="1" w:styleId="55">
    <w:name w:val="font211"/>
    <w:basedOn w:val="14"/>
    <w:qFormat/>
    <w:uiPriority w:val="0"/>
    <w:rPr>
      <w:rFonts w:hint="eastAsia" w:ascii="宋体" w:hAnsi="宋体" w:eastAsia="宋体" w:cs="宋体"/>
      <w:color w:val="747272"/>
      <w:sz w:val="17"/>
      <w:szCs w:val="17"/>
      <w:u w:val="none"/>
    </w:rPr>
  </w:style>
  <w:style w:type="character" w:customStyle="1" w:styleId="56">
    <w:name w:val="font281"/>
    <w:basedOn w:val="14"/>
    <w:qFormat/>
    <w:uiPriority w:val="0"/>
    <w:rPr>
      <w:rFonts w:hint="eastAsia" w:ascii="宋体" w:hAnsi="宋体" w:eastAsia="宋体" w:cs="宋体"/>
      <w:color w:val="5D5B5B"/>
      <w:sz w:val="17"/>
      <w:szCs w:val="17"/>
      <w:u w:val="none"/>
    </w:rPr>
  </w:style>
  <w:style w:type="character" w:customStyle="1" w:styleId="57">
    <w:name w:val="font271"/>
    <w:basedOn w:val="14"/>
    <w:qFormat/>
    <w:uiPriority w:val="0"/>
    <w:rPr>
      <w:rFonts w:hint="eastAsia" w:ascii="宋体" w:hAnsi="宋体" w:eastAsia="宋体" w:cs="宋体"/>
      <w:color w:val="3A3838"/>
      <w:sz w:val="17"/>
      <w:szCs w:val="17"/>
      <w:u w:val="none"/>
    </w:rPr>
  </w:style>
  <w:style w:type="character" w:customStyle="1" w:styleId="58">
    <w:name w:val="font201"/>
    <w:basedOn w:val="14"/>
    <w:qFormat/>
    <w:uiPriority w:val="0"/>
    <w:rPr>
      <w:rFonts w:hint="eastAsia" w:ascii="宋体" w:hAnsi="宋体" w:eastAsia="宋体" w:cs="宋体"/>
      <w:color w:val="464444"/>
      <w:sz w:val="17"/>
      <w:szCs w:val="17"/>
      <w:u w:val="none"/>
    </w:rPr>
  </w:style>
  <w:style w:type="character" w:customStyle="1" w:styleId="59">
    <w:name w:val="font261"/>
    <w:basedOn w:val="14"/>
    <w:qFormat/>
    <w:uiPriority w:val="0"/>
    <w:rPr>
      <w:rFonts w:hint="eastAsia" w:ascii="宋体" w:hAnsi="宋体" w:eastAsia="宋体" w:cs="宋体"/>
      <w:color w:val="6D6D6D"/>
      <w:sz w:val="16"/>
      <w:szCs w:val="16"/>
      <w:u w:val="none"/>
    </w:rPr>
  </w:style>
  <w:style w:type="paragraph" w:customStyle="1" w:styleId="60">
    <w:name w:val="WPSOffice手动目录 1"/>
    <w:qFormat/>
    <w:uiPriority w:val="0"/>
    <w:pPr>
      <w:ind w:leftChars="0"/>
    </w:pPr>
    <w:rPr>
      <w:rFonts w:ascii="Times New Roman" w:hAnsi="Times New Roman" w:eastAsia="宋体" w:cs="Times New Roman"/>
      <w:sz w:val="20"/>
      <w:szCs w:val="20"/>
    </w:rPr>
  </w:style>
  <w:style w:type="paragraph" w:customStyle="1" w:styleId="61">
    <w:name w:val="WPSOffice手动目录 2"/>
    <w:qFormat/>
    <w:uiPriority w:val="0"/>
    <w:pPr>
      <w:ind w:leftChars="200"/>
    </w:pPr>
    <w:rPr>
      <w:rFonts w:ascii="Times New Roman" w:hAnsi="Times New Roman" w:eastAsia="宋体" w:cs="Times New Roman"/>
      <w:sz w:val="20"/>
      <w:szCs w:val="20"/>
    </w:rPr>
  </w:style>
  <w:style w:type="paragraph" w:customStyle="1" w:styleId="62">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15eff18-0139-4ed9-9b29-4d2521d75bcf}"/>
        <w:style w:val=""/>
        <w:category>
          <w:name w:val="常规"/>
          <w:gallery w:val="placeholder"/>
        </w:category>
        <w:types>
          <w:type w:val="bbPlcHdr"/>
        </w:types>
        <w:behaviors>
          <w:behavior w:val="content"/>
        </w:behaviors>
        <w:description w:val=""/>
        <w:guid w:val="{615eff18-0139-4ed9-9b29-4d2521d75bcf}"/>
      </w:docPartPr>
      <w:docPartBody>
        <w:p>
          <w:r>
            <w:rPr>
              <w:color w:val="808080"/>
            </w:rPr>
            <w:t>单击此处输入文字。</w:t>
          </w:r>
        </w:p>
      </w:docPartBody>
    </w:docPart>
    <w:docPart>
      <w:docPartPr>
        <w:name w:val="{a0b09983-77af-4e8f-9937-1087c59ada69}"/>
        <w:style w:val=""/>
        <w:category>
          <w:name w:val="常规"/>
          <w:gallery w:val="placeholder"/>
        </w:category>
        <w:types>
          <w:type w:val="bbPlcHdr"/>
        </w:types>
        <w:behaviors>
          <w:behavior w:val="content"/>
        </w:behaviors>
        <w:description w:val=""/>
        <w:guid w:val="{a0b09983-77af-4e8f-9937-1087c59ada69}"/>
      </w:docPartPr>
      <w:docPartBody>
        <w:p>
          <w:r>
            <w:rPr>
              <w:color w:val="808080"/>
            </w:rPr>
            <w:t>单击此处输入文字。</w:t>
          </w:r>
        </w:p>
      </w:docPartBody>
    </w:docPart>
    <w:docPart>
      <w:docPartPr>
        <w:name w:val="{b9e9535c-5361-44f5-9fff-19d033476650}"/>
        <w:style w:val=""/>
        <w:category>
          <w:name w:val="常规"/>
          <w:gallery w:val="placeholder"/>
        </w:category>
        <w:types>
          <w:type w:val="bbPlcHdr"/>
        </w:types>
        <w:behaviors>
          <w:behavior w:val="content"/>
        </w:behaviors>
        <w:description w:val=""/>
        <w:guid w:val="{b9e9535c-5361-44f5-9fff-19d033476650}"/>
      </w:docPartPr>
      <w:docPartBody>
        <w:p>
          <w:r>
            <w:rPr>
              <w:color w:val="808080"/>
            </w:rPr>
            <w:t>单击此处输入文字。</w:t>
          </w:r>
        </w:p>
      </w:docPartBody>
    </w:docPart>
    <w:docPart>
      <w:docPartPr>
        <w:name w:val="{39c23b56-7fb6-40fa-a642-fb39dfbcf1cf}"/>
        <w:style w:val=""/>
        <w:category>
          <w:name w:val="常规"/>
          <w:gallery w:val="placeholder"/>
        </w:category>
        <w:types>
          <w:type w:val="bbPlcHdr"/>
        </w:types>
        <w:behaviors>
          <w:behavior w:val="content"/>
        </w:behaviors>
        <w:description w:val=""/>
        <w:guid w:val="{39c23b56-7fb6-40fa-a642-fb39dfbcf1cf}"/>
      </w:docPartPr>
      <w:docPartBody>
        <w:p>
          <w:r>
            <w:rPr>
              <w:color w:val="808080"/>
            </w:rPr>
            <w:t>单击此处输入文字。</w:t>
          </w:r>
        </w:p>
      </w:docPartBody>
    </w:docPart>
    <w:docPart>
      <w:docPartPr>
        <w:name w:val="{c04e0eaf-a3c7-4754-87db-171451ed28c7}"/>
        <w:style w:val=""/>
        <w:category>
          <w:name w:val="常规"/>
          <w:gallery w:val="placeholder"/>
        </w:category>
        <w:types>
          <w:type w:val="bbPlcHdr"/>
        </w:types>
        <w:behaviors>
          <w:behavior w:val="content"/>
        </w:behaviors>
        <w:description w:val=""/>
        <w:guid w:val="{c04e0eaf-a3c7-4754-87db-171451ed28c7}"/>
      </w:docPartPr>
      <w:docPartBody>
        <w:p>
          <w:r>
            <w:rPr>
              <w:color w:val="808080"/>
            </w:rPr>
            <w:t>单击此处输入文字。</w:t>
          </w:r>
        </w:p>
      </w:docPartBody>
    </w:docPart>
    <w:docPart>
      <w:docPartPr>
        <w:name w:val="{72b7a64a-e4ae-4fba-8b9d-c8133ceb0625}"/>
        <w:style w:val=""/>
        <w:category>
          <w:name w:val="常规"/>
          <w:gallery w:val="placeholder"/>
        </w:category>
        <w:types>
          <w:type w:val="bbPlcHdr"/>
        </w:types>
        <w:behaviors>
          <w:behavior w:val="content"/>
        </w:behaviors>
        <w:description w:val=""/>
        <w:guid w:val="{72b7a64a-e4ae-4fba-8b9d-c8133ceb0625}"/>
      </w:docPartPr>
      <w:docPartBody>
        <w:p>
          <w:r>
            <w:rPr>
              <w:color w:val="808080"/>
            </w:rPr>
            <w:t>单击此处输入文字。</w:t>
          </w:r>
        </w:p>
      </w:docPartBody>
    </w:docPart>
    <w:docPart>
      <w:docPartPr>
        <w:name w:val="{925ebf03-91e3-4e1e-ad93-18dc07ff9233}"/>
        <w:style w:val=""/>
        <w:category>
          <w:name w:val="常规"/>
          <w:gallery w:val="placeholder"/>
        </w:category>
        <w:types>
          <w:type w:val="bbPlcHdr"/>
        </w:types>
        <w:behaviors>
          <w:behavior w:val="content"/>
        </w:behaviors>
        <w:description w:val=""/>
        <w:guid w:val="{925ebf03-91e3-4e1e-ad93-18dc07ff9233}"/>
      </w:docPartPr>
      <w:docPartBody>
        <w:p>
          <w:r>
            <w:rPr>
              <w:color w:val="808080"/>
            </w:rPr>
            <w:t>单击此处输入文字。</w:t>
          </w:r>
        </w:p>
      </w:docPartBody>
    </w:docPart>
    <w:docPart>
      <w:docPartPr>
        <w:name w:val="{33882c6e-a91f-419d-9450-6d2c01ff5f20}"/>
        <w:style w:val=""/>
        <w:category>
          <w:name w:val="常规"/>
          <w:gallery w:val="placeholder"/>
        </w:category>
        <w:types>
          <w:type w:val="bbPlcHdr"/>
        </w:types>
        <w:behaviors>
          <w:behavior w:val="content"/>
        </w:behaviors>
        <w:description w:val=""/>
        <w:guid w:val="{33882c6e-a91f-419d-9450-6d2c01ff5f20}"/>
      </w:docPartPr>
      <w:docPartBody>
        <w:p>
          <w:r>
            <w:rPr>
              <w:color w:val="808080"/>
            </w:rPr>
            <w:t>单击此处输入文字。</w:t>
          </w:r>
        </w:p>
      </w:docPartBody>
    </w:docPart>
    <w:docPart>
      <w:docPartPr>
        <w:name w:val="{04d808bf-63c1-48eb-96d5-2892d0547ff6}"/>
        <w:style w:val=""/>
        <w:category>
          <w:name w:val="常规"/>
          <w:gallery w:val="placeholder"/>
        </w:category>
        <w:types>
          <w:type w:val="bbPlcHdr"/>
        </w:types>
        <w:behaviors>
          <w:behavior w:val="content"/>
        </w:behaviors>
        <w:description w:val=""/>
        <w:guid w:val="{04d808bf-63c1-48eb-96d5-2892d0547ff6}"/>
      </w:docPartPr>
      <w:docPartBody>
        <w:p>
          <w:r>
            <w:rPr>
              <w:color w:val="808080"/>
            </w:rPr>
            <w:t>单击此处输入文字。</w:t>
          </w:r>
        </w:p>
      </w:docPartBody>
    </w:docPart>
    <w:docPart>
      <w:docPartPr>
        <w:name w:val="{d9ae6954-6419-47e3-a241-ba8b46109179}"/>
        <w:style w:val=""/>
        <w:category>
          <w:name w:val="常规"/>
          <w:gallery w:val="placeholder"/>
        </w:category>
        <w:types>
          <w:type w:val="bbPlcHdr"/>
        </w:types>
        <w:behaviors>
          <w:behavior w:val="content"/>
        </w:behaviors>
        <w:description w:val=""/>
        <w:guid w:val="{d9ae6954-6419-47e3-a241-ba8b46109179}"/>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00" w:usb3="00000000" w:csb0="0000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5"/>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1738</Words>
  <Characters>9911</Characters>
  <Lines>82</Lines>
  <Paragraphs>23</Paragraphs>
  <TotalTime>4</TotalTime>
  <ScaleCrop>false</ScaleCrop>
  <LinksUpToDate>false</LinksUpToDate>
  <CharactersWithSpaces>11626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2020-05-23T08:44:00Z</dcterms:created>
  <dc:creator>XIE XIN</dc:creator>
  <cp:lastModifiedBy>De</cp:lastModifiedBy>
  <cp:lastPrinted>2020-06-25T06:33:00Z</cp:lastPrinted>
  <dcterms:modified xsi:type="dcterms:W3CDTF">2021-10-21T02:47:36Z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ribbonExt">
    <vt:lpwstr>{"WPSExtOfficeTab":{"OnGetEnabled":false,"OnGetVisible":false}}</vt:lpwstr>
  </property>
  <property fmtid="{D5CDD505-2E9C-101B-9397-08002B2CF9AE}" pid="4" name="ICV">
    <vt:lpwstr>11DB9F9B24FC46F09371DFF239DA6939</vt:lpwstr>
  </property>
</Properties>
</file>