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ageBreakBefore w:val="0"/>
        <w:kinsoku/>
        <w:wordWrap/>
        <w:overflowPunct/>
        <w:topLinePunct w:val="0"/>
        <w:bidi w:val="0"/>
        <w:spacing w:line="360" w:lineRule="auto"/>
        <w:jc w:val="center"/>
        <w:rPr>
          <w:rFonts w:hint="eastAsia" w:ascii="方正小标宋简体" w:hAnsi="方正小标宋简体" w:eastAsia="方正小标宋简体" w:cs="方正小标宋简体"/>
          <w:color w:val="auto"/>
          <w:sz w:val="44"/>
          <w:szCs w:val="44"/>
          <w:lang w:val="en-US" w:eastAsia="zh-CN"/>
        </w:rPr>
      </w:pPr>
      <w:r>
        <w:rPr>
          <w:rFonts w:hint="eastAsia" w:ascii="仿宋_GB2312" w:eastAsia="仿宋_GB2312"/>
          <w:color w:val="auto"/>
          <w:sz w:val="32"/>
          <w:szCs w:val="32"/>
        </w:rPr>
        <w:t xml:space="preserve"> </w:t>
      </w:r>
      <w:r>
        <w:rPr>
          <w:rFonts w:hint="eastAsia" w:ascii="方正小标宋简体" w:hAnsi="方正小标宋简体" w:eastAsia="方正小标宋简体" w:cs="方正小标宋简体"/>
          <w:color w:val="auto"/>
          <w:sz w:val="44"/>
          <w:szCs w:val="44"/>
          <w:lang w:val="en-US" w:eastAsia="zh-CN"/>
        </w:rPr>
        <w:t>项目绩效自评报告</w:t>
      </w: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Style w:val="13"/>
        <w:rPr>
          <w:rFonts w:hint="eastAsia"/>
          <w:color w:val="auto"/>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Style w:val="13"/>
        <w:rPr>
          <w:rFonts w:hint="eastAsia" w:ascii="仿宋_GB2312" w:eastAsia="仿宋_GB2312"/>
          <w:color w:val="auto"/>
          <w:sz w:val="30"/>
          <w:szCs w:val="30"/>
        </w:rPr>
      </w:pPr>
    </w:p>
    <w:p>
      <w:pPr>
        <w:rPr>
          <w:rFonts w:hint="eastAsia"/>
          <w:color w:val="auto"/>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left="4800" w:leftChars="200" w:hanging="4160" w:hangingChars="13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rPr>
        <w:t>专项资金</w:t>
      </w:r>
      <w:r>
        <w:rPr>
          <w:rFonts w:hint="eastAsia" w:ascii="仿宋_GB2312" w:eastAsia="仿宋_GB2312"/>
          <w:color w:val="auto"/>
          <w:sz w:val="32"/>
          <w:szCs w:val="32"/>
          <w:lang w:eastAsia="zh-CN"/>
        </w:rPr>
        <w:t>“财政事权”</w:t>
      </w:r>
      <w:r>
        <w:rPr>
          <w:rFonts w:hint="eastAsia" w:ascii="仿宋_GB2312" w:eastAsia="仿宋_GB2312"/>
          <w:color w:val="auto"/>
          <w:sz w:val="32"/>
          <w:szCs w:val="32"/>
        </w:rPr>
        <w:t>名称：</w:t>
      </w:r>
      <w:r>
        <w:rPr>
          <w:rFonts w:hint="eastAsia" w:ascii="仿宋_GB2312" w:hAnsi="仿宋" w:eastAsia="仿宋_GB2312"/>
          <w:color w:val="auto"/>
          <w:sz w:val="32"/>
          <w:szCs w:val="32"/>
          <w:highlight w:val="none"/>
          <w:lang w:val="en-US" w:eastAsia="zh-CN"/>
        </w:rPr>
        <w:t>其他事业发展支出</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left="4160" w:leftChars="200" w:hanging="3520" w:hangingChars="11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对应“政策任务”数量:1项（2020年</w:t>
      </w:r>
      <w:r>
        <w:rPr>
          <w:rFonts w:hint="eastAsia" w:ascii="仿宋_GB2312" w:eastAsia="仿宋_GB2312"/>
          <w:color w:val="auto"/>
          <w:sz w:val="32"/>
          <w:szCs w:val="32"/>
          <w:highlight w:val="none"/>
          <w:lang w:val="en-US" w:eastAsia="zh-CN"/>
        </w:rPr>
        <w:t>休（禁）渔渔民生产生活补助资金</w:t>
      </w:r>
      <w:r>
        <w:rPr>
          <w:rFonts w:hint="eastAsia" w:ascii="仿宋_GB2312" w:eastAsia="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省级预算部门：</w:t>
      </w:r>
      <w:r>
        <w:rPr>
          <w:rFonts w:hint="eastAsia" w:ascii="仿宋_GB2312" w:eastAsia="仿宋_GB2312"/>
          <w:color w:val="auto"/>
          <w:sz w:val="32"/>
          <w:szCs w:val="32"/>
          <w:lang w:eastAsia="zh-CN"/>
        </w:rPr>
        <w:t>广东省农业农村厅</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 w:hAnsi="仿宋" w:eastAsia="仿宋" w:cs="仿宋"/>
          <w:color w:val="auto"/>
          <w:sz w:val="32"/>
          <w:szCs w:val="32"/>
          <w:highlight w:val="none"/>
          <w:lang w:val="en-US" w:eastAsia="zh-CN"/>
        </w:rPr>
      </w:pPr>
    </w:p>
    <w:p>
      <w:pPr>
        <w:pStyle w:val="2"/>
        <w:rPr>
          <w:rFonts w:hint="eastAsia" w:ascii="仿宋" w:hAnsi="仿宋" w:eastAsia="仿宋" w:cs="仿宋"/>
          <w:color w:val="auto"/>
          <w:sz w:val="32"/>
          <w:szCs w:val="32"/>
          <w:highlight w:val="none"/>
          <w:lang w:val="en-US" w:eastAsia="zh-CN"/>
        </w:rPr>
      </w:pPr>
    </w:p>
    <w:p>
      <w:pPr>
        <w:pStyle w:val="2"/>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jc w:val="center"/>
        <w:textAlignment w:val="auto"/>
        <w:rPr>
          <w:rFonts w:hint="eastAsia" w:ascii="黑体" w:hAnsi="黑体"/>
          <w:bCs/>
          <w:color w:val="auto"/>
        </w:rPr>
      </w:pPr>
      <w:bookmarkStart w:id="82" w:name="_GoBack"/>
      <w:bookmarkEnd w:id="82"/>
      <w:r>
        <w:rPr>
          <w:rFonts w:hint="eastAsia" w:ascii="仿宋_GB2312" w:eastAsia="仿宋_GB2312"/>
          <w:color w:val="auto"/>
          <w:sz w:val="32"/>
          <w:szCs w:val="32"/>
        </w:rPr>
        <w:t>填报日期：</w:t>
      </w:r>
      <w:r>
        <w:rPr>
          <w:rFonts w:hint="eastAsia" w:ascii="仿宋_GB2312" w:eastAsia="仿宋_GB2312"/>
          <w:color w:val="auto"/>
          <w:sz w:val="32"/>
          <w:szCs w:val="32"/>
          <w:lang w:val="en-US" w:eastAsia="zh-CN"/>
        </w:rPr>
        <w:t>2021年9月28日</w:t>
      </w:r>
    </w:p>
    <w:p>
      <w:pPr>
        <w:rPr>
          <w:rFonts w:hint="eastAsia" w:ascii="黑体" w:hAnsi="黑体"/>
          <w:bCs/>
          <w:color w:val="auto"/>
        </w:rPr>
      </w:pPr>
    </w:p>
    <w:p>
      <w:pPr>
        <w:pStyle w:val="13"/>
        <w:rPr>
          <w:rFonts w:hint="eastAsia" w:ascii="黑体" w:hAnsi="黑体"/>
          <w:bCs/>
          <w:color w:val="auto"/>
        </w:rPr>
      </w:pPr>
    </w:p>
    <w:p>
      <w:pPr>
        <w:rPr>
          <w:rFonts w:hint="eastAsia" w:ascii="黑体" w:hAnsi="黑体"/>
          <w:bCs/>
          <w:color w:val="auto"/>
        </w:rPr>
      </w:pPr>
    </w:p>
    <w:p>
      <w:pPr>
        <w:pStyle w:val="13"/>
        <w:rPr>
          <w:rFonts w:hint="eastAsia" w:ascii="黑体" w:hAnsi="黑体"/>
          <w:bCs/>
          <w:color w:val="auto"/>
        </w:rPr>
        <w:sectPr>
          <w:pgSz w:w="11906" w:h="16838"/>
          <w:pgMar w:top="2041" w:right="1417" w:bottom="1417" w:left="1531" w:header="851" w:footer="992" w:gutter="0"/>
          <w:pgNumType w:fmt="numberInDash"/>
          <w:cols w:space="720" w:num="1"/>
          <w:docGrid w:type="lines" w:linePitch="312" w:charSpace="0"/>
        </w:sectPr>
      </w:pPr>
    </w:p>
    <w:p>
      <w:pPr>
        <w:pStyle w:val="27"/>
        <w:keepNext/>
        <w:keepLines/>
        <w:pageBreakBefore w:val="0"/>
        <w:widowControl/>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目 录</w:t>
      </w:r>
    </w:p>
    <w:p>
      <w:pPr>
        <w:rPr>
          <w:rFonts w:hint="eastAsia" w:ascii="宋体" w:hAnsi="宋体" w:eastAsia="宋体" w:cs="宋体"/>
          <w:color w:val="auto"/>
          <w:sz w:val="21"/>
          <w:szCs w:val="18"/>
          <w:lang w:eastAsia="zh-CN"/>
        </w:rPr>
      </w:pP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TOC \o "1-2" \h \u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_Toc28137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一、基本情况</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_Toc28137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_Toc11442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（一）资金安排情况</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_Toc11442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_Toc20576 </w:instrText>
      </w:r>
      <w:r>
        <w:rPr>
          <w:rStyle w:val="17"/>
          <w:rFonts w:hint="eastAsia" w:ascii="仿宋_GB2312" w:hAnsi="黑体" w:eastAsia="仿宋_GB2312"/>
          <w:bCs/>
          <w:color w:val="auto"/>
          <w:sz w:val="32"/>
          <w:szCs w:val="32"/>
          <w:highlight w:val="none"/>
        </w:rPr>
        <w:fldChar w:fldCharType="separate"/>
      </w:r>
      <w:r>
        <w:rPr>
          <w:rStyle w:val="17"/>
          <w:rFonts w:hint="default" w:ascii="仿宋_GB2312" w:hAnsi="黑体" w:eastAsia="仿宋_GB2312"/>
          <w:bCs/>
          <w:color w:val="auto"/>
          <w:sz w:val="32"/>
          <w:szCs w:val="32"/>
          <w:highlight w:val="none"/>
          <w:lang w:val="en-US" w:eastAsia="zh-CN"/>
        </w:rPr>
        <w:t>（二）资金分配方式和实施程序</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_Toc20576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- 2 -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_Toc1193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（三）主要用途</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_Toc1193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- 3 -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_Toc2944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（四）绩效目标</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_Toc2944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- 4 -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_Toc18133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二、自评情况</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_Toc18133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- 4 -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_Toc13433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（一）自评分数</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_Toc13433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- 4 -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_Toc7958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（二）专项资金使用绩效</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_Toc7958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- 9 -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_Toc19793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（三）专项资金使用绩效存在的问题</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_Toc19793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- 11 -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_Toc7773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三、</w:t>
      </w:r>
      <w:r>
        <w:rPr>
          <w:rStyle w:val="17"/>
          <w:rFonts w:hint="eastAsia" w:ascii="仿宋_GB2312" w:hAnsi="黑体" w:eastAsia="仿宋_GB2312"/>
          <w:bCs/>
          <w:color w:val="auto"/>
          <w:sz w:val="32"/>
          <w:szCs w:val="32"/>
          <w:highlight w:val="none"/>
        </w:rPr>
        <w:t>改进意见</w:t>
      </w:r>
      <w:r>
        <w:rPr>
          <w:rStyle w:val="17"/>
          <w:rFonts w:hint="eastAsia" w:ascii="仿宋_GB2312" w:hAnsi="黑体" w:eastAsia="仿宋_GB2312"/>
          <w:bCs/>
          <w:color w:val="auto"/>
          <w:sz w:val="32"/>
          <w:szCs w:val="32"/>
          <w:highlight w:val="none"/>
          <w:lang w:eastAsia="zh-CN"/>
        </w:rPr>
        <w:t>和建议</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_Toc7773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- 12 -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_Toc26160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（一）认真做好项目实施监管，开展绩效运行监控，强化预算执行进度管理。</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_Toc26160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- 12 -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_Toc13122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（二）完善绩效考核机制，建立完整合理可衡量的绩效指标体系</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_Toc13122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- 13 -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default" w:ascii="仿宋_GB2312" w:hAnsi="黑体" w:eastAsia="仿宋_GB2312"/>
          <w:bCs/>
          <w:color w:val="auto"/>
          <w:sz w:val="32"/>
          <w:szCs w:val="32"/>
          <w:highlight w:val="none"/>
          <w:lang w:val="en-US" w:eastAsia="zh-CN"/>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_Toc7704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（三）强化主管部门责任，落实专项资金管理细则</w:t>
      </w:r>
    </w:p>
    <w:p>
      <w:pPr>
        <w:pStyle w:val="11"/>
        <w:pageBreakBefore w:val="0"/>
        <w:tabs>
          <w:tab w:val="right" w:leader="dot" w:pos="8296"/>
        </w:tabs>
        <w:kinsoku/>
        <w:wordWrap/>
        <w:overflowPunct/>
        <w:topLinePunct w:val="0"/>
        <w:bidi w:val="0"/>
        <w:spacing w:line="360" w:lineRule="auto"/>
        <w:rPr>
          <w:color w:val="auto"/>
        </w:rPr>
      </w:pP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_Toc7704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- 13 -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Fonts w:hint="eastAsia" w:ascii="仿宋_GB2312" w:hAnsi="Times New Roman" w:eastAsia="仿宋_GB2312" w:cs="Times New Roman"/>
          <w:b w:val="0"/>
          <w:bCs w:val="0"/>
          <w:color w:val="auto"/>
          <w:kern w:val="2"/>
          <w:sz w:val="32"/>
          <w:szCs w:val="32"/>
          <w:lang w:val="en-US" w:eastAsia="zh-CN" w:bidi="ar-SA"/>
        </w:rPr>
        <w:sectPr>
          <w:footerReference r:id="rId3" w:type="default"/>
          <w:pgSz w:w="11906" w:h="16838"/>
          <w:pgMar w:top="2041" w:right="1417" w:bottom="1417" w:left="1531" w:header="851" w:footer="992" w:gutter="0"/>
          <w:pgNumType w:fmt="numberInDash"/>
          <w:cols w:space="720" w:num="1"/>
          <w:docGrid w:type="lines" w:linePitch="312" w:charSpace="0"/>
        </w:sectPr>
      </w:pPr>
      <w:r>
        <w:rPr>
          <w:rFonts w:hint="eastAsia" w:ascii="仿宋_GB2312" w:hAnsi="黑体" w:eastAsia="仿宋_GB2312"/>
          <w:bCs/>
          <w:color w:val="auto"/>
          <w:szCs w:val="32"/>
          <w:highlight w:val="none"/>
        </w:rPr>
        <w:fldChar w:fldCharType="end"/>
      </w:r>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color w:val="auto"/>
          <w:lang w:val="en-US"/>
        </w:rPr>
      </w:pPr>
      <w:r>
        <w:rPr>
          <w:rFonts w:hint="eastAsia" w:ascii="仿宋_GB2312" w:hAnsi="Times New Roman" w:eastAsia="仿宋_GB2312" w:cs="Times New Roman"/>
          <w:b w:val="0"/>
          <w:bCs w:val="0"/>
          <w:color w:val="auto"/>
          <w:kern w:val="2"/>
          <w:sz w:val="32"/>
          <w:szCs w:val="32"/>
          <w:lang w:val="en-US" w:eastAsia="zh-CN" w:bidi="ar-SA"/>
        </w:rPr>
        <w:t>根据《广东省财政厅关于开展2021年省级财政资金绩效自评工作的通知》和《关于做好省农业农村厅2021年省级财政资金绩效自评工作的通知》，我厅对2020年休（禁）渔渔民生产生活补助资金使用情况组织开展了绩效自评。评价基准日2021年3月31日。</w:t>
      </w:r>
    </w:p>
    <w:p>
      <w:pPr>
        <w:pStyle w:val="14"/>
        <w:pageBreakBefore w:val="0"/>
        <w:kinsoku/>
        <w:wordWrap/>
        <w:overflowPunct/>
        <w:topLinePunct w:val="0"/>
        <w:bidi w:val="0"/>
        <w:spacing w:before="0" w:after="0" w:line="360" w:lineRule="auto"/>
        <w:ind w:firstLine="640"/>
        <w:jc w:val="both"/>
        <w:rPr>
          <w:rFonts w:hint="eastAsia" w:ascii="黑体" w:hAnsi="黑体"/>
          <w:bCs/>
          <w:color w:val="auto"/>
        </w:rPr>
      </w:pPr>
      <w:bookmarkStart w:id="0" w:name="_Toc28137"/>
      <w:bookmarkStart w:id="1" w:name="_Toc8093"/>
      <w:bookmarkStart w:id="2" w:name="_Toc8611"/>
      <w:r>
        <w:rPr>
          <w:rFonts w:hint="eastAsia" w:ascii="黑体" w:hAnsi="黑体"/>
          <w:bCs/>
          <w:color w:val="auto"/>
        </w:rPr>
        <w:t>一、基本情况</w:t>
      </w:r>
      <w:bookmarkEnd w:id="0"/>
      <w:bookmarkEnd w:id="1"/>
      <w:bookmarkEnd w:id="2"/>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default" w:ascii="Calibri" w:hAnsi="宋体" w:eastAsia="楷体_GB2312" w:cs="Times New Roman"/>
          <w:b/>
          <w:bCs/>
          <w:color w:val="auto"/>
          <w:kern w:val="44"/>
          <w:sz w:val="32"/>
          <w:szCs w:val="44"/>
          <w:lang w:val="en-US" w:eastAsia="zh-CN" w:bidi="ar-SA"/>
        </w:rPr>
      </w:pPr>
      <w:bookmarkStart w:id="3" w:name="_Toc11442"/>
      <w:bookmarkStart w:id="4" w:name="_Toc554"/>
      <w:bookmarkStart w:id="5" w:name="_Toc14202"/>
      <w:r>
        <w:rPr>
          <w:rFonts w:hint="eastAsia" w:ascii="Calibri" w:hAnsi="宋体" w:eastAsia="楷体_GB2312" w:cs="Times New Roman"/>
          <w:b/>
          <w:bCs/>
          <w:color w:val="auto"/>
          <w:kern w:val="44"/>
          <w:sz w:val="32"/>
          <w:szCs w:val="44"/>
          <w:lang w:val="en-US" w:eastAsia="zh-CN" w:bidi="ar-SA"/>
        </w:rPr>
        <w:t>（一）资金安排情况</w:t>
      </w:r>
      <w:bookmarkEnd w:id="3"/>
      <w:bookmarkEnd w:id="4"/>
      <w:bookmarkEnd w:id="5"/>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b w:val="0"/>
          <w:bCs w:val="0"/>
          <w:color w:val="auto"/>
          <w:kern w:val="2"/>
          <w:sz w:val="32"/>
          <w:szCs w:val="32"/>
          <w:lang w:val="en-US" w:eastAsia="zh-CN" w:bidi="ar-SA"/>
        </w:rPr>
      </w:pPr>
      <w:bookmarkStart w:id="6" w:name="_Toc14411"/>
      <w:r>
        <w:rPr>
          <w:rFonts w:hint="eastAsia" w:ascii="仿宋_GB2312" w:hAnsi="Times New Roman" w:eastAsia="仿宋_GB2312" w:cs="Times New Roman"/>
          <w:b w:val="0"/>
          <w:bCs w:val="0"/>
          <w:color w:val="auto"/>
          <w:kern w:val="2"/>
          <w:sz w:val="32"/>
          <w:szCs w:val="32"/>
          <w:lang w:val="en-US" w:eastAsia="zh-CN" w:bidi="ar-SA"/>
        </w:rPr>
        <w:t>1.为贯彻落实科学发展观，促进南海伏季休渔和珠江禁渔等制度顺利实施，缓解休（禁）渔期间渔民群众因执行休（禁）渔制度造成的生计损失，维护渔区稳定，省财政设立专项资金，用于休（禁）渔渔民生产生活补助。《关于下达2020年省级休（禁）渔渔民生产生活补助资金的通知》（粤财农〔2020〕47号）下达专项资金3358万元，按因素法分配下达给汕头市等15个地市用于2020年休（禁）渔渔民生产生活补助。根据《广东省海洋与渔业厅 省财政厅关于印发〈广东省休（禁）渔渔民生产生活补助发放实施方案〉的通知》（粤海渔〔2018〕25号）规定的补助标准，资金不足部分由切块下达到各地的渔业成品油价格补贴一般性转移支付资金兜底解决。超出最低补助标准部分的资金由各地财政自主配套解决。2020年省级休（禁）渔渔民生产生活补助资金分配情况详见表1-1。</w:t>
      </w:r>
      <w:bookmarkEnd w:id="6"/>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b w:val="0"/>
          <w:bCs w:val="0"/>
          <w:color w:val="auto"/>
          <w:kern w:val="2"/>
          <w:sz w:val="32"/>
          <w:szCs w:val="32"/>
          <w:lang w:val="en-US" w:eastAsia="zh-CN" w:bidi="ar-SA"/>
        </w:rPr>
      </w:pPr>
    </w:p>
    <w:p>
      <w:pPr>
        <w:pStyle w:val="13"/>
        <w:ind w:left="0" w:leftChars="0" w:firstLine="0" w:firstLineChars="0"/>
        <w:jc w:val="center"/>
        <w:rPr>
          <w:rFonts w:hint="eastAsia"/>
          <w:color w:val="auto"/>
          <w:lang w:val="en-US" w:eastAsia="zh-CN"/>
        </w:rPr>
      </w:pPr>
      <w:r>
        <w:rPr>
          <w:rFonts w:hint="eastAsia" w:ascii="黑体" w:hAnsi="黑体" w:eastAsia="黑体" w:cs="黑体"/>
          <w:b w:val="0"/>
          <w:bCs w:val="0"/>
          <w:i w:val="0"/>
          <w:color w:val="auto"/>
          <w:kern w:val="0"/>
          <w:sz w:val="28"/>
          <w:szCs w:val="28"/>
          <w:u w:val="none"/>
          <w:lang w:val="en-US" w:eastAsia="zh-CN" w:bidi="ar"/>
        </w:rPr>
        <w:t>表1-1 2020年省级休（禁）渔渔民生产生活补助资金分配情况表</w:t>
      </w:r>
    </w:p>
    <w:tbl>
      <w:tblPr>
        <w:tblStyle w:val="15"/>
        <w:tblW w:w="8400" w:type="dxa"/>
        <w:jc w:val="center"/>
        <w:shd w:val="clear" w:color="auto" w:fill="auto"/>
        <w:tblLayout w:type="fixed"/>
        <w:tblCellMar>
          <w:top w:w="0" w:type="dxa"/>
          <w:left w:w="0" w:type="dxa"/>
          <w:bottom w:w="0" w:type="dxa"/>
          <w:right w:w="0" w:type="dxa"/>
        </w:tblCellMar>
      </w:tblPr>
      <w:tblGrid>
        <w:gridCol w:w="1399"/>
        <w:gridCol w:w="3500"/>
        <w:gridCol w:w="3501"/>
      </w:tblGrid>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序号</w:t>
            </w:r>
          </w:p>
        </w:tc>
        <w:tc>
          <w:tcPr>
            <w:tcW w:w="35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地市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金额（万元）</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汕头市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152</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韶关市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69</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河源市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77</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梅州市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46</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惠州市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116</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汕尾市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308</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江门市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244</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阳江市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507</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湛江市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892</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茂名市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289</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肇庆市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148</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清远市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115</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潮州市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83</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揭阳市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253</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云浮市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59</w:t>
            </w:r>
          </w:p>
        </w:tc>
      </w:tr>
      <w:tr>
        <w:tblPrEx>
          <w:shd w:val="clear" w:color="auto" w:fill="auto"/>
          <w:tblCellMar>
            <w:top w:w="0" w:type="dxa"/>
            <w:left w:w="0" w:type="dxa"/>
            <w:bottom w:w="0" w:type="dxa"/>
            <w:right w:w="0" w:type="dxa"/>
          </w:tblCellMar>
        </w:tblPrEx>
        <w:trPr>
          <w:trHeight w:val="312" w:hRule="atLeast"/>
          <w:jc w:val="center"/>
        </w:trPr>
        <w:tc>
          <w:tcPr>
            <w:tcW w:w="489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合计</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3358</w:t>
            </w:r>
          </w:p>
        </w:tc>
      </w:tr>
    </w:tbl>
    <w:p>
      <w:pPr>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2" w:firstLineChars="200"/>
        <w:jc w:val="both"/>
        <w:textAlignment w:val="auto"/>
        <w:outlineLvl w:val="9"/>
        <w:rPr>
          <w:rFonts w:hint="default" w:ascii="仿宋_GB2312" w:hAnsi="仿宋_GB2312" w:eastAsia="仿宋_GB2312" w:cs="仿宋_GB2312"/>
          <w:b/>
          <w:bCs/>
          <w:color w:val="auto"/>
          <w:kern w:val="0"/>
          <w:sz w:val="32"/>
          <w:szCs w:val="32"/>
          <w:lang w:val="en-US" w:eastAsia="zh-CN"/>
        </w:rPr>
      </w:pPr>
      <w:bookmarkStart w:id="7" w:name="_Toc1414"/>
      <w:r>
        <w:rPr>
          <w:rFonts w:hint="eastAsia" w:ascii="仿宋_GB2312" w:hAnsi="仿宋_GB2312" w:eastAsia="仿宋_GB2312" w:cs="仿宋_GB2312"/>
          <w:b/>
          <w:bCs/>
          <w:color w:val="auto"/>
          <w:kern w:val="0"/>
          <w:sz w:val="32"/>
          <w:szCs w:val="32"/>
          <w:lang w:val="en-US" w:eastAsia="zh-CN"/>
        </w:rPr>
        <w:t>2.补助对象</w:t>
      </w:r>
      <w:bookmarkEnd w:id="7"/>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bookmarkStart w:id="8" w:name="_Toc10940"/>
      <w:r>
        <w:rPr>
          <w:rFonts w:hint="eastAsia" w:ascii="仿宋_GB2312" w:hAnsi="仿宋_GB2312" w:eastAsia="仿宋_GB2312" w:cs="仿宋_GB2312"/>
          <w:b w:val="0"/>
          <w:bCs w:val="0"/>
          <w:color w:val="auto"/>
          <w:kern w:val="0"/>
          <w:sz w:val="32"/>
          <w:szCs w:val="32"/>
          <w:lang w:val="en-US" w:eastAsia="zh-CN"/>
        </w:rPr>
        <w:t>休（禁）渔补助对象为经渔业行政主管部门核定的本辖区休（禁）渔渔业船舶上工作的渔业船员。补助对象应当符合以下条件：</w:t>
      </w:r>
      <w:bookmarkEnd w:id="8"/>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bookmarkStart w:id="9" w:name="_Toc24731"/>
      <w:r>
        <w:rPr>
          <w:rFonts w:hint="eastAsia" w:ascii="仿宋_GB2312" w:hAnsi="仿宋_GB2312" w:eastAsia="仿宋_GB2312" w:cs="仿宋_GB2312"/>
          <w:b w:val="0"/>
          <w:bCs w:val="0"/>
          <w:color w:val="auto"/>
          <w:kern w:val="0"/>
          <w:sz w:val="32"/>
          <w:szCs w:val="32"/>
          <w:lang w:val="en-US" w:eastAsia="zh-CN"/>
        </w:rPr>
        <w:t>（1）所在渔业船舶必须纳入中国渔政管理指挥系统数据库或广东省渔船数据库管理。</w:t>
      </w:r>
      <w:bookmarkEnd w:id="9"/>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（2）持有合法有效的渔业船员证书，并购买了人身意外保险，且保单在有效期内。</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default" w:ascii="Calibri" w:hAnsi="宋体" w:eastAsia="楷体_GB2312" w:cs="Times New Roman"/>
          <w:b/>
          <w:bCs/>
          <w:color w:val="auto"/>
          <w:kern w:val="44"/>
          <w:sz w:val="32"/>
          <w:szCs w:val="44"/>
          <w:lang w:val="en-US" w:eastAsia="zh-CN" w:bidi="ar-SA"/>
        </w:rPr>
      </w:pPr>
      <w:bookmarkStart w:id="10" w:name="_Toc20576"/>
      <w:bookmarkStart w:id="11" w:name="_Toc8601"/>
      <w:r>
        <w:rPr>
          <w:rFonts w:hint="default" w:ascii="Calibri" w:hAnsi="宋体" w:eastAsia="楷体_GB2312" w:cs="Times New Roman"/>
          <w:b/>
          <w:bCs/>
          <w:color w:val="auto"/>
          <w:kern w:val="44"/>
          <w:sz w:val="32"/>
          <w:szCs w:val="44"/>
          <w:lang w:val="en-US" w:eastAsia="zh-CN" w:bidi="ar-SA"/>
        </w:rPr>
        <w:t>（二）资金分配方式和实施程序</w:t>
      </w:r>
      <w:bookmarkEnd w:id="10"/>
      <w:bookmarkEnd w:id="11"/>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根据《广东省休（禁）渔</w:t>
      </w:r>
      <w:r>
        <w:rPr>
          <w:rFonts w:hint="eastAsia" w:ascii="仿宋" w:hAnsi="仿宋" w:eastAsia="仿宋" w:cs="仿宋"/>
          <w:b w:val="0"/>
          <w:bCs w:val="0"/>
          <w:color w:val="auto"/>
          <w:sz w:val="32"/>
          <w:szCs w:val="32"/>
          <w:lang w:val="en-US" w:eastAsia="zh-CN"/>
        </w:rPr>
        <w:t>渔民生产生活补助发放实施方案》关于“每年以上一年度各市县发放休（禁）渔补助人数及绩效评价结果作为资金分配因素”的规定，以2019年各市发放休（禁）渔补助人数作为资金分配因素，以各市发放人数占发放总人数的比例作为补助资金3358万元的分配比例。</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color w:val="auto"/>
          <w:sz w:val="32"/>
          <w:szCs w:val="32"/>
          <w:lang w:val="en-US" w:eastAsia="zh-CN"/>
        </w:rPr>
        <w:t>具体</w:t>
      </w:r>
      <w:r>
        <w:rPr>
          <w:rFonts w:hint="default" w:ascii="仿宋_GB2312" w:hAnsi="仿宋_GB2312" w:eastAsia="仿宋_GB2312" w:cs="仿宋_GB2312"/>
          <w:color w:val="auto"/>
          <w:sz w:val="32"/>
          <w:szCs w:val="32"/>
          <w:lang w:val="en-US" w:eastAsia="zh-CN"/>
        </w:rPr>
        <w:t>公式如下：某地实际分配资金（万元）</w:t>
      </w:r>
      <w:r>
        <w:rPr>
          <w:rFonts w:hint="eastAsia" w:ascii="仿宋" w:hAnsi="仿宋" w:eastAsia="仿宋" w:cs="仿宋"/>
          <w:b w:val="0"/>
          <w:bCs w:val="0"/>
          <w:color w:val="auto"/>
          <w:sz w:val="32"/>
          <w:szCs w:val="32"/>
          <w:lang w:val="en-US" w:eastAsia="zh-CN"/>
        </w:rPr>
        <w:t>=（2019年发放补助人数/15市发放补助总人数）*3358万元。</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具体实施程序如下：</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（1）申报。补助申报以船为单位，由渔船船东在办理休（禁）渔手续后向船籍港所在地乡镇人民政府（街道办事处）申报。</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（2）初审。乡镇人民政府（街道办事处）对申报材料进行初审。</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（3）初审公示。补助申报时间结束后，乡镇人民政府（街道办事处）公示初审结果后，将公示结果和申报材料汇总报县级渔业行政主管部门复核。</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（4）复核。接到乡镇人民政府（街道办事处）报送的补贴申报材料后，县级渔业行政主管部门需在20个工作日内进行复核，核算补贴金额。</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i w:val="0"/>
          <w:iCs w:val="0"/>
          <w:color w:val="auto"/>
          <w:sz w:val="32"/>
          <w:szCs w:val="32"/>
          <w:lang w:val="en-US" w:eastAsia="zh-CN"/>
        </w:rPr>
        <w:t>（5）复核公示。</w:t>
      </w:r>
      <w:r>
        <w:rPr>
          <w:rFonts w:hint="eastAsia" w:ascii="仿宋" w:hAnsi="仿宋" w:eastAsia="仿宋" w:cs="仿宋"/>
          <w:b w:val="0"/>
          <w:bCs w:val="0"/>
          <w:color w:val="auto"/>
          <w:sz w:val="32"/>
          <w:szCs w:val="32"/>
          <w:lang w:val="en-US" w:eastAsia="zh-CN"/>
        </w:rPr>
        <w:t>复核无误后，县级渔业行政主管部门公示复核结果，于公示结束后10个工作日内将复核结果报送同级财政部门。</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（6）发放补助。县级财政部门收到复核结果后，立即组织开展辖区内资金发放工作，将资金发放到补助对象的存折或银行卡上。</w:t>
      </w:r>
      <w:bookmarkStart w:id="12" w:name="_Toc26619"/>
      <w:bookmarkStart w:id="13" w:name="_Toc10734"/>
      <w:bookmarkStart w:id="14" w:name="_Toc1193"/>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2" w:firstLineChars="200"/>
        <w:jc w:val="both"/>
        <w:textAlignment w:val="auto"/>
        <w:outlineLvl w:val="9"/>
        <w:rPr>
          <w:rFonts w:hint="eastAsia" w:ascii="Calibri" w:hAnsi="宋体" w:eastAsia="楷体_GB2312" w:cs="Times New Roman"/>
          <w:b/>
          <w:bCs/>
          <w:color w:val="auto"/>
          <w:kern w:val="44"/>
          <w:sz w:val="32"/>
          <w:szCs w:val="44"/>
          <w:lang w:val="en-US" w:eastAsia="zh-CN" w:bidi="ar-SA"/>
        </w:rPr>
      </w:pPr>
      <w:r>
        <w:rPr>
          <w:rFonts w:hint="eastAsia" w:ascii="Calibri" w:hAnsi="宋体" w:eastAsia="楷体_GB2312" w:cs="Times New Roman"/>
          <w:b/>
          <w:bCs/>
          <w:color w:val="auto"/>
          <w:kern w:val="44"/>
          <w:sz w:val="32"/>
          <w:szCs w:val="44"/>
          <w:lang w:val="en-US" w:eastAsia="zh-CN" w:bidi="ar-SA"/>
        </w:rPr>
        <w:t>（三）主要用途</w:t>
      </w:r>
      <w:bookmarkEnd w:id="12"/>
      <w:bookmarkEnd w:id="13"/>
      <w:bookmarkEnd w:id="14"/>
    </w:p>
    <w:p>
      <w:pPr>
        <w:pStyle w:val="13"/>
        <w:keepNext w:val="0"/>
        <w:keepLines w:val="0"/>
        <w:pageBreakBefore w:val="0"/>
        <w:widowControl w:val="0"/>
        <w:kinsoku/>
        <w:wordWrap/>
        <w:overflowPunct/>
        <w:topLinePunct w:val="0"/>
        <w:autoSpaceDE/>
        <w:autoSpaceDN/>
        <w:bidi w:val="0"/>
        <w:adjustRightInd/>
        <w:snapToGrid/>
        <w:ind w:left="160" w:leftChars="50" w:firstLine="640" w:firstLineChars="200"/>
        <w:jc w:val="left"/>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此项资金的主要用途是对因执行休（禁）渔制度造成生计损失的渔民群众发放生产生活补助。</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default" w:ascii="Calibri" w:hAnsi="宋体" w:eastAsia="楷体_GB2312" w:cs="Times New Roman"/>
          <w:b/>
          <w:bCs/>
          <w:color w:val="auto"/>
          <w:kern w:val="44"/>
          <w:sz w:val="32"/>
          <w:szCs w:val="44"/>
          <w:lang w:val="en-US" w:eastAsia="zh-CN" w:bidi="ar-SA"/>
        </w:rPr>
      </w:pPr>
      <w:bookmarkStart w:id="15" w:name="_Toc2944"/>
      <w:bookmarkStart w:id="16" w:name="_Toc30968"/>
      <w:bookmarkStart w:id="17" w:name="_Toc15061"/>
      <w:r>
        <w:rPr>
          <w:rFonts w:hint="eastAsia" w:ascii="Calibri" w:hAnsi="宋体" w:eastAsia="楷体_GB2312" w:cs="Times New Roman"/>
          <w:b/>
          <w:bCs/>
          <w:color w:val="auto"/>
          <w:kern w:val="44"/>
          <w:sz w:val="32"/>
          <w:szCs w:val="44"/>
          <w:lang w:val="en-US" w:eastAsia="zh-CN" w:bidi="ar-SA"/>
        </w:rPr>
        <w:t>（四）绩效目标</w:t>
      </w:r>
      <w:bookmarkEnd w:id="15"/>
      <w:bookmarkEnd w:id="16"/>
      <w:bookmarkEnd w:id="17"/>
    </w:p>
    <w:p>
      <w:pPr>
        <w:pStyle w:val="13"/>
        <w:keepNext w:val="0"/>
        <w:keepLines w:val="0"/>
        <w:pageBreakBefore w:val="0"/>
        <w:widowControl w:val="0"/>
        <w:kinsoku/>
        <w:wordWrap/>
        <w:overflowPunct/>
        <w:topLinePunct w:val="0"/>
        <w:autoSpaceDE/>
        <w:autoSpaceDN/>
        <w:bidi w:val="0"/>
        <w:adjustRightInd/>
        <w:snapToGrid/>
        <w:ind w:left="160" w:leftChars="50" w:firstLine="640" w:firstLineChars="200"/>
        <w:jc w:val="left"/>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向不少于15558名符合补助条件的渔民发放2020年休（禁）渔渔民生产生活补助（各市情况详见表格）。其中，汕头、汕尾、湛江三市以分配资金除以休渔补助标准进行计算（三市无参与禁渔渔船，仅有休渔渔船），其余各市以分配资金除以禁渔补助标准进行计算。</w:t>
      </w:r>
    </w:p>
    <w:p>
      <w:pPr>
        <w:pStyle w:val="14"/>
        <w:pageBreakBefore w:val="0"/>
        <w:numPr>
          <w:ilvl w:val="0"/>
          <w:numId w:val="1"/>
        </w:numPr>
        <w:kinsoku/>
        <w:wordWrap/>
        <w:overflowPunct/>
        <w:topLinePunct w:val="0"/>
        <w:bidi w:val="0"/>
        <w:spacing w:before="0" w:after="0" w:line="360" w:lineRule="auto"/>
        <w:ind w:firstLine="640"/>
        <w:jc w:val="both"/>
        <w:rPr>
          <w:rFonts w:hint="default"/>
          <w:color w:val="auto"/>
          <w:lang w:val="en-US" w:eastAsia="zh-CN"/>
        </w:rPr>
      </w:pPr>
      <w:bookmarkStart w:id="18" w:name="_Toc25349"/>
      <w:bookmarkStart w:id="19" w:name="_Toc18133"/>
      <w:bookmarkStart w:id="20" w:name="_Toc30830"/>
      <w:r>
        <w:rPr>
          <w:rFonts w:hint="eastAsia" w:ascii="黑体" w:hAnsi="黑体"/>
          <w:bCs/>
          <w:color w:val="auto"/>
          <w:lang w:val="en-US" w:eastAsia="zh-CN"/>
        </w:rPr>
        <w:t>自评情况</w:t>
      </w:r>
      <w:bookmarkEnd w:id="18"/>
      <w:bookmarkEnd w:id="19"/>
      <w:bookmarkEnd w:id="20"/>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21" w:name="_Toc2540"/>
      <w:bookmarkStart w:id="22" w:name="_Toc12670"/>
      <w:bookmarkStart w:id="23" w:name="_Toc13433"/>
      <w:r>
        <w:rPr>
          <w:rFonts w:hint="eastAsia" w:ascii="Calibri" w:hAnsi="宋体" w:eastAsia="楷体_GB2312" w:cs="Times New Roman"/>
          <w:b/>
          <w:bCs/>
          <w:color w:val="auto"/>
          <w:kern w:val="44"/>
          <w:sz w:val="32"/>
          <w:szCs w:val="44"/>
          <w:lang w:val="en-US" w:eastAsia="zh-CN" w:bidi="ar-SA"/>
        </w:rPr>
        <w:t>（一）自评分数</w:t>
      </w:r>
      <w:bookmarkEnd w:id="21"/>
      <w:bookmarkEnd w:id="22"/>
      <w:bookmarkEnd w:id="23"/>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黑体" w:hAnsi="黑体" w:eastAsia="黑体" w:cs="黑体"/>
          <w:color w:val="auto"/>
          <w:sz w:val="28"/>
          <w:szCs w:val="28"/>
          <w:highlight w:val="none"/>
        </w:rPr>
      </w:pPr>
      <w:r>
        <w:rPr>
          <w:rFonts w:hint="eastAsia" w:ascii="仿宋_GB2312" w:eastAsia="仿宋_GB2312"/>
          <w:color w:val="auto"/>
          <w:sz w:val="32"/>
          <w:szCs w:val="32"/>
          <w:lang w:val="en-US" w:eastAsia="zh-CN"/>
        </w:rPr>
        <w:t>综合分析2020年省级</w:t>
      </w:r>
      <w:r>
        <w:rPr>
          <w:rFonts w:hint="eastAsia" w:ascii="仿宋_GB2312" w:eastAsia="仿宋_GB2312" w:cs="Times New Roman"/>
          <w:color w:val="auto"/>
          <w:sz w:val="32"/>
          <w:szCs w:val="32"/>
          <w:highlight w:val="none"/>
          <w:lang w:val="en-US" w:eastAsia="zh-CN"/>
        </w:rPr>
        <w:t>休（禁）渔渔民生产生活补助资金项目</w:t>
      </w:r>
      <w:r>
        <w:rPr>
          <w:rFonts w:hint="eastAsia" w:ascii="仿宋_GB2312" w:eastAsia="仿宋_GB2312"/>
          <w:color w:val="auto"/>
          <w:sz w:val="32"/>
          <w:szCs w:val="32"/>
          <w:lang w:val="en-US" w:eastAsia="zh-CN"/>
        </w:rPr>
        <w:t>的投入、过程、产出和效益，专项资金项目基本完成了预期目标任务，取得了较好成效。根据对有关地市自评材料的审核分析，综合项目实施的情况，按照既定的评价指标体系，专项资金使用绩效自评分数为95.19分，绩效等级为“优”（一级指标自评得分情况见表2-1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表2-1 一级指标评价得分情况表</w:t>
      </w:r>
    </w:p>
    <w:tbl>
      <w:tblPr>
        <w:tblStyle w:val="15"/>
        <w:tblW w:w="845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1732"/>
        <w:gridCol w:w="1947"/>
        <w:gridCol w:w="194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一级指标（评价因素）</w:t>
            </w:r>
          </w:p>
        </w:tc>
        <w:tc>
          <w:tcPr>
            <w:tcW w:w="1732"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分值</w:t>
            </w:r>
          </w:p>
        </w:tc>
        <w:tc>
          <w:tcPr>
            <w:tcW w:w="1947"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得分</w:t>
            </w:r>
          </w:p>
        </w:tc>
        <w:tc>
          <w:tcPr>
            <w:tcW w:w="1949" w:type="dxa"/>
            <w:tcBorders>
              <w:righ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得分率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总得分</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b/>
                <w:bCs/>
                <w:color w:val="auto"/>
                <w:sz w:val="24"/>
                <w:szCs w:val="24"/>
                <w:highlight w:val="none"/>
              </w:rPr>
            </w:pPr>
            <w:r>
              <w:rPr>
                <w:rFonts w:hint="eastAsia" w:ascii="宋体" w:hAnsi="宋体" w:eastAsia="宋体" w:cs="宋体"/>
                <w:b/>
                <w:bCs/>
                <w:i w:val="0"/>
                <w:color w:val="auto"/>
                <w:kern w:val="0"/>
                <w:sz w:val="24"/>
                <w:szCs w:val="24"/>
                <w:u w:val="none"/>
                <w:lang w:val="en-US" w:eastAsia="zh-CN" w:bidi="ar"/>
              </w:rPr>
              <w:t>100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b/>
                <w:bCs/>
                <w:color w:val="auto"/>
                <w:sz w:val="24"/>
                <w:szCs w:val="24"/>
                <w:highlight w:val="none"/>
                <w:lang w:val="en-US" w:eastAsia="zh-CN"/>
              </w:rPr>
            </w:pPr>
            <w:r>
              <w:rPr>
                <w:rFonts w:hint="eastAsia" w:ascii="宋体" w:hAnsi="宋体" w:eastAsia="宋体" w:cs="宋体"/>
                <w:b/>
                <w:bCs/>
                <w:i w:val="0"/>
                <w:color w:val="auto"/>
                <w:kern w:val="0"/>
                <w:sz w:val="24"/>
                <w:szCs w:val="24"/>
                <w:u w:val="none"/>
                <w:lang w:val="en-US" w:eastAsia="zh-CN" w:bidi="ar"/>
              </w:rPr>
              <w:t xml:space="preserve">95.19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b/>
                <w:bCs/>
                <w:color w:val="auto"/>
                <w:sz w:val="24"/>
                <w:szCs w:val="24"/>
                <w:highlight w:val="none"/>
                <w:lang w:val="en-US"/>
              </w:rPr>
            </w:pPr>
            <w:r>
              <w:rPr>
                <w:rFonts w:hint="eastAsia" w:ascii="宋体" w:hAnsi="宋体" w:eastAsia="宋体" w:cs="宋体"/>
                <w:b/>
                <w:bCs/>
                <w:i w:val="0"/>
                <w:color w:val="auto"/>
                <w:kern w:val="0"/>
                <w:sz w:val="24"/>
                <w:szCs w:val="24"/>
                <w:u w:val="none"/>
                <w:lang w:val="en-US" w:eastAsia="zh-CN" w:bidi="ar"/>
              </w:rPr>
              <w:t>95.19%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投入</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b w:val="0"/>
                <w:bCs w:val="0"/>
                <w:color w:val="auto"/>
                <w:sz w:val="24"/>
                <w:szCs w:val="24"/>
                <w:highlight w:val="none"/>
              </w:rPr>
            </w:pPr>
            <w:r>
              <w:rPr>
                <w:rFonts w:hint="eastAsia" w:ascii="宋体" w:hAnsi="宋体" w:eastAsia="宋体" w:cs="宋体"/>
                <w:i w:val="0"/>
                <w:color w:val="auto"/>
                <w:kern w:val="0"/>
                <w:sz w:val="24"/>
                <w:szCs w:val="24"/>
                <w:u w:val="none"/>
                <w:lang w:val="en-US" w:eastAsia="zh-CN" w:bidi="ar"/>
              </w:rPr>
              <w:t>20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b w:val="0"/>
                <w:bCs w:val="0"/>
                <w:color w:val="auto"/>
                <w:sz w:val="24"/>
                <w:szCs w:val="24"/>
                <w:highlight w:val="none"/>
                <w:lang w:val="en-US"/>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9.2</w:t>
            </w:r>
            <w:r>
              <w:rPr>
                <w:rFonts w:hint="eastAsia" w:ascii="宋体" w:hAnsi="宋体" w:eastAsia="宋体" w:cs="宋体"/>
                <w:i w:val="0"/>
                <w:color w:val="auto"/>
                <w:kern w:val="0"/>
                <w:sz w:val="24"/>
                <w:szCs w:val="24"/>
                <w:u w:val="none"/>
                <w:lang w:val="en-US" w:eastAsia="zh-CN" w:bidi="ar"/>
              </w:rPr>
              <w:t xml:space="preserve">0 </w:t>
            </w:r>
          </w:p>
        </w:tc>
        <w:tc>
          <w:tcPr>
            <w:tcW w:w="1949" w:type="dxa"/>
            <w:tcBorders>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b w:val="0"/>
                <w:bCs w:val="0"/>
                <w:color w:val="auto"/>
                <w:sz w:val="24"/>
                <w:szCs w:val="24"/>
                <w:highlight w:val="none"/>
              </w:rPr>
            </w:pPr>
            <w:r>
              <w:rPr>
                <w:rFonts w:hint="eastAsia" w:ascii="宋体" w:hAnsi="宋体" w:eastAsia="宋体" w:cs="宋体"/>
                <w:i w:val="0"/>
                <w:color w:val="auto"/>
                <w:kern w:val="0"/>
                <w:sz w:val="24"/>
                <w:szCs w:val="24"/>
                <w:u w:val="none"/>
                <w:lang w:val="en-US" w:eastAsia="zh-CN" w:bidi="ar"/>
              </w:rPr>
              <w:t>9</w:t>
            </w:r>
            <w:r>
              <w:rPr>
                <w:rFonts w:hint="eastAsia" w:ascii="宋体" w:hAnsi="宋体" w:cs="宋体"/>
                <w:i w:val="0"/>
                <w:color w:val="auto"/>
                <w:kern w:val="0"/>
                <w:sz w:val="24"/>
                <w:szCs w:val="24"/>
                <w:u w:val="none"/>
                <w:lang w:val="en-US" w:eastAsia="zh-CN" w:bidi="ar"/>
              </w:rPr>
              <w:t>6.0</w:t>
            </w:r>
            <w:r>
              <w:rPr>
                <w:rFonts w:hint="eastAsia" w:ascii="宋体" w:hAnsi="宋体" w:eastAsia="宋体" w:cs="宋体"/>
                <w:i w:val="0"/>
                <w:color w:val="auto"/>
                <w:kern w:val="0"/>
                <w:sz w:val="24"/>
                <w:szCs w:val="24"/>
                <w:u w:val="none"/>
                <w:lang w:val="en-US" w:eastAsia="zh-CN"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过程</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auto"/>
                <w:kern w:val="0"/>
                <w:sz w:val="24"/>
                <w:szCs w:val="24"/>
                <w:u w:val="none"/>
                <w:lang w:val="en-US" w:eastAsia="zh-CN" w:bidi="ar"/>
              </w:rPr>
              <w:t>20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7</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99</w:t>
            </w:r>
            <w:r>
              <w:rPr>
                <w:rFonts w:hint="eastAsia" w:ascii="宋体" w:hAnsi="宋体" w:eastAsia="宋体" w:cs="宋体"/>
                <w:i w:val="0"/>
                <w:color w:val="auto"/>
                <w:kern w:val="0"/>
                <w:sz w:val="24"/>
                <w:szCs w:val="24"/>
                <w:u w:val="none"/>
                <w:lang w:val="en-US" w:eastAsia="zh-CN" w:bidi="ar"/>
              </w:rPr>
              <w:t xml:space="preserve">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cs="宋体"/>
                <w:i w:val="0"/>
                <w:color w:val="auto"/>
                <w:kern w:val="0"/>
                <w:sz w:val="24"/>
                <w:szCs w:val="24"/>
                <w:u w:val="none"/>
                <w:lang w:val="en-US" w:eastAsia="zh-CN" w:bidi="ar"/>
              </w:rPr>
              <w:t>89.95</w:t>
            </w:r>
            <w:r>
              <w:rPr>
                <w:rFonts w:hint="eastAsia" w:ascii="宋体" w:hAnsi="宋体" w:eastAsia="宋体" w:cs="宋体"/>
                <w:i w:val="0"/>
                <w:color w:val="auto"/>
                <w:kern w:val="0"/>
                <w:sz w:val="24"/>
                <w:szCs w:val="24"/>
                <w:u w:val="none"/>
                <w:lang w:val="en-US" w:eastAsia="zh-CN" w:bidi="ar"/>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产出</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auto"/>
                <w:kern w:val="0"/>
                <w:sz w:val="24"/>
                <w:szCs w:val="24"/>
                <w:u w:val="none"/>
                <w:lang w:val="en-US" w:eastAsia="zh-CN" w:bidi="ar"/>
              </w:rPr>
              <w:t>30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eastAsia="宋体" w:cs="宋体"/>
                <w:i w:val="0"/>
                <w:color w:val="auto"/>
                <w:kern w:val="0"/>
                <w:sz w:val="24"/>
                <w:szCs w:val="24"/>
                <w:u w:val="none"/>
                <w:lang w:val="en-US" w:eastAsia="zh-CN" w:bidi="ar"/>
              </w:rPr>
              <w:t>2</w:t>
            </w:r>
            <w:r>
              <w:rPr>
                <w:rFonts w:hint="eastAsia" w:ascii="宋体" w:hAnsi="宋体" w:cs="宋体"/>
                <w:i w:val="0"/>
                <w:color w:val="auto"/>
                <w:kern w:val="0"/>
                <w:sz w:val="24"/>
                <w:szCs w:val="24"/>
                <w:u w:val="none"/>
                <w:lang w:val="en-US" w:eastAsia="zh-CN" w:bidi="ar"/>
              </w:rPr>
              <w:t>8.80</w:t>
            </w:r>
            <w:r>
              <w:rPr>
                <w:rFonts w:hint="eastAsia" w:ascii="宋体" w:hAnsi="宋体" w:eastAsia="宋体" w:cs="宋体"/>
                <w:i w:val="0"/>
                <w:color w:val="auto"/>
                <w:kern w:val="0"/>
                <w:sz w:val="24"/>
                <w:szCs w:val="24"/>
                <w:u w:val="none"/>
                <w:lang w:val="en-US" w:eastAsia="zh-CN" w:bidi="ar"/>
              </w:rPr>
              <w:t xml:space="preserve">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u w:val="none"/>
                <w:lang w:val="en-US" w:eastAsia="zh-CN" w:bidi="ar"/>
              </w:rPr>
              <w:t>9</w:t>
            </w:r>
            <w:r>
              <w:rPr>
                <w:rFonts w:hint="eastAsia" w:ascii="宋体" w:hAnsi="宋体" w:cs="宋体"/>
                <w:i w:val="0"/>
                <w:color w:val="auto"/>
                <w:kern w:val="0"/>
                <w:sz w:val="24"/>
                <w:szCs w:val="24"/>
                <w:u w:val="none"/>
                <w:lang w:val="en-US" w:eastAsia="zh-CN" w:bidi="ar"/>
              </w:rPr>
              <w:t>6.00</w:t>
            </w:r>
            <w:r>
              <w:rPr>
                <w:rFonts w:hint="eastAsia" w:ascii="宋体" w:hAnsi="宋体" w:eastAsia="宋体" w:cs="宋体"/>
                <w:i w:val="0"/>
                <w:color w:val="auto"/>
                <w:kern w:val="0"/>
                <w:sz w:val="24"/>
                <w:szCs w:val="24"/>
                <w:u w:val="none"/>
                <w:lang w:val="en-US" w:eastAsia="zh-CN" w:bidi="ar"/>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效益</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auto"/>
                <w:kern w:val="0"/>
                <w:sz w:val="24"/>
                <w:szCs w:val="24"/>
                <w:u w:val="none"/>
                <w:lang w:val="en-US" w:eastAsia="zh-CN" w:bidi="ar"/>
              </w:rPr>
              <w:t>30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cs="宋体"/>
                <w:i w:val="0"/>
                <w:color w:val="auto"/>
                <w:kern w:val="0"/>
                <w:sz w:val="24"/>
                <w:szCs w:val="24"/>
                <w:u w:val="none"/>
                <w:lang w:val="en-US" w:eastAsia="zh-CN" w:bidi="ar"/>
              </w:rPr>
              <w:t>29</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 xml:space="preserve">0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cs="宋体"/>
                <w:i w:val="0"/>
                <w:color w:val="auto"/>
                <w:kern w:val="0"/>
                <w:sz w:val="24"/>
                <w:szCs w:val="24"/>
                <w:u w:val="none"/>
                <w:lang w:val="en-US" w:eastAsia="zh-CN" w:bidi="ar"/>
              </w:rPr>
              <w:t>97</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33</w:t>
            </w:r>
            <w:r>
              <w:rPr>
                <w:rFonts w:hint="eastAsia" w:ascii="宋体" w:hAnsi="宋体" w:eastAsia="宋体" w:cs="宋体"/>
                <w:i w:val="0"/>
                <w:color w:val="auto"/>
                <w:kern w:val="0"/>
                <w:sz w:val="24"/>
                <w:szCs w:val="24"/>
                <w:u w:val="none"/>
                <w:lang w:val="en-US" w:eastAsia="zh-CN" w:bidi="ar"/>
              </w:rPr>
              <w:t>%</w:t>
            </w:r>
          </w:p>
        </w:tc>
      </w:tr>
    </w:tbl>
    <w:p>
      <w:pPr>
        <w:pStyle w:val="13"/>
        <w:keepNext w:val="0"/>
        <w:keepLines w:val="0"/>
        <w:pageBreakBefore w:val="0"/>
        <w:widowControl w:val="0"/>
        <w:numPr>
          <w:ilvl w:val="0"/>
          <w:numId w:val="2"/>
        </w:numPr>
        <w:kinsoku/>
        <w:wordWrap/>
        <w:overflowPunct/>
        <w:topLinePunct w:val="0"/>
        <w:autoSpaceDE/>
        <w:autoSpaceDN/>
        <w:bidi w:val="0"/>
        <w:adjustRightInd/>
        <w:snapToGrid/>
        <w:ind w:left="0" w:leftChars="0" w:firstLine="642" w:firstLineChars="200"/>
        <w:textAlignment w:val="auto"/>
        <w:rPr>
          <w:rFonts w:hint="eastAsia" w:ascii="仿宋_GB2312" w:hAnsi="仿宋" w:eastAsia="仿宋_GB2312"/>
          <w:color w:val="auto"/>
          <w:sz w:val="32"/>
          <w:highlight w:val="none"/>
        </w:rPr>
      </w:pPr>
      <w:r>
        <w:rPr>
          <w:rFonts w:hint="eastAsia" w:ascii="仿宋_GB2312" w:eastAsia="仿宋_GB2312"/>
          <w:b/>
          <w:bCs/>
          <w:color w:val="auto"/>
          <w:sz w:val="32"/>
          <w:szCs w:val="32"/>
          <w:highlight w:val="none"/>
        </w:rPr>
        <w:t>投入</w:t>
      </w:r>
      <w:r>
        <w:rPr>
          <w:rFonts w:hint="eastAsia" w:ascii="仿宋_GB2312" w:eastAsia="仿宋_GB2312"/>
          <w:b/>
          <w:bCs/>
          <w:color w:val="auto"/>
          <w:sz w:val="32"/>
          <w:szCs w:val="32"/>
          <w:highlight w:val="none"/>
          <w:lang w:eastAsia="zh-CN"/>
        </w:rPr>
        <w:t>。</w:t>
      </w:r>
      <w:r>
        <w:rPr>
          <w:rFonts w:hint="eastAsia" w:ascii="仿宋_GB2312" w:hAnsi="仿宋" w:eastAsia="仿宋_GB2312"/>
          <w:color w:val="auto"/>
          <w:sz w:val="32"/>
          <w:highlight w:val="none"/>
        </w:rPr>
        <w:t>该指标主要从项目立项和资金落实两个方面考察</w:t>
      </w:r>
      <w:r>
        <w:rPr>
          <w:rFonts w:hint="eastAsia" w:ascii="仿宋_GB2312" w:hAnsi="仿宋_GB2312" w:eastAsia="仿宋_GB2312" w:cs="仿宋_GB2312"/>
          <w:color w:val="auto"/>
          <w:sz w:val="32"/>
          <w:highlight w:val="none"/>
        </w:rPr>
        <w:t>项目论证的充分性，绩效目标的完整性、合理性和可衡量性，制度和计划上的保障措施，资金到位和分配情况</w:t>
      </w:r>
      <w:r>
        <w:rPr>
          <w:rFonts w:hint="eastAsia" w:ascii="仿宋_GB2312" w:hAnsi="仿宋" w:eastAsia="仿宋_GB2312"/>
          <w:color w:val="auto"/>
          <w:sz w:val="32"/>
          <w:highlight w:val="none"/>
        </w:rPr>
        <w:t>。指标分值20分，评价得分</w:t>
      </w:r>
      <w:r>
        <w:rPr>
          <w:rFonts w:hint="eastAsia" w:ascii="仿宋_GB2312" w:hAnsi="仿宋" w:eastAsia="仿宋_GB2312"/>
          <w:color w:val="auto"/>
          <w:sz w:val="32"/>
          <w:highlight w:val="none"/>
          <w:lang w:val="en-US" w:eastAsia="zh-CN"/>
        </w:rPr>
        <w:t>19.20</w:t>
      </w:r>
      <w:r>
        <w:rPr>
          <w:rFonts w:hint="eastAsia" w:ascii="仿宋_GB2312" w:hAnsi="仿宋" w:eastAsia="仿宋_GB2312"/>
          <w:color w:val="auto"/>
          <w:sz w:val="32"/>
          <w:highlight w:val="none"/>
        </w:rPr>
        <w:t>分，得分率为</w:t>
      </w:r>
      <w:r>
        <w:rPr>
          <w:rFonts w:hint="eastAsia" w:ascii="仿宋_GB2312" w:hAnsi="仿宋" w:eastAsia="仿宋_GB2312"/>
          <w:color w:val="auto"/>
          <w:sz w:val="32"/>
          <w:highlight w:val="none"/>
          <w:lang w:val="en-US" w:eastAsia="zh-CN"/>
        </w:rPr>
        <w:t>96</w:t>
      </w:r>
      <w:r>
        <w:rPr>
          <w:rFonts w:hint="eastAsia" w:ascii="仿宋_GB2312" w:hAnsi="仿宋" w:eastAsia="仿宋_GB2312"/>
          <w:color w:val="auto"/>
          <w:sz w:val="32"/>
          <w:highlight w:val="none"/>
        </w:rPr>
        <w:t>%。</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bookmarkStart w:id="24" w:name="_Toc39921328"/>
      <w:bookmarkStart w:id="25" w:name="_Toc41334547"/>
      <w:bookmarkStart w:id="26" w:name="_Toc42021433"/>
      <w:bookmarkStart w:id="27" w:name="_Toc5399"/>
      <w:bookmarkStart w:id="28" w:name="_Toc39324245"/>
      <w:bookmarkStart w:id="29" w:name="_Toc39323948"/>
      <w:bookmarkStart w:id="30" w:name="_Toc42020742"/>
      <w:r>
        <w:rPr>
          <w:rFonts w:hint="eastAsia" w:ascii="仿宋" w:hAnsi="仿宋" w:eastAsia="仿宋" w:cs="仿宋"/>
          <w:b w:val="0"/>
          <w:bCs w:val="0"/>
          <w:color w:val="auto"/>
          <w:sz w:val="32"/>
          <w:szCs w:val="32"/>
          <w:lang w:val="en-US" w:eastAsia="zh-CN"/>
        </w:rPr>
        <w:t>（1）论证决策。</w:t>
      </w:r>
      <w:bookmarkEnd w:id="24"/>
      <w:bookmarkEnd w:id="25"/>
      <w:bookmarkEnd w:id="26"/>
      <w:bookmarkEnd w:id="27"/>
      <w:bookmarkEnd w:id="28"/>
      <w:bookmarkEnd w:id="29"/>
      <w:bookmarkEnd w:id="30"/>
      <w:r>
        <w:rPr>
          <w:rFonts w:hint="eastAsia" w:ascii="仿宋" w:hAnsi="仿宋" w:eastAsia="仿宋" w:cs="仿宋"/>
          <w:b w:val="0"/>
          <w:bCs w:val="0"/>
          <w:color w:val="auto"/>
          <w:sz w:val="32"/>
          <w:szCs w:val="32"/>
          <w:lang w:val="en-US" w:eastAsia="zh-CN"/>
        </w:rPr>
        <w:t>该指标分值4分，评价得分4分，得分率为100%。专项资金根据省政府常务会议决定和《广东省休（禁）渔渔民生产生活补助发放实施方案》设立，此项资金的主要用途是对因执行休（禁）渔制度造成生计损失的渔民群众发放生产生活补助，专项资金设立程序符合省级财政预算管理规定，总体上决策过程科学合理，前期论证比较充分，符合专项资金管理办法相关规定。</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目标设置。该指标分值6分，评价得分5.40分，得分率为90%。专项资金设置了绩效目标，有关市县下达资金文件也有随文下达了绩效目标。项目设置的绩效目标与资金属性特点、支出内容相关，能够体现决策意图，基本符合项目属性和客观实际。但是绩效目标的产出、效益指标不够完整，指标参数不够清晰。项目未设置可衡量的指标，与“可量化、可评估”的要求存在一定差距。</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3）保障措施。该指标分值2分，评价得分2分，得分率为100%。《广东省人民政府关于印发广东省省级财政专项资金管理办法（试行）的通知》（粤府〔2018〕120号）、《关于印发&lt;广东省休（禁）渔渔民生产生活补助发放实施方案&gt;的通知》（粤海渔〔2018〕25号）、《关于印发〈广东省农业农村厅财政专项资金管理办法（试行）〉等管理制度的通知》（粤农办〔2018〕615号）等文件能够为项目规范实施提供制度保障。有关市县按照上述文件下达的任务安排项目实施计划，工作安排比较合理。</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bookmarkStart w:id="31" w:name="_Toc39324248"/>
      <w:bookmarkStart w:id="32" w:name="_Toc524298183"/>
      <w:bookmarkStart w:id="33" w:name="_Toc42021434"/>
      <w:bookmarkStart w:id="34" w:name="_Toc39323951"/>
      <w:bookmarkStart w:id="35" w:name="_Toc41334548"/>
      <w:bookmarkStart w:id="36" w:name="_Toc39921331"/>
      <w:bookmarkStart w:id="37" w:name="_Toc3881"/>
      <w:bookmarkStart w:id="38" w:name="_Toc42020743"/>
      <w:r>
        <w:rPr>
          <w:rFonts w:hint="eastAsia" w:ascii="仿宋" w:hAnsi="仿宋" w:eastAsia="仿宋" w:cs="仿宋"/>
          <w:b w:val="0"/>
          <w:bCs w:val="0"/>
          <w:color w:val="auto"/>
          <w:sz w:val="32"/>
          <w:szCs w:val="32"/>
          <w:lang w:val="en-US" w:eastAsia="zh-CN"/>
        </w:rPr>
        <w:t>（4）资金到位。</w:t>
      </w:r>
      <w:bookmarkEnd w:id="31"/>
      <w:bookmarkEnd w:id="32"/>
      <w:bookmarkEnd w:id="33"/>
      <w:bookmarkEnd w:id="34"/>
      <w:bookmarkEnd w:id="35"/>
      <w:bookmarkEnd w:id="36"/>
      <w:bookmarkEnd w:id="37"/>
      <w:bookmarkEnd w:id="38"/>
      <w:r>
        <w:rPr>
          <w:rFonts w:hint="eastAsia" w:ascii="仿宋" w:hAnsi="仿宋" w:eastAsia="仿宋" w:cs="仿宋"/>
          <w:b w:val="0"/>
          <w:bCs w:val="0"/>
          <w:color w:val="auto"/>
          <w:sz w:val="32"/>
          <w:szCs w:val="32"/>
          <w:lang w:val="en-US" w:eastAsia="zh-CN"/>
        </w:rPr>
        <w:t>该指标分值5分，评价得分4.</w:t>
      </w:r>
      <w:r>
        <w:rPr>
          <w:rFonts w:hint="eastAsia" w:ascii="仿宋" w:hAnsi="仿宋" w:cs="仿宋"/>
          <w:b w:val="0"/>
          <w:bCs w:val="0"/>
          <w:color w:val="auto"/>
          <w:sz w:val="32"/>
          <w:szCs w:val="32"/>
          <w:lang w:val="en-US" w:eastAsia="zh-CN"/>
        </w:rPr>
        <w:t>80</w:t>
      </w:r>
      <w:r>
        <w:rPr>
          <w:rFonts w:hint="eastAsia" w:ascii="仿宋" w:hAnsi="仿宋" w:eastAsia="仿宋" w:cs="仿宋"/>
          <w:b w:val="0"/>
          <w:bCs w:val="0"/>
          <w:color w:val="auto"/>
          <w:sz w:val="32"/>
          <w:szCs w:val="32"/>
          <w:lang w:val="en-US" w:eastAsia="zh-CN"/>
        </w:rPr>
        <w:t>分，得分</w:t>
      </w:r>
      <w:r>
        <w:rPr>
          <w:rFonts w:hint="eastAsia" w:ascii="仿宋" w:hAnsi="仿宋" w:cs="仿宋"/>
          <w:b w:val="0"/>
          <w:bCs w:val="0"/>
          <w:color w:val="auto"/>
          <w:sz w:val="32"/>
          <w:szCs w:val="32"/>
          <w:lang w:val="en-US" w:eastAsia="zh-CN"/>
        </w:rPr>
        <w:t>率</w:t>
      </w:r>
      <w:r>
        <w:rPr>
          <w:rFonts w:hint="eastAsia" w:ascii="仿宋" w:hAnsi="仿宋" w:eastAsia="仿宋" w:cs="仿宋"/>
          <w:b w:val="0"/>
          <w:bCs w:val="0"/>
          <w:color w:val="auto"/>
          <w:sz w:val="32"/>
          <w:szCs w:val="32"/>
          <w:lang w:val="en-US" w:eastAsia="zh-CN"/>
        </w:rPr>
        <w:t>为9</w:t>
      </w:r>
      <w:r>
        <w:rPr>
          <w:rFonts w:hint="eastAsia" w:ascii="仿宋" w:hAnsi="仿宋" w:cs="仿宋"/>
          <w:b w:val="0"/>
          <w:bCs w:val="0"/>
          <w:color w:val="auto"/>
          <w:sz w:val="32"/>
          <w:szCs w:val="32"/>
          <w:lang w:val="en-US" w:eastAsia="zh-CN"/>
        </w:rPr>
        <w:t>6</w:t>
      </w:r>
      <w:r>
        <w:rPr>
          <w:rFonts w:hint="eastAsia" w:ascii="仿宋" w:hAnsi="仿宋" w:eastAsia="仿宋" w:cs="仿宋"/>
          <w:b w:val="0"/>
          <w:bCs w:val="0"/>
          <w:color w:val="auto"/>
          <w:sz w:val="32"/>
          <w:szCs w:val="32"/>
          <w:lang w:val="en-US" w:eastAsia="zh-CN"/>
        </w:rPr>
        <w:t>%。省财政厅《关于下达2020年省级休（禁）渔渔民生产生活补助资金的通知》（粤财农〔2020〕47号）已按规定程序将专项资金预算指标下达有关地市，但部分地市未按</w:t>
      </w:r>
      <w:r>
        <w:rPr>
          <w:rFonts w:hint="eastAsia" w:ascii="仿宋" w:hAnsi="仿宋" w:cs="仿宋"/>
          <w:b w:val="0"/>
          <w:bCs w:val="0"/>
          <w:color w:val="auto"/>
          <w:sz w:val="32"/>
          <w:szCs w:val="32"/>
          <w:lang w:val="en-US" w:eastAsia="zh-CN"/>
        </w:rPr>
        <w:t>专项资金管理办法和《</w:t>
      </w:r>
      <w:r>
        <w:rPr>
          <w:rFonts w:hint="eastAsia" w:ascii="仿宋" w:hAnsi="仿宋" w:eastAsia="仿宋" w:cs="仿宋"/>
          <w:b w:val="0"/>
          <w:bCs w:val="0"/>
          <w:color w:val="auto"/>
          <w:sz w:val="32"/>
          <w:szCs w:val="32"/>
          <w:lang w:val="en-US" w:eastAsia="zh-CN"/>
        </w:rPr>
        <w:t>广东省休（禁）渔渔民生产生活补助发放实施方案</w:t>
      </w:r>
      <w:r>
        <w:rPr>
          <w:rFonts w:hint="eastAsia" w:ascii="仿宋" w:hAnsi="仿宋" w:cs="仿宋"/>
          <w:b w:val="0"/>
          <w:bCs w:val="0"/>
          <w:color w:val="auto"/>
          <w:sz w:val="32"/>
          <w:szCs w:val="32"/>
          <w:lang w:val="en-US" w:eastAsia="zh-CN"/>
        </w:rPr>
        <w:t>》的要求</w:t>
      </w:r>
      <w:r>
        <w:rPr>
          <w:rFonts w:hint="eastAsia" w:ascii="仿宋" w:hAnsi="仿宋" w:eastAsia="仿宋" w:cs="仿宋"/>
          <w:b w:val="0"/>
          <w:bCs w:val="0"/>
          <w:color w:val="auto"/>
          <w:sz w:val="32"/>
          <w:szCs w:val="32"/>
          <w:lang w:val="en-US" w:eastAsia="zh-CN"/>
        </w:rPr>
        <w:t>及时</w:t>
      </w:r>
      <w:r>
        <w:rPr>
          <w:rFonts w:hint="eastAsia" w:ascii="仿宋" w:hAnsi="仿宋" w:cs="仿宋"/>
          <w:b w:val="0"/>
          <w:bCs w:val="0"/>
          <w:color w:val="auto"/>
          <w:sz w:val="32"/>
          <w:szCs w:val="32"/>
          <w:lang w:val="en-US" w:eastAsia="zh-CN"/>
        </w:rPr>
        <w:t>将</w:t>
      </w:r>
      <w:r>
        <w:rPr>
          <w:rFonts w:hint="eastAsia" w:ascii="仿宋" w:hAnsi="仿宋" w:eastAsia="仿宋" w:cs="仿宋"/>
          <w:b w:val="0"/>
          <w:bCs w:val="0"/>
          <w:color w:val="auto"/>
          <w:sz w:val="32"/>
          <w:szCs w:val="32"/>
          <w:lang w:val="en-US" w:eastAsia="zh-CN"/>
        </w:rPr>
        <w:t>补助资金</w:t>
      </w:r>
      <w:r>
        <w:rPr>
          <w:rFonts w:hint="eastAsia" w:ascii="仿宋" w:hAnsi="仿宋" w:cs="仿宋"/>
          <w:b w:val="0"/>
          <w:bCs w:val="0"/>
          <w:color w:val="auto"/>
          <w:sz w:val="32"/>
          <w:szCs w:val="32"/>
          <w:lang w:val="en-US" w:eastAsia="zh-CN"/>
        </w:rPr>
        <w:t>逐级落实到位</w:t>
      </w:r>
      <w:r>
        <w:rPr>
          <w:rFonts w:hint="eastAsia" w:ascii="仿宋" w:hAnsi="仿宋" w:eastAsia="仿宋" w:cs="仿宋"/>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（5）资金分配。该指标分值3分，评价得分3分，得分率100%。资金按因素法分配，专项资金分配明确合理，扶持对象和主要用途符合相关规定，有助于实现绩效目标。</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2" w:firstLineChars="200"/>
        <w:jc w:val="both"/>
        <w:textAlignment w:val="auto"/>
        <w:outlineLvl w:val="9"/>
        <w:rPr>
          <w:rFonts w:hint="default" w:ascii="仿宋" w:hAnsi="仿宋" w:eastAsia="仿宋" w:cs="仿宋"/>
          <w:b w:val="0"/>
          <w:bCs w:val="0"/>
          <w:color w:val="auto"/>
          <w:sz w:val="32"/>
          <w:szCs w:val="32"/>
          <w:lang w:val="en-US" w:eastAsia="zh-CN"/>
        </w:rPr>
      </w:pPr>
      <w:bookmarkStart w:id="39" w:name="_Toc25863"/>
      <w:r>
        <w:rPr>
          <w:rFonts w:hint="eastAsia" w:ascii="仿宋_GB2312" w:hAnsi="Calibri" w:eastAsia="仿宋_GB2312" w:cs="Times New Roman"/>
          <w:b/>
          <w:bCs/>
          <w:color w:val="auto"/>
          <w:kern w:val="0"/>
          <w:sz w:val="32"/>
          <w:szCs w:val="32"/>
          <w:highlight w:val="none"/>
          <w:lang w:val="en-US" w:eastAsia="zh-CN" w:bidi="ar-SA"/>
        </w:rPr>
        <w:t>2. 过程。</w:t>
      </w:r>
      <w:r>
        <w:rPr>
          <w:rFonts w:hint="eastAsia" w:ascii="仿宋" w:hAnsi="仿宋" w:eastAsia="仿宋" w:cs="仿宋"/>
          <w:b w:val="0"/>
          <w:bCs w:val="0"/>
          <w:color w:val="auto"/>
          <w:sz w:val="32"/>
          <w:szCs w:val="32"/>
          <w:lang w:val="en-US" w:eastAsia="zh-CN"/>
        </w:rPr>
        <w:t>该指标主要从资金管理和事项管理两个方面考核项目资金支付情况，资金支出的规范性，项目实施的规范性和监管的有效性。指标分值20分，评价得分17.99分，得分率为89.95%。</w:t>
      </w:r>
      <w:bookmarkEnd w:id="39"/>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_GB2312" w:hAnsi="仿宋" w:eastAsia="仿宋_GB2312" w:cs="Times New Roman"/>
          <w:b w:val="0"/>
          <w:color w:val="auto"/>
          <w:sz w:val="32"/>
          <w:highlight w:val="none"/>
          <w:lang w:eastAsia="zh-CN"/>
        </w:rPr>
      </w:pPr>
      <w:bookmarkStart w:id="40" w:name="_Toc42020745"/>
      <w:bookmarkStart w:id="41" w:name="_Toc39324251"/>
      <w:bookmarkStart w:id="42" w:name="_Toc42021436"/>
      <w:bookmarkStart w:id="43" w:name="_Toc39921334"/>
      <w:bookmarkStart w:id="44" w:name="_Toc39323954"/>
      <w:bookmarkStart w:id="45" w:name="_Toc41334549"/>
      <w:bookmarkStart w:id="46" w:name="_Toc5105"/>
      <w:r>
        <w:rPr>
          <w:rFonts w:hint="eastAsia" w:ascii="仿宋" w:hAnsi="仿宋" w:eastAsia="仿宋" w:cs="仿宋"/>
          <w:b w:val="0"/>
          <w:bCs w:val="0"/>
          <w:color w:val="auto"/>
          <w:sz w:val="32"/>
          <w:szCs w:val="32"/>
          <w:lang w:val="en-US" w:eastAsia="zh-CN"/>
        </w:rPr>
        <w:t>（1）资金支付。</w:t>
      </w:r>
      <w:bookmarkEnd w:id="40"/>
      <w:bookmarkEnd w:id="41"/>
      <w:bookmarkEnd w:id="42"/>
      <w:bookmarkEnd w:id="43"/>
      <w:bookmarkEnd w:id="44"/>
      <w:bookmarkEnd w:id="45"/>
      <w:bookmarkEnd w:id="46"/>
      <w:r>
        <w:rPr>
          <w:rFonts w:hint="eastAsia" w:ascii="仿宋" w:hAnsi="仿宋" w:eastAsia="仿宋" w:cs="仿宋"/>
          <w:b w:val="0"/>
          <w:bCs w:val="0"/>
          <w:color w:val="auto"/>
          <w:sz w:val="32"/>
          <w:szCs w:val="32"/>
          <w:lang w:val="en-US" w:eastAsia="zh-CN"/>
        </w:rPr>
        <w:t>该指标分值6分，评价得分3.99分，得分率为66.58%。省财政厅2020年5月22日下达专项资金，截至</w:t>
      </w:r>
      <w:r>
        <w:rPr>
          <w:rFonts w:hint="eastAsia" w:ascii="仿宋_GB2312" w:hAnsi="仿宋" w:eastAsia="仿宋_GB2312"/>
          <w:color w:val="auto"/>
          <w:sz w:val="32"/>
          <w:szCs w:val="32"/>
          <w:highlight w:val="none"/>
          <w:lang w:val="en-US" w:eastAsia="zh-CN"/>
        </w:rPr>
        <w:t>2021年3月31日，专项资金到位数3358万元，实际支出2235.79万元，资金支出率</w:t>
      </w:r>
      <w:r>
        <w:rPr>
          <w:rFonts w:hint="eastAsia" w:ascii="仿宋_GB2312" w:hAnsi="仿宋" w:eastAsia="仿宋_GB2312" w:cs="Times New Roman"/>
          <w:b w:val="0"/>
          <w:color w:val="auto"/>
          <w:sz w:val="32"/>
          <w:highlight w:val="none"/>
          <w:lang w:val="en-US" w:eastAsia="zh-CN"/>
        </w:rPr>
        <w:t>66.58</w:t>
      </w:r>
      <w:r>
        <w:rPr>
          <w:rFonts w:hint="eastAsia" w:ascii="仿宋_GB2312" w:hAnsi="仿宋" w:eastAsia="仿宋_GB2312" w:cs="Times New Roman"/>
          <w:b w:val="0"/>
          <w:color w:val="auto"/>
          <w:sz w:val="32"/>
          <w:highlight w:val="none"/>
        </w:rPr>
        <w:t>%。</w:t>
      </w:r>
      <w:r>
        <w:rPr>
          <w:rFonts w:hint="eastAsia" w:ascii="仿宋_GB2312" w:hAnsi="仿宋_GB2312" w:eastAsia="仿宋_GB2312" w:cs="仿宋_GB2312"/>
          <w:b w:val="0"/>
          <w:bCs w:val="0"/>
          <w:color w:val="auto"/>
          <w:kern w:val="0"/>
          <w:sz w:val="32"/>
          <w:szCs w:val="32"/>
          <w:lang w:val="en-US" w:eastAsia="zh-CN" w:bidi="ar-SA"/>
        </w:rPr>
        <w:t>部分地市</w:t>
      </w:r>
      <w:r>
        <w:rPr>
          <w:rFonts w:hint="eastAsia" w:ascii="仿宋_GB2312" w:hAnsi="仿宋" w:eastAsia="仿宋_GB2312"/>
          <w:color w:val="auto"/>
          <w:sz w:val="32"/>
          <w:szCs w:val="32"/>
          <w:highlight w:val="none"/>
          <w:lang w:val="en-US" w:eastAsia="zh-CN"/>
        </w:rPr>
        <w:t>因工作进度缓慢未能及时发放补助资金</w:t>
      </w:r>
      <w:r>
        <w:rPr>
          <w:rFonts w:hint="eastAsia" w:ascii="仿宋_GB2312" w:hAnsi="仿宋" w:eastAsia="仿宋_GB2312" w:cs="Times New Roman"/>
          <w:b w:val="0"/>
          <w:color w:val="auto"/>
          <w:sz w:val="32"/>
          <w:highlight w:val="none"/>
          <w:lang w:eastAsia="zh-CN"/>
        </w:rPr>
        <w:t>，</w:t>
      </w:r>
      <w:r>
        <w:rPr>
          <w:rFonts w:hint="eastAsia" w:ascii="仿宋_GB2312" w:hAnsi="仿宋" w:eastAsia="仿宋_GB2312" w:cs="Times New Roman"/>
          <w:b w:val="0"/>
          <w:color w:val="auto"/>
          <w:sz w:val="32"/>
          <w:highlight w:val="none"/>
        </w:rPr>
        <w:t>影响资金支出进度</w:t>
      </w:r>
      <w:r>
        <w:rPr>
          <w:rFonts w:hint="eastAsia" w:ascii="仿宋_GB2312" w:hAnsi="仿宋" w:eastAsia="仿宋_GB2312" w:cs="Times New Roman"/>
          <w:b w:val="0"/>
          <w:color w:val="auto"/>
          <w:sz w:val="32"/>
          <w:highlight w:val="none"/>
          <w:lang w:eastAsia="zh-CN"/>
        </w:rPr>
        <w:t>，</w:t>
      </w:r>
      <w:r>
        <w:rPr>
          <w:rFonts w:hint="eastAsia" w:ascii="仿宋_GB2312" w:hAnsi="仿宋" w:eastAsia="仿宋_GB2312" w:cs="Times New Roman"/>
          <w:b w:val="0"/>
          <w:color w:val="auto"/>
          <w:sz w:val="32"/>
          <w:highlight w:val="none"/>
          <w:lang w:val="en-US" w:eastAsia="zh-CN"/>
        </w:rPr>
        <w:t>未</w:t>
      </w:r>
      <w:r>
        <w:rPr>
          <w:rFonts w:hint="eastAsia" w:ascii="仿宋_GB2312" w:hAnsi="仿宋" w:eastAsia="仿宋_GB2312" w:cs="Times New Roman"/>
          <w:b w:val="0"/>
          <w:color w:val="auto"/>
          <w:sz w:val="32"/>
          <w:highlight w:val="none"/>
        </w:rPr>
        <w:t>达到支出进度计划</w:t>
      </w:r>
      <w:r>
        <w:rPr>
          <w:rFonts w:hint="eastAsia" w:ascii="仿宋_GB2312" w:hAnsi="仿宋" w:eastAsia="仿宋_GB2312" w:cs="Times New Roman"/>
          <w:b w:val="0"/>
          <w:color w:val="auto"/>
          <w:sz w:val="32"/>
          <w:highlight w:val="none"/>
          <w:lang w:eastAsia="zh-CN"/>
        </w:rPr>
        <w:t>。</w:t>
      </w:r>
    </w:p>
    <w:p>
      <w:pPr>
        <w:pStyle w:val="13"/>
        <w:ind w:left="0" w:leftChars="0" w:firstLine="640" w:firstLineChars="200"/>
        <w:rPr>
          <w:rFonts w:hint="eastAsia" w:ascii="仿宋_GB2312" w:eastAsia="仿宋_GB2312"/>
          <w:color w:val="auto"/>
          <w:sz w:val="32"/>
          <w:szCs w:val="32"/>
          <w:highlight w:val="none"/>
        </w:rPr>
      </w:pPr>
      <w:r>
        <w:rPr>
          <w:rFonts w:hint="eastAsia" w:ascii="仿宋_GB2312" w:hAnsi="仿宋" w:eastAsia="仿宋_GB2312"/>
          <w:b w:val="0"/>
          <w:color w:val="auto"/>
          <w:sz w:val="32"/>
          <w:highlight w:val="none"/>
        </w:rPr>
        <w:t>（2）支出规范性。</w:t>
      </w:r>
      <w:r>
        <w:rPr>
          <w:rFonts w:hint="eastAsia" w:ascii="仿宋_GB2312" w:hAnsi="Times New Roman" w:eastAsia="仿宋_GB2312" w:cs="Times New Roman"/>
          <w:color w:val="auto"/>
          <w:sz w:val="32"/>
          <w:highlight w:val="none"/>
          <w:lang w:eastAsia="zh-CN"/>
        </w:rPr>
        <w:t>该指标分值</w:t>
      </w:r>
      <w:r>
        <w:rPr>
          <w:rFonts w:hint="eastAsia" w:ascii="仿宋_GB2312" w:hAnsi="Times New Roman" w:eastAsia="仿宋_GB2312" w:cs="Times New Roman"/>
          <w:color w:val="auto"/>
          <w:sz w:val="32"/>
          <w:highlight w:val="none"/>
          <w:lang w:val="en-US" w:eastAsia="zh-CN"/>
        </w:rPr>
        <w:t>6</w:t>
      </w:r>
      <w:r>
        <w:rPr>
          <w:rFonts w:hint="eastAsia" w:ascii="仿宋_GB2312" w:hAnsi="Times New Roman" w:eastAsia="仿宋_GB2312" w:cs="Times New Roman"/>
          <w:color w:val="auto"/>
          <w:sz w:val="32"/>
          <w:highlight w:val="none"/>
          <w:lang w:eastAsia="zh-CN"/>
        </w:rPr>
        <w:t>分，评价得分</w:t>
      </w:r>
      <w:r>
        <w:rPr>
          <w:rFonts w:hint="eastAsia" w:ascii="仿宋_GB2312" w:eastAsia="仿宋_GB2312" w:cs="Times New Roman"/>
          <w:color w:val="auto"/>
          <w:sz w:val="32"/>
          <w:highlight w:val="none"/>
          <w:lang w:val="en-US" w:eastAsia="zh-CN"/>
        </w:rPr>
        <w:t>6</w:t>
      </w:r>
      <w:r>
        <w:rPr>
          <w:rFonts w:hint="eastAsia" w:ascii="仿宋_GB2312" w:hAnsi="Times New Roman" w:eastAsia="仿宋_GB2312" w:cs="Times New Roman"/>
          <w:color w:val="auto"/>
          <w:sz w:val="32"/>
          <w:highlight w:val="none"/>
          <w:lang w:eastAsia="zh-CN"/>
        </w:rPr>
        <w:t>分，得分率为</w:t>
      </w:r>
      <w:r>
        <w:rPr>
          <w:rFonts w:hint="eastAsia" w:ascii="仿宋_GB2312" w:eastAsia="仿宋_GB2312" w:cs="Times New Roman"/>
          <w:color w:val="auto"/>
          <w:sz w:val="32"/>
          <w:highlight w:val="none"/>
          <w:lang w:val="en-US" w:eastAsia="zh-CN"/>
        </w:rPr>
        <w:t>100</w:t>
      </w:r>
      <w:r>
        <w:rPr>
          <w:rFonts w:hint="eastAsia" w:ascii="仿宋_GB2312" w:hAnsi="Times New Roman" w:eastAsia="仿宋_GB2312" w:cs="Times New Roman"/>
          <w:color w:val="auto"/>
          <w:sz w:val="32"/>
          <w:highlight w:val="none"/>
          <w:lang w:eastAsia="zh-CN"/>
        </w:rPr>
        <w:t>%。</w:t>
      </w:r>
      <w:r>
        <w:rPr>
          <w:rFonts w:hint="eastAsia" w:ascii="仿宋_GB2312" w:eastAsia="仿宋_GB2312" w:cs="Times New Roman"/>
          <w:color w:val="auto"/>
          <w:sz w:val="32"/>
          <w:highlight w:val="none"/>
          <w:lang w:val="en-US" w:eastAsia="zh-CN"/>
        </w:rPr>
        <w:t>我厅和有关市县能够</w:t>
      </w:r>
      <w:r>
        <w:rPr>
          <w:rFonts w:hint="eastAsia" w:ascii="仿宋_GB2312" w:eastAsia="仿宋_GB2312"/>
          <w:color w:val="auto"/>
          <w:sz w:val="32"/>
          <w:szCs w:val="32"/>
          <w:highlight w:val="none"/>
        </w:rPr>
        <w:t>按照有关专项资金管理办法和财务制度规定</w:t>
      </w:r>
      <w:r>
        <w:rPr>
          <w:rFonts w:hint="eastAsia" w:ascii="仿宋_GB2312" w:eastAsia="仿宋_GB2312"/>
          <w:color w:val="auto"/>
          <w:sz w:val="32"/>
          <w:szCs w:val="32"/>
          <w:highlight w:val="none"/>
          <w:lang w:eastAsia="zh-CN"/>
        </w:rPr>
        <w:t>监管</w:t>
      </w:r>
      <w:r>
        <w:rPr>
          <w:rFonts w:hint="eastAsia" w:ascii="仿宋_GB2312" w:eastAsia="仿宋_GB2312"/>
          <w:color w:val="auto"/>
          <w:sz w:val="32"/>
          <w:szCs w:val="32"/>
          <w:highlight w:val="none"/>
        </w:rPr>
        <w:t>、使用专项资金。事项支出的合规性良好，资金管理、费用标准、支付符合有关制度规定，</w:t>
      </w:r>
      <w:r>
        <w:rPr>
          <w:rFonts w:hint="eastAsia" w:ascii="仿宋_GB2312" w:eastAsia="仿宋_GB2312"/>
          <w:color w:val="auto"/>
          <w:sz w:val="32"/>
          <w:szCs w:val="32"/>
          <w:highlight w:val="none"/>
          <w:lang w:eastAsia="zh-CN"/>
        </w:rPr>
        <w:t>未发现</w:t>
      </w:r>
      <w:r>
        <w:rPr>
          <w:rFonts w:hint="eastAsia" w:ascii="仿宋_GB2312" w:eastAsia="仿宋_GB2312"/>
          <w:color w:val="auto"/>
          <w:sz w:val="32"/>
          <w:szCs w:val="32"/>
          <w:highlight w:val="none"/>
        </w:rPr>
        <w:t>超范围</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虚列支出</w:t>
      </w:r>
      <w:r>
        <w:rPr>
          <w:rFonts w:hint="eastAsia" w:ascii="仿宋_GB2312" w:eastAsia="仿宋_GB2312"/>
          <w:color w:val="auto"/>
          <w:sz w:val="32"/>
          <w:szCs w:val="32"/>
          <w:highlight w:val="none"/>
          <w:lang w:eastAsia="zh-CN"/>
        </w:rPr>
        <w:t>及</w:t>
      </w:r>
      <w:r>
        <w:rPr>
          <w:rFonts w:hint="eastAsia" w:ascii="仿宋_GB2312" w:eastAsia="仿宋_GB2312"/>
          <w:color w:val="auto"/>
          <w:sz w:val="32"/>
          <w:szCs w:val="32"/>
          <w:highlight w:val="none"/>
        </w:rPr>
        <w:t>截留、挤占、挪用资金</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情况。</w:t>
      </w:r>
    </w:p>
    <w:p>
      <w:pPr>
        <w:pStyle w:val="13"/>
        <w:numPr>
          <w:ilvl w:val="0"/>
          <w:numId w:val="0"/>
        </w:numPr>
        <w:ind w:firstLine="640" w:firstLineChars="200"/>
        <w:rPr>
          <w:rFonts w:hint="eastAsia" w:ascii="仿宋_GB2312" w:hAnsi="仿宋_GB2312" w:eastAsia="仿宋_GB2312" w:cs="仿宋_GB2312"/>
          <w:color w:val="auto"/>
          <w:sz w:val="32"/>
          <w:highlight w:val="none"/>
        </w:rPr>
      </w:pPr>
      <w:r>
        <w:rPr>
          <w:rFonts w:hint="eastAsia" w:ascii="仿宋_GB2312" w:hAnsi="仿宋" w:eastAsia="仿宋_GB2312"/>
          <w:b w:val="0"/>
          <w:color w:val="auto"/>
          <w:sz w:val="32"/>
          <w:highlight w:val="none"/>
        </w:rPr>
        <w:t>（3）实施程序。</w:t>
      </w:r>
      <w:r>
        <w:rPr>
          <w:rFonts w:ascii="仿宋_GB2312" w:hAnsi="仿宋" w:eastAsia="仿宋_GB2312"/>
          <w:color w:val="auto"/>
          <w:sz w:val="32"/>
          <w:szCs w:val="32"/>
          <w:highlight w:val="none"/>
        </w:rPr>
        <w:t>该指标分值4分，评价得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4</w:t>
      </w:r>
      <w:r>
        <w:rPr>
          <w:rFonts w:ascii="仿宋_GB2312" w:hAnsi="仿宋" w:eastAsia="仿宋_GB2312"/>
          <w:color w:val="auto"/>
          <w:sz w:val="32"/>
          <w:szCs w:val="32"/>
          <w:highlight w:val="none"/>
        </w:rPr>
        <w:t>分，得分率为</w:t>
      </w:r>
      <w:r>
        <w:rPr>
          <w:rFonts w:hint="eastAsia" w:ascii="仿宋_GB2312" w:hAnsi="仿宋" w:eastAsia="仿宋_GB2312"/>
          <w:color w:val="auto"/>
          <w:sz w:val="32"/>
          <w:szCs w:val="32"/>
          <w:highlight w:val="none"/>
          <w:lang w:val="en-US" w:eastAsia="zh-CN"/>
        </w:rPr>
        <w:t>100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eastAsia="zh-CN"/>
        </w:rPr>
        <w:t>我厅</w:t>
      </w:r>
      <w:r>
        <w:rPr>
          <w:rFonts w:ascii="仿宋_GB2312" w:hAnsi="仿宋_GB2312" w:eastAsia="仿宋_GB2312" w:cs="仿宋_GB2312"/>
          <w:color w:val="auto"/>
          <w:sz w:val="32"/>
          <w:highlight w:val="none"/>
        </w:rPr>
        <w:t>制定了比较明确</w:t>
      </w:r>
      <w:r>
        <w:rPr>
          <w:rFonts w:hint="eastAsia" w:ascii="仿宋_GB2312" w:hAnsi="仿宋_GB2312" w:eastAsia="仿宋_GB2312" w:cs="仿宋_GB2312"/>
          <w:color w:val="auto"/>
          <w:sz w:val="32"/>
          <w:highlight w:val="none"/>
        </w:rPr>
        <w:t>的</w:t>
      </w:r>
      <w:r>
        <w:rPr>
          <w:rFonts w:ascii="仿宋_GB2312" w:hAnsi="仿宋_GB2312" w:eastAsia="仿宋_GB2312" w:cs="仿宋_GB2312"/>
          <w:color w:val="auto"/>
          <w:sz w:val="32"/>
          <w:highlight w:val="none"/>
        </w:rPr>
        <w:t>专项资金项目实施程序，</w:t>
      </w:r>
      <w:r>
        <w:rPr>
          <w:rFonts w:hint="eastAsia" w:ascii="仿宋_GB2312" w:hAnsi="仿宋_GB2312" w:eastAsia="仿宋_GB2312" w:cs="仿宋_GB2312"/>
          <w:color w:val="auto"/>
          <w:sz w:val="32"/>
          <w:highlight w:val="none"/>
          <w:lang w:val="en-US" w:eastAsia="zh-CN"/>
        </w:rPr>
        <w:t>落实相关部门的工作责任。</w:t>
      </w:r>
      <w:r>
        <w:rPr>
          <w:rFonts w:hint="eastAsia" w:ascii="仿宋_GB2312" w:hAnsi="仿宋_GB2312" w:eastAsia="仿宋_GB2312" w:cs="仿宋_GB2312"/>
          <w:color w:val="auto"/>
          <w:sz w:val="32"/>
          <w:highlight w:val="none"/>
        </w:rPr>
        <w:t>专项资金项目实施过程规范,相关地市在收到省财政厅下达的预算指标后，能够按要求及时认真做好本地项目实施方案的编制工作</w:t>
      </w:r>
      <w:r>
        <w:rPr>
          <w:rFonts w:ascii="仿宋_GB2312" w:hAnsi="仿宋_GB2312" w:eastAsia="仿宋_GB2312" w:cs="仿宋_GB2312"/>
          <w:color w:val="auto"/>
          <w:sz w:val="32"/>
          <w:highlight w:val="none"/>
        </w:rPr>
        <w:t>并且按程序推进项目实施</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rPr>
        <w:t>积极组织</w:t>
      </w:r>
      <w:r>
        <w:rPr>
          <w:rFonts w:hint="eastAsia" w:ascii="仿宋_GB2312" w:hAnsi="仿宋_GB2312" w:eastAsia="仿宋_GB2312" w:cs="仿宋_GB2312"/>
          <w:color w:val="auto"/>
          <w:sz w:val="32"/>
          <w:highlight w:val="none"/>
          <w:lang w:eastAsia="zh-CN"/>
        </w:rPr>
        <w:t>实施</w:t>
      </w:r>
      <w:r>
        <w:rPr>
          <w:rFonts w:hint="eastAsia" w:ascii="仿宋_GB2312" w:eastAsia="仿宋_GB2312" w:cs="Times New Roman"/>
          <w:color w:val="auto"/>
          <w:sz w:val="32"/>
          <w:szCs w:val="32"/>
          <w:highlight w:val="none"/>
          <w:lang w:val="en-US" w:eastAsia="zh-CN"/>
        </w:rPr>
        <w:t>休（禁）渔渔民生产生活</w:t>
      </w:r>
      <w:r>
        <w:rPr>
          <w:rFonts w:hint="eastAsia" w:ascii="仿宋_GB2312" w:hAnsi="仿宋_GB2312" w:eastAsia="仿宋_GB2312" w:cs="仿宋_GB2312"/>
          <w:color w:val="auto"/>
          <w:sz w:val="32"/>
          <w:highlight w:val="none"/>
          <w:lang w:val="en-US" w:eastAsia="zh-CN"/>
        </w:rPr>
        <w:t>补助</w:t>
      </w:r>
      <w:r>
        <w:rPr>
          <w:rFonts w:hint="eastAsia" w:ascii="仿宋_GB2312" w:hAnsi="仿宋_GB2312" w:eastAsia="仿宋_GB2312" w:cs="仿宋_GB2312"/>
          <w:color w:val="auto"/>
          <w:sz w:val="32"/>
          <w:highlight w:val="none"/>
        </w:rPr>
        <w:t>按规定申报</w:t>
      </w:r>
      <w:r>
        <w:rPr>
          <w:rFonts w:hint="eastAsia" w:ascii="仿宋_GB2312" w:hAnsi="仿宋_GB2312" w:eastAsia="仿宋_GB2312" w:cs="仿宋_GB2312"/>
          <w:color w:val="auto"/>
          <w:sz w:val="32"/>
          <w:highlight w:val="none"/>
          <w:lang w:eastAsia="zh-CN"/>
        </w:rPr>
        <w:t>、审批和发放</w:t>
      </w:r>
      <w:r>
        <w:rPr>
          <w:rFonts w:hint="eastAsia" w:ascii="仿宋_GB2312" w:hAnsi="仿宋_GB2312" w:eastAsia="仿宋_GB2312" w:cs="仿宋_GB2312"/>
          <w:color w:val="auto"/>
          <w:sz w:val="32"/>
          <w:highlight w:val="none"/>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（4）管理情况。指标分值4</w:t>
      </w:r>
      <w:r>
        <w:rPr>
          <w:rFonts w:ascii="仿宋_GB2312" w:eastAsia="仿宋_GB2312"/>
          <w:color w:val="auto"/>
          <w:sz w:val="32"/>
          <w:szCs w:val="32"/>
          <w:highlight w:val="none"/>
        </w:rPr>
        <w:t>分，评价得分</w:t>
      </w:r>
      <w:r>
        <w:rPr>
          <w:rFonts w:hint="eastAsia" w:ascii="仿宋_GB2312" w:eastAsia="仿宋_GB2312"/>
          <w:color w:val="auto"/>
          <w:sz w:val="32"/>
          <w:szCs w:val="32"/>
          <w:highlight w:val="none"/>
          <w:lang w:val="en-US" w:eastAsia="zh-CN"/>
        </w:rPr>
        <w:t>4</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专项资金管理机制比较完善，</w:t>
      </w:r>
      <w:r>
        <w:rPr>
          <w:rFonts w:hint="eastAsia" w:ascii="仿宋_GB2312" w:eastAsia="仿宋_GB2312"/>
          <w:color w:val="auto"/>
          <w:sz w:val="32"/>
          <w:szCs w:val="32"/>
          <w:highlight w:val="none"/>
          <w:lang w:eastAsia="zh-CN"/>
        </w:rPr>
        <w:t>有关</w:t>
      </w:r>
      <w:r>
        <w:rPr>
          <w:rFonts w:hint="eastAsia" w:ascii="仿宋_GB2312" w:eastAsia="仿宋_GB2312"/>
          <w:color w:val="auto"/>
          <w:sz w:val="32"/>
          <w:szCs w:val="32"/>
          <w:highlight w:val="none"/>
        </w:rPr>
        <w:t>市县</w:t>
      </w:r>
      <w:r>
        <w:rPr>
          <w:rFonts w:hint="eastAsia" w:ascii="仿宋_GB2312" w:eastAsia="仿宋_GB2312"/>
          <w:color w:val="auto"/>
          <w:sz w:val="32"/>
          <w:szCs w:val="32"/>
          <w:highlight w:val="none"/>
          <w:lang w:eastAsia="zh-CN"/>
        </w:rPr>
        <w:t>对</w:t>
      </w:r>
      <w:r>
        <w:rPr>
          <w:rFonts w:hint="eastAsia" w:ascii="仿宋_GB2312" w:eastAsia="仿宋_GB2312"/>
          <w:color w:val="auto"/>
          <w:sz w:val="32"/>
          <w:szCs w:val="32"/>
          <w:highlight w:val="none"/>
        </w:rPr>
        <w:t>资金管理和使用情况</w:t>
      </w:r>
      <w:r>
        <w:rPr>
          <w:rFonts w:hint="eastAsia" w:ascii="仿宋_GB2312" w:eastAsia="仿宋_GB2312"/>
          <w:color w:val="auto"/>
          <w:sz w:val="32"/>
          <w:szCs w:val="32"/>
          <w:highlight w:val="none"/>
          <w:lang w:eastAsia="zh-CN"/>
        </w:rPr>
        <w:t>进行有效监管。</w:t>
      </w:r>
    </w:p>
    <w:p>
      <w:pPr>
        <w:pStyle w:val="13"/>
        <w:ind w:left="0" w:leftChars="0" w:firstLine="642" w:firstLineChars="200"/>
        <w:rPr>
          <w:rFonts w:hint="eastAsia" w:ascii="仿宋_GB2312" w:hAnsi="仿宋_GB2312" w:eastAsia="仿宋_GB2312" w:cs="仿宋_GB2312"/>
          <w:color w:val="auto"/>
          <w:sz w:val="32"/>
          <w:highlight w:val="none"/>
          <w:lang w:val="en-US" w:eastAsia="zh-CN"/>
        </w:rPr>
      </w:pPr>
      <w:r>
        <w:rPr>
          <w:rFonts w:hint="eastAsia" w:ascii="仿宋_GB2312" w:eastAsia="仿宋_GB2312"/>
          <w:b/>
          <w:bCs/>
          <w:color w:val="auto"/>
          <w:sz w:val="32"/>
          <w:szCs w:val="32"/>
          <w:highlight w:val="none"/>
        </w:rPr>
        <w:t>3．产出</w:t>
      </w:r>
      <w:r>
        <w:rPr>
          <w:rFonts w:hint="eastAsia" w:ascii="仿宋_GB2312" w:eastAsia="仿宋_GB2312"/>
          <w:b/>
          <w:bCs/>
          <w:color w:val="auto"/>
          <w:sz w:val="32"/>
          <w:szCs w:val="32"/>
          <w:highlight w:val="none"/>
          <w:lang w:eastAsia="zh-CN"/>
        </w:rPr>
        <w:t>。</w:t>
      </w:r>
      <w:r>
        <w:rPr>
          <w:rFonts w:hint="eastAsia" w:ascii="仿宋_GB2312" w:hAnsi="黑体" w:eastAsia="仿宋_GB2312"/>
          <w:color w:val="auto"/>
          <w:sz w:val="32"/>
          <w:highlight w:val="none"/>
        </w:rPr>
        <w:t>该指标主要从经济性和效率性两个方面考察预算</w:t>
      </w:r>
      <w:r>
        <w:rPr>
          <w:rFonts w:hint="eastAsia" w:ascii="仿宋_GB2312" w:hAnsi="黑体" w:eastAsia="仿宋_GB2312"/>
          <w:color w:val="auto"/>
          <w:sz w:val="32"/>
          <w:highlight w:val="none"/>
          <w:lang w:val="en-US" w:eastAsia="zh-CN"/>
        </w:rPr>
        <w:t>控制、成本控制情况</w:t>
      </w:r>
      <w:r>
        <w:rPr>
          <w:rFonts w:hint="eastAsia" w:ascii="仿宋_GB2312" w:hAnsi="黑体" w:eastAsia="仿宋_GB2312"/>
          <w:color w:val="auto"/>
          <w:sz w:val="32"/>
          <w:highlight w:val="none"/>
        </w:rPr>
        <w:t>，</w:t>
      </w:r>
      <w:r>
        <w:rPr>
          <w:rFonts w:hint="eastAsia" w:ascii="仿宋_GB2312" w:hAnsi="黑体" w:eastAsia="仿宋_GB2312"/>
          <w:color w:val="auto"/>
          <w:sz w:val="32"/>
          <w:highlight w:val="none"/>
          <w:lang w:val="en-US" w:eastAsia="zh-CN"/>
        </w:rPr>
        <w:t>以及</w:t>
      </w:r>
      <w:r>
        <w:rPr>
          <w:rFonts w:hint="eastAsia" w:ascii="仿宋_GB2312" w:hAnsi="黑体" w:eastAsia="仿宋_GB2312"/>
          <w:color w:val="auto"/>
          <w:sz w:val="32"/>
          <w:highlight w:val="none"/>
        </w:rPr>
        <w:t>项目完成的进度、质量等产出情况。</w:t>
      </w:r>
      <w:r>
        <w:rPr>
          <w:rFonts w:hint="eastAsia" w:ascii="仿宋_GB2312" w:hAnsi="仿宋_GB2312" w:eastAsia="仿宋_GB2312" w:cs="仿宋_GB2312"/>
          <w:color w:val="auto"/>
          <w:sz w:val="32"/>
          <w:highlight w:val="none"/>
        </w:rPr>
        <w:t>指标分值30分，评价得分</w:t>
      </w:r>
      <w:r>
        <w:rPr>
          <w:rFonts w:hint="eastAsia" w:ascii="仿宋_GB2312" w:hAnsi="仿宋_GB2312" w:eastAsia="仿宋_GB2312" w:cs="仿宋_GB2312"/>
          <w:color w:val="auto"/>
          <w:sz w:val="32"/>
          <w:highlight w:val="none"/>
          <w:lang w:val="en-US" w:eastAsia="zh-CN"/>
        </w:rPr>
        <w:t>28.80</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96%。</w:t>
      </w:r>
    </w:p>
    <w:p>
      <w:pPr>
        <w:pStyle w:val="13"/>
        <w:ind w:left="0" w:leftChars="0" w:firstLine="640" w:firstLineChars="200"/>
        <w:rPr>
          <w:rFonts w:hint="eastAsia" w:ascii="仿宋_GB2312" w:hAnsi="仿宋_GB2312" w:eastAsia="仿宋_GB2312" w:cs="仿宋_GB2312"/>
          <w:color w:val="auto"/>
          <w:sz w:val="32"/>
          <w:highlight w:val="none"/>
        </w:rPr>
      </w:pPr>
      <w:bookmarkStart w:id="47" w:name="_Toc39324255"/>
      <w:bookmarkStart w:id="48" w:name="_Toc42021438"/>
      <w:bookmarkStart w:id="49" w:name="_Toc41334550"/>
      <w:bookmarkStart w:id="50" w:name="_Toc39921338"/>
      <w:bookmarkStart w:id="51" w:name="_Toc42020747"/>
      <w:bookmarkStart w:id="52" w:name="_Toc29119"/>
      <w:bookmarkStart w:id="53" w:name="_Toc39323958"/>
      <w:r>
        <w:rPr>
          <w:rFonts w:hint="eastAsia" w:ascii="仿宋_GB2312" w:hAnsi="仿宋_GB2312" w:eastAsia="仿宋_GB2312" w:cs="仿宋_GB2312"/>
          <w:color w:val="auto"/>
          <w:sz w:val="32"/>
          <w:highlight w:val="none"/>
        </w:rPr>
        <w:t>（1）预算控制。</w:t>
      </w:r>
      <w:bookmarkEnd w:id="47"/>
      <w:bookmarkEnd w:id="48"/>
      <w:bookmarkEnd w:id="49"/>
      <w:bookmarkEnd w:id="50"/>
      <w:bookmarkEnd w:id="51"/>
      <w:bookmarkEnd w:id="52"/>
      <w:bookmarkEnd w:id="53"/>
      <w:r>
        <w:rPr>
          <w:rFonts w:hint="eastAsia" w:ascii="仿宋_GB2312" w:hAnsi="仿宋_GB2312" w:eastAsia="仿宋_GB2312" w:cs="仿宋_GB2312"/>
          <w:color w:val="auto"/>
          <w:sz w:val="32"/>
          <w:highlight w:val="none"/>
        </w:rPr>
        <w:t>该指标分值3分，评价得分</w:t>
      </w:r>
      <w:r>
        <w:rPr>
          <w:rFonts w:hint="eastAsia" w:ascii="仿宋_GB2312" w:hAnsi="仿宋_GB2312" w:eastAsia="仿宋_GB2312" w:cs="仿宋_GB2312"/>
          <w:color w:val="auto"/>
          <w:sz w:val="32"/>
          <w:highlight w:val="none"/>
          <w:lang w:val="en-US" w:eastAsia="zh-CN"/>
        </w:rPr>
        <w:t>3</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100</w:t>
      </w:r>
      <w:r>
        <w:rPr>
          <w:rFonts w:hint="eastAsia" w:ascii="仿宋_GB2312" w:hAnsi="仿宋_GB2312" w:eastAsia="仿宋_GB2312" w:cs="仿宋_GB2312"/>
          <w:color w:val="auto"/>
          <w:sz w:val="32"/>
          <w:highlight w:val="none"/>
        </w:rPr>
        <w:t>%。根据自评材料，未发现支出超预算指标情况。有关县（市、区）预算执行进度与事项完成进度基本匹配。</w:t>
      </w:r>
    </w:p>
    <w:p>
      <w:pPr>
        <w:pStyle w:val="13"/>
        <w:ind w:left="0" w:leftChars="0" w:firstLine="640" w:firstLineChars="200"/>
        <w:rPr>
          <w:rFonts w:hint="eastAsia" w:ascii="仿宋_GB2312" w:hAnsi="仿宋_GB2312" w:eastAsia="仿宋_GB2312" w:cs="仿宋_GB2312"/>
          <w:color w:val="auto"/>
          <w:sz w:val="32"/>
          <w:highlight w:val="none"/>
          <w:lang w:eastAsia="zh-CN"/>
        </w:rPr>
      </w:pPr>
      <w:r>
        <w:rPr>
          <w:rFonts w:hint="eastAsia" w:ascii="仿宋_GB2312" w:hAnsi="仿宋_GB2312" w:eastAsia="仿宋_GB2312" w:cs="仿宋_GB2312"/>
          <w:color w:val="auto"/>
          <w:sz w:val="32"/>
          <w:highlight w:val="none"/>
        </w:rPr>
        <w:t>（2）成本控制。指标分值2分，评价得分2分，得分率为100%。专项资金项目成本支出基本控制在合理范围</w:t>
      </w:r>
      <w:r>
        <w:rPr>
          <w:rFonts w:hint="eastAsia" w:ascii="仿宋_GB2312" w:hAnsi="仿宋_GB2312" w:eastAsia="仿宋_GB2312" w:cs="仿宋_GB2312"/>
          <w:color w:val="auto"/>
          <w:sz w:val="32"/>
          <w:highlight w:val="none"/>
          <w:lang w:eastAsia="zh-CN"/>
        </w:rPr>
        <w:t>。</w:t>
      </w:r>
    </w:p>
    <w:p>
      <w:pPr>
        <w:pStyle w:val="13"/>
        <w:ind w:left="0" w:leftChars="0" w:firstLine="640" w:firstLineChars="200"/>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（3）完成进度。</w:t>
      </w:r>
      <w:bookmarkStart w:id="54" w:name="_Hlk41331806"/>
      <w:r>
        <w:rPr>
          <w:rFonts w:hint="eastAsia" w:ascii="仿宋_GB2312" w:hAnsi="仿宋_GB2312" w:eastAsia="仿宋_GB2312" w:cs="仿宋_GB2312"/>
          <w:color w:val="auto"/>
          <w:sz w:val="32"/>
          <w:highlight w:val="none"/>
          <w:lang w:val="en-US" w:eastAsia="zh-CN"/>
        </w:rPr>
        <w:t>该指标分值16分，评价得分14.80分，得分率为92.50%</w:t>
      </w:r>
      <w:bookmarkEnd w:id="54"/>
      <w:r>
        <w:rPr>
          <w:rFonts w:hint="eastAsia" w:ascii="仿宋_GB2312" w:hAnsi="仿宋_GB2312" w:eastAsia="仿宋_GB2312" w:cs="仿宋_GB2312"/>
          <w:color w:val="auto"/>
          <w:sz w:val="32"/>
          <w:highlight w:val="none"/>
          <w:lang w:val="en-US" w:eastAsia="zh-CN"/>
        </w:rPr>
        <w:t>。据统计，2020年计划补助人数目标为不少于15558人，实际已发放人数40827，远超计划补助人数。但个别市县因受疫情影响，国库资金紧张等原因未能及时发放补助资金，项目实施进度较慢。</w:t>
      </w:r>
    </w:p>
    <w:p>
      <w:pPr>
        <w:pStyle w:val="13"/>
        <w:ind w:left="0" w:leftChars="0" w:firstLine="640" w:firstLineChars="200"/>
        <w:rPr>
          <w:rFonts w:hint="eastAsia" w:ascii="仿宋_GB2312" w:hAnsi="仿宋" w:eastAsia="仿宋_GB2312" w:cs="Times New Roman"/>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（3）完成质量。该指标分值9分，评价得分9分，得分率为100%。补助资金均按专项资金管理办法发放到位，依据《广东省休（禁）渔渔民生产生活补助发放实施方案》准确发到符合补助条件的渔民存折或银行卡。</w:t>
      </w:r>
    </w:p>
    <w:p>
      <w:pPr>
        <w:ind w:firstLine="642" w:firstLineChars="200"/>
        <w:rPr>
          <w:rFonts w:hint="eastAsia" w:ascii="仿宋_GB2312" w:hAnsi="仿宋" w:eastAsia="仿宋_GB2312"/>
          <w:b w:val="0"/>
          <w:bCs w:val="0"/>
          <w:color w:val="auto"/>
          <w:sz w:val="32"/>
          <w:highlight w:val="none"/>
        </w:rPr>
      </w:pPr>
      <w:r>
        <w:rPr>
          <w:rFonts w:hint="eastAsia" w:ascii="仿宋_GB2312" w:eastAsia="仿宋_GB2312"/>
          <w:b/>
          <w:bCs/>
          <w:color w:val="auto"/>
          <w:sz w:val="32"/>
          <w:highlight w:val="none"/>
        </w:rPr>
        <w:t>4.</w:t>
      </w:r>
      <w:r>
        <w:rPr>
          <w:rFonts w:hint="eastAsia" w:ascii="仿宋_GB2312" w:hAnsi="仿宋" w:eastAsia="仿宋_GB2312"/>
          <w:b/>
          <w:bCs/>
          <w:color w:val="auto"/>
          <w:sz w:val="32"/>
          <w:highlight w:val="none"/>
        </w:rPr>
        <w:t>效益</w:t>
      </w:r>
      <w:r>
        <w:rPr>
          <w:rFonts w:hint="eastAsia" w:ascii="仿宋_GB2312" w:eastAsia="仿宋_GB2312"/>
          <w:b/>
          <w:bCs/>
          <w:color w:val="auto"/>
          <w:sz w:val="32"/>
          <w:highlight w:val="none"/>
        </w:rPr>
        <w:t>。</w:t>
      </w:r>
      <w:r>
        <w:rPr>
          <w:rFonts w:hint="eastAsia" w:ascii="仿宋_GB2312" w:hAnsi="仿宋" w:eastAsia="仿宋_GB2312"/>
          <w:b w:val="0"/>
          <w:bCs w:val="0"/>
          <w:color w:val="auto"/>
          <w:sz w:val="32"/>
          <w:highlight w:val="none"/>
        </w:rPr>
        <w:t>该指标主要从效果性和公平性两个方面考核</w:t>
      </w:r>
      <w:r>
        <w:rPr>
          <w:rFonts w:hint="eastAsia" w:ascii="仿宋_GB2312" w:hAnsi="仿宋" w:eastAsia="仿宋_GB2312"/>
          <w:b w:val="0"/>
          <w:bCs w:val="0"/>
          <w:color w:val="auto"/>
          <w:sz w:val="32"/>
          <w:highlight w:val="none"/>
          <w:lang w:val="en-US" w:eastAsia="zh-CN"/>
        </w:rPr>
        <w:t>给</w:t>
      </w:r>
      <w:r>
        <w:rPr>
          <w:rFonts w:hint="eastAsia" w:ascii="仿宋_GB2312" w:hAnsi="仿宋" w:eastAsia="仿宋_GB2312"/>
          <w:color w:val="auto"/>
          <w:sz w:val="32"/>
          <w:szCs w:val="32"/>
          <w:highlight w:val="none"/>
          <w:lang w:val="en-US" w:eastAsia="zh-CN"/>
        </w:rPr>
        <w:t>休（禁）渔渔民</w:t>
      </w:r>
      <w:r>
        <w:rPr>
          <w:rFonts w:hint="eastAsia" w:ascii="仿宋_GB2312" w:hAnsi="仿宋" w:eastAsia="仿宋_GB2312"/>
          <w:b w:val="0"/>
          <w:bCs w:val="0"/>
          <w:color w:val="auto"/>
          <w:sz w:val="32"/>
          <w:highlight w:val="none"/>
          <w:lang w:val="en-US" w:eastAsia="zh-CN"/>
        </w:rPr>
        <w:t>发放生产生活补助</w:t>
      </w:r>
      <w:r>
        <w:rPr>
          <w:rFonts w:hint="eastAsia" w:ascii="仿宋_GB2312" w:hAnsi="仿宋" w:eastAsia="仿宋_GB2312"/>
          <w:b w:val="0"/>
          <w:bCs w:val="0"/>
          <w:color w:val="auto"/>
          <w:sz w:val="32"/>
          <w:highlight w:val="none"/>
        </w:rPr>
        <w:t>产生的社会效益</w:t>
      </w:r>
      <w:r>
        <w:rPr>
          <w:rFonts w:hint="eastAsia" w:ascii="仿宋_GB2312" w:hAnsi="仿宋" w:eastAsia="仿宋_GB2312"/>
          <w:b w:val="0"/>
          <w:bCs w:val="0"/>
          <w:color w:val="auto"/>
          <w:sz w:val="32"/>
          <w:highlight w:val="none"/>
          <w:lang w:eastAsia="zh-CN"/>
        </w:rPr>
        <w:t>，以及</w:t>
      </w:r>
      <w:r>
        <w:rPr>
          <w:rFonts w:hint="eastAsia" w:ascii="仿宋_GB2312" w:hAnsi="仿宋" w:eastAsia="仿宋_GB2312"/>
          <w:b w:val="0"/>
          <w:bCs w:val="0"/>
          <w:color w:val="auto"/>
          <w:sz w:val="32"/>
          <w:highlight w:val="none"/>
          <w:lang w:val="en-US" w:eastAsia="zh-CN"/>
        </w:rPr>
        <w:t>服务对象的</w:t>
      </w:r>
      <w:r>
        <w:rPr>
          <w:rFonts w:hint="eastAsia" w:ascii="仿宋_GB2312" w:hAnsi="仿宋" w:eastAsia="仿宋_GB2312"/>
          <w:b w:val="0"/>
          <w:bCs w:val="0"/>
          <w:color w:val="auto"/>
          <w:sz w:val="32"/>
          <w:highlight w:val="none"/>
        </w:rPr>
        <w:t>满意度。指标分值30分，评价得分</w:t>
      </w:r>
      <w:r>
        <w:rPr>
          <w:rFonts w:hint="eastAsia" w:ascii="仿宋_GB2312" w:hAnsi="仿宋" w:eastAsia="仿宋_GB2312"/>
          <w:b w:val="0"/>
          <w:bCs w:val="0"/>
          <w:color w:val="auto"/>
          <w:sz w:val="32"/>
          <w:highlight w:val="none"/>
          <w:lang w:val="en-US" w:eastAsia="zh-CN"/>
        </w:rPr>
        <w:t>29.20</w:t>
      </w:r>
      <w:r>
        <w:rPr>
          <w:rFonts w:hint="eastAsia" w:ascii="仿宋_GB2312" w:hAnsi="仿宋" w:eastAsia="仿宋_GB2312"/>
          <w:b w:val="0"/>
          <w:bCs w:val="0"/>
          <w:color w:val="auto"/>
          <w:sz w:val="32"/>
          <w:highlight w:val="none"/>
        </w:rPr>
        <w:t>分，得分率为</w:t>
      </w:r>
      <w:r>
        <w:rPr>
          <w:rFonts w:hint="eastAsia" w:ascii="仿宋_GB2312" w:hAnsi="仿宋" w:eastAsia="仿宋_GB2312"/>
          <w:b w:val="0"/>
          <w:bCs w:val="0"/>
          <w:color w:val="auto"/>
          <w:sz w:val="32"/>
          <w:highlight w:val="none"/>
          <w:lang w:val="en-US" w:eastAsia="zh-CN"/>
        </w:rPr>
        <w:t>97.33</w:t>
      </w:r>
      <w:r>
        <w:rPr>
          <w:rFonts w:hint="eastAsia" w:ascii="仿宋_GB2312" w:hAnsi="仿宋" w:eastAsia="仿宋_GB2312"/>
          <w:b w:val="0"/>
          <w:bCs w:val="0"/>
          <w:color w:val="auto"/>
          <w:sz w:val="32"/>
          <w:highlight w:val="none"/>
        </w:rPr>
        <w:t>%。</w:t>
      </w:r>
    </w:p>
    <w:p>
      <w:pPr>
        <w:pStyle w:val="13"/>
        <w:ind w:left="0" w:leftChars="0" w:firstLine="640" w:firstLineChars="200"/>
        <w:rPr>
          <w:rFonts w:hint="default" w:ascii="仿宋_GB2312" w:hAnsi="仿宋_GB2312" w:eastAsia="仿宋_GB2312" w:cs="仿宋_GB2312"/>
          <w:color w:val="auto"/>
          <w:sz w:val="32"/>
          <w:highlight w:val="none"/>
          <w:lang w:val="en-US" w:eastAsia="zh-CN"/>
        </w:rPr>
      </w:pPr>
      <w:bookmarkStart w:id="55" w:name="_Toc39921345"/>
      <w:bookmarkStart w:id="56" w:name="_Toc41334553"/>
      <w:bookmarkStart w:id="57" w:name="_Toc42020751"/>
      <w:bookmarkStart w:id="58" w:name="_Toc42021442"/>
      <w:bookmarkStart w:id="59" w:name="_Toc39324262"/>
      <w:bookmarkStart w:id="60" w:name="_Toc9006"/>
      <w:bookmarkStart w:id="61" w:name="_Toc39323965"/>
      <w:bookmarkStart w:id="62" w:name="_Toc6566"/>
      <w:r>
        <w:rPr>
          <w:rFonts w:hint="eastAsia" w:ascii="仿宋_GB2312" w:hAnsi="仿宋_GB2312" w:eastAsia="仿宋_GB2312" w:cs="仿宋_GB2312"/>
          <w:color w:val="auto"/>
          <w:sz w:val="32"/>
          <w:highlight w:val="none"/>
        </w:rPr>
        <w:t>（1）</w:t>
      </w:r>
      <w:bookmarkEnd w:id="55"/>
      <w:bookmarkEnd w:id="56"/>
      <w:bookmarkEnd w:id="57"/>
      <w:bookmarkEnd w:id="58"/>
      <w:bookmarkEnd w:id="59"/>
      <w:bookmarkEnd w:id="60"/>
      <w:bookmarkEnd w:id="61"/>
      <w:r>
        <w:rPr>
          <w:rFonts w:hint="eastAsia" w:ascii="仿宋_GB2312" w:hAnsi="仿宋_GB2312" w:eastAsia="仿宋_GB2312" w:cs="仿宋_GB2312"/>
          <w:color w:val="auto"/>
          <w:sz w:val="32"/>
          <w:highlight w:val="none"/>
        </w:rPr>
        <w:t>社会效益。该指标分值</w:t>
      </w:r>
      <w:r>
        <w:rPr>
          <w:rFonts w:hint="eastAsia" w:ascii="仿宋_GB2312" w:hAnsi="仿宋_GB2312" w:eastAsia="仿宋_GB2312" w:cs="仿宋_GB2312"/>
          <w:color w:val="auto"/>
          <w:sz w:val="32"/>
          <w:highlight w:val="none"/>
          <w:lang w:val="en-US" w:eastAsia="zh-CN"/>
        </w:rPr>
        <w:t>8</w:t>
      </w:r>
      <w:r>
        <w:rPr>
          <w:rFonts w:hint="eastAsia" w:ascii="仿宋_GB2312" w:hAnsi="仿宋_GB2312" w:eastAsia="仿宋_GB2312" w:cs="仿宋_GB2312"/>
          <w:color w:val="auto"/>
          <w:sz w:val="32"/>
          <w:highlight w:val="none"/>
        </w:rPr>
        <w:t>分，评价得</w:t>
      </w:r>
      <w:r>
        <w:rPr>
          <w:rFonts w:hint="eastAsia" w:ascii="仿宋_GB2312" w:hAnsi="仿宋_GB2312" w:eastAsia="仿宋_GB2312" w:cs="仿宋_GB2312"/>
          <w:color w:val="auto"/>
          <w:sz w:val="32"/>
          <w:highlight w:val="none"/>
          <w:lang w:val="en-US" w:eastAsia="zh-CN"/>
        </w:rPr>
        <w:t>7.20</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90</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highlight w:val="none"/>
          <w:lang w:val="en-US" w:eastAsia="zh-CN"/>
        </w:rPr>
        <w:t>项目实施后，渔民群众在休（禁）渔期间的生活得到基本保障，但专项资金扶持力度有待加强，受益范围仍有扩展空间。</w:t>
      </w:r>
      <w:bookmarkEnd w:id="62"/>
    </w:p>
    <w:p>
      <w:pPr>
        <w:pStyle w:val="13"/>
        <w:ind w:left="0" w:leftChars="0" w:firstLine="640" w:firstLineChars="200"/>
        <w:rPr>
          <w:rFonts w:hint="eastAsia" w:ascii="仿宋_GB2312" w:hAnsi="仿宋_GB2312" w:eastAsia="仿宋_GB2312" w:cs="仿宋_GB2312"/>
          <w:color w:val="auto"/>
          <w:sz w:val="32"/>
          <w:highlight w:val="none"/>
          <w:lang w:val="en-US" w:eastAsia="zh-CN"/>
        </w:rPr>
      </w:pPr>
      <w:bookmarkStart w:id="63" w:name="_Toc3049"/>
      <w:r>
        <w:rPr>
          <w:rFonts w:hint="eastAsia" w:ascii="仿宋_GB2312" w:hAnsi="仿宋_GB2312" w:eastAsia="仿宋_GB2312" w:cs="仿宋_GB2312"/>
          <w:color w:val="auto"/>
          <w:sz w:val="32"/>
          <w:highlight w:val="none"/>
          <w:lang w:val="en-US" w:eastAsia="zh-CN"/>
        </w:rPr>
        <w:t>（2）生态效益。</w:t>
      </w:r>
      <w:bookmarkStart w:id="64" w:name="_Toc41334554"/>
      <w:bookmarkStart w:id="65" w:name="_Toc42021443"/>
      <w:bookmarkStart w:id="66" w:name="_Toc42020752"/>
      <w:r>
        <w:rPr>
          <w:rFonts w:hint="eastAsia" w:ascii="仿宋_GB2312" w:hAnsi="仿宋_GB2312" w:eastAsia="仿宋_GB2312" w:cs="仿宋_GB2312"/>
          <w:color w:val="auto"/>
          <w:sz w:val="32"/>
          <w:highlight w:val="none"/>
        </w:rPr>
        <w:t>该指标分值</w:t>
      </w:r>
      <w:r>
        <w:rPr>
          <w:rFonts w:hint="eastAsia" w:ascii="仿宋_GB2312" w:hAnsi="仿宋_GB2312" w:eastAsia="仿宋_GB2312" w:cs="仿宋_GB2312"/>
          <w:color w:val="auto"/>
          <w:sz w:val="32"/>
          <w:highlight w:val="none"/>
          <w:lang w:val="en-US" w:eastAsia="zh-CN"/>
        </w:rPr>
        <w:t>8</w:t>
      </w:r>
      <w:r>
        <w:rPr>
          <w:rFonts w:hint="eastAsia" w:ascii="仿宋_GB2312" w:hAnsi="仿宋_GB2312" w:eastAsia="仿宋_GB2312" w:cs="仿宋_GB2312"/>
          <w:color w:val="auto"/>
          <w:sz w:val="32"/>
          <w:highlight w:val="none"/>
        </w:rPr>
        <w:t>分，评价得</w:t>
      </w:r>
      <w:r>
        <w:rPr>
          <w:rFonts w:hint="eastAsia" w:ascii="仿宋_GB2312" w:hAnsi="仿宋_GB2312" w:eastAsia="仿宋_GB2312" w:cs="仿宋_GB2312"/>
          <w:color w:val="auto"/>
          <w:sz w:val="32"/>
          <w:highlight w:val="none"/>
          <w:lang w:val="en-US" w:eastAsia="zh-CN"/>
        </w:rPr>
        <w:t>8</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100</w:t>
      </w:r>
      <w:r>
        <w:rPr>
          <w:rFonts w:hint="eastAsia" w:ascii="仿宋_GB2312" w:hAnsi="仿宋_GB2312" w:eastAsia="仿宋_GB2312" w:cs="仿宋_GB2312"/>
          <w:color w:val="auto"/>
          <w:sz w:val="32"/>
          <w:highlight w:val="none"/>
        </w:rPr>
        <w:t>%。项目实施后有效保护了渔业资源和渔区的生态环境。</w:t>
      </w:r>
      <w:bookmarkEnd w:id="63"/>
    </w:p>
    <w:p>
      <w:pPr>
        <w:pStyle w:val="13"/>
        <w:ind w:left="0" w:leftChars="0" w:firstLine="640" w:firstLineChars="200"/>
        <w:rPr>
          <w:rFonts w:hint="eastAsia" w:ascii="仿宋_GB2312" w:hAnsi="仿宋_GB2312" w:eastAsia="仿宋_GB2312" w:cs="仿宋_GB2312"/>
          <w:color w:val="auto"/>
          <w:sz w:val="32"/>
          <w:highlight w:val="none"/>
          <w:lang w:val="en-US" w:eastAsia="zh-CN"/>
        </w:rPr>
      </w:pPr>
      <w:bookmarkStart w:id="67" w:name="_Toc7916"/>
      <w:r>
        <w:rPr>
          <w:rFonts w:hint="eastAsia" w:ascii="仿宋_GB2312" w:hAnsi="仿宋_GB2312" w:eastAsia="仿宋_GB2312" w:cs="仿宋_GB2312"/>
          <w:color w:val="auto"/>
          <w:sz w:val="32"/>
          <w:highlight w:val="none"/>
          <w:lang w:val="en-US" w:eastAsia="zh-CN"/>
        </w:rPr>
        <w:t>（3）可持续发展。</w:t>
      </w:r>
      <w:r>
        <w:rPr>
          <w:rFonts w:hint="eastAsia" w:ascii="仿宋_GB2312" w:hAnsi="仿宋_GB2312" w:eastAsia="仿宋_GB2312" w:cs="仿宋_GB2312"/>
          <w:color w:val="auto"/>
          <w:sz w:val="32"/>
          <w:highlight w:val="none"/>
        </w:rPr>
        <w:t>该指标分值</w:t>
      </w:r>
      <w:r>
        <w:rPr>
          <w:rFonts w:hint="eastAsia" w:ascii="仿宋_GB2312" w:hAnsi="仿宋_GB2312" w:eastAsia="仿宋_GB2312" w:cs="仿宋_GB2312"/>
          <w:color w:val="auto"/>
          <w:sz w:val="32"/>
          <w:highlight w:val="none"/>
          <w:lang w:val="en-US" w:eastAsia="zh-CN"/>
        </w:rPr>
        <w:t>9</w:t>
      </w:r>
      <w:r>
        <w:rPr>
          <w:rFonts w:hint="eastAsia" w:ascii="仿宋_GB2312" w:hAnsi="仿宋_GB2312" w:eastAsia="仿宋_GB2312" w:cs="仿宋_GB2312"/>
          <w:color w:val="auto"/>
          <w:sz w:val="32"/>
          <w:highlight w:val="none"/>
        </w:rPr>
        <w:t>分，评价得</w:t>
      </w:r>
      <w:r>
        <w:rPr>
          <w:rFonts w:hint="eastAsia" w:ascii="仿宋_GB2312" w:hAnsi="仿宋_GB2312" w:eastAsia="仿宋_GB2312" w:cs="仿宋_GB2312"/>
          <w:color w:val="auto"/>
          <w:sz w:val="32"/>
          <w:highlight w:val="none"/>
          <w:lang w:val="en-US" w:eastAsia="zh-CN"/>
        </w:rPr>
        <w:t>9</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100</w:t>
      </w:r>
      <w:r>
        <w:rPr>
          <w:rFonts w:hint="eastAsia" w:ascii="仿宋_GB2312" w:hAnsi="仿宋_GB2312" w:eastAsia="仿宋_GB2312" w:cs="仿宋_GB2312"/>
          <w:color w:val="auto"/>
          <w:sz w:val="32"/>
          <w:highlight w:val="none"/>
        </w:rPr>
        <w:t>%。项目实施后促进了休（禁）渔期制度的有效实施和渔业</w:t>
      </w:r>
      <w:r>
        <w:rPr>
          <w:rFonts w:hint="eastAsia" w:ascii="仿宋_GB2312" w:hAnsi="仿宋_GB2312" w:eastAsia="仿宋_GB2312" w:cs="仿宋_GB2312"/>
          <w:color w:val="auto"/>
          <w:sz w:val="32"/>
          <w:highlight w:val="none"/>
          <w:lang w:val="en-US" w:eastAsia="zh-CN"/>
        </w:rPr>
        <w:t>生产的</w:t>
      </w:r>
      <w:r>
        <w:rPr>
          <w:rFonts w:hint="eastAsia" w:ascii="仿宋_GB2312" w:hAnsi="仿宋_GB2312" w:eastAsia="仿宋_GB2312" w:cs="仿宋_GB2312"/>
          <w:color w:val="auto"/>
          <w:sz w:val="32"/>
          <w:highlight w:val="none"/>
        </w:rPr>
        <w:t>可持续发展。</w:t>
      </w:r>
      <w:bookmarkEnd w:id="67"/>
    </w:p>
    <w:p>
      <w:pPr>
        <w:pStyle w:val="13"/>
        <w:ind w:left="0" w:leftChars="0" w:firstLine="640" w:firstLineChars="200"/>
        <w:rPr>
          <w:rFonts w:hint="eastAsia" w:ascii="仿宋_GB2312" w:hAnsi="仿宋" w:eastAsia="仿宋_GB2312"/>
          <w:b w:val="0"/>
          <w:bCs w:val="0"/>
          <w:color w:val="auto"/>
          <w:sz w:val="32"/>
          <w:highlight w:val="none"/>
          <w:lang w:val="en-US" w:eastAsia="zh-CN"/>
        </w:rPr>
      </w:pPr>
      <w:bookmarkStart w:id="68" w:name="_Toc6634"/>
      <w:r>
        <w:rPr>
          <w:rFonts w:hint="eastAsia" w:ascii="仿宋_GB2312" w:hAnsi="仿宋_GB2312" w:eastAsia="仿宋_GB2312" w:cs="仿宋_GB2312"/>
          <w:color w:val="auto"/>
          <w:sz w:val="32"/>
          <w:highlight w:val="none"/>
          <w:lang w:val="en-US" w:eastAsia="zh-CN"/>
        </w:rPr>
        <w:t>（4）满意度。该指标分值5分，评价得分5分，得分率为100%。</w:t>
      </w:r>
      <w:bookmarkEnd w:id="64"/>
      <w:bookmarkEnd w:id="65"/>
      <w:bookmarkEnd w:id="66"/>
      <w:r>
        <w:rPr>
          <w:rFonts w:hint="eastAsia" w:ascii="仿宋_GB2312" w:hAnsi="仿宋_GB2312" w:eastAsia="仿宋_GB2312" w:cs="仿宋_GB2312"/>
          <w:color w:val="auto"/>
          <w:sz w:val="32"/>
          <w:highlight w:val="none"/>
          <w:lang w:val="en-US" w:eastAsia="zh-CN"/>
        </w:rPr>
        <w:t>渔民群众的综合满意度为100%，超过了≧85%的满意度既定目标值。</w:t>
      </w:r>
      <w:bookmarkEnd w:id="68"/>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default" w:ascii="Calibri" w:hAnsi="宋体" w:eastAsia="楷体_GB2312" w:cs="Times New Roman"/>
          <w:b/>
          <w:bCs/>
          <w:color w:val="auto"/>
          <w:kern w:val="44"/>
          <w:sz w:val="32"/>
          <w:szCs w:val="44"/>
          <w:lang w:val="en-US" w:eastAsia="zh-CN" w:bidi="ar-SA"/>
        </w:rPr>
      </w:pPr>
      <w:bookmarkStart w:id="69" w:name="_Toc13603"/>
      <w:bookmarkStart w:id="70" w:name="_Toc7958"/>
      <w:bookmarkStart w:id="71" w:name="_Toc30859"/>
      <w:r>
        <w:rPr>
          <w:rFonts w:hint="eastAsia" w:ascii="Calibri" w:hAnsi="宋体" w:eastAsia="楷体_GB2312" w:cs="Times New Roman"/>
          <w:b/>
          <w:bCs/>
          <w:color w:val="auto"/>
          <w:kern w:val="44"/>
          <w:sz w:val="32"/>
          <w:szCs w:val="44"/>
          <w:lang w:val="en-US" w:eastAsia="zh-CN" w:bidi="ar-SA"/>
        </w:rPr>
        <w:t>（二）专项资金使用绩效</w:t>
      </w:r>
      <w:bookmarkEnd w:id="69"/>
      <w:bookmarkEnd w:id="70"/>
      <w:bookmarkEnd w:id="71"/>
    </w:p>
    <w:p>
      <w:pPr>
        <w:snapToGrid w:val="0"/>
        <w:spacing w:line="360" w:lineRule="auto"/>
        <w:ind w:firstLine="642" w:firstLineChars="200"/>
        <w:rPr>
          <w:rFonts w:hint="default" w:ascii="仿宋_GB2312" w:hAnsi="仿宋" w:eastAsia="仿宋_GB2312"/>
          <w:color w:val="auto"/>
          <w:sz w:val="32"/>
          <w:szCs w:val="32"/>
          <w:highlight w:val="none"/>
          <w:lang w:val="en-US" w:eastAsia="zh-CN"/>
        </w:rPr>
      </w:pPr>
      <w:r>
        <w:rPr>
          <w:rFonts w:hint="eastAsia" w:ascii="仿宋_GB2312" w:eastAsia="仿宋_GB2312"/>
          <w:b/>
          <w:bCs/>
          <w:color w:val="auto"/>
          <w:sz w:val="32"/>
          <w:szCs w:val="32"/>
          <w:lang w:val="en-US" w:eastAsia="zh-CN"/>
        </w:rPr>
        <w:t>1.专项资金支出情况。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Times New Roman" w:eastAsia="仿宋_GB2312" w:cs="Times New Roman"/>
          <w:b/>
          <w:bCs/>
          <w:color w:val="auto"/>
          <w:sz w:val="32"/>
          <w:szCs w:val="32"/>
          <w:lang w:val="en-US" w:eastAsia="zh-CN"/>
        </w:rPr>
      </w:pPr>
      <w:r>
        <w:rPr>
          <w:rFonts w:hint="eastAsia" w:ascii="仿宋_GB2312" w:hAnsi="仿宋" w:eastAsia="仿宋_GB2312"/>
          <w:color w:val="auto"/>
          <w:sz w:val="32"/>
          <w:szCs w:val="32"/>
          <w:highlight w:val="none"/>
          <w:lang w:val="en-US" w:eastAsia="zh-CN"/>
        </w:rPr>
        <w:t>《关于下达2020年省级休（禁）渔渔民生产生活补助资金的通知》已按规定程序及时足额地将2020年休（禁）渔渔民生产生活补助资金3358万元下达有关地市。省财政厅2020年5月22日下达专项资金，截至2021年3月31日，专项资金到位数</w:t>
      </w:r>
      <w:r>
        <w:rPr>
          <w:rFonts w:hint="default" w:ascii="仿宋_GB2312" w:hAnsi="仿宋" w:eastAsia="仿宋_GB2312"/>
          <w:color w:val="auto"/>
          <w:sz w:val="32"/>
          <w:szCs w:val="32"/>
          <w:highlight w:val="none"/>
          <w:lang w:val="en-US" w:eastAsia="zh-CN"/>
        </w:rPr>
        <w:t>3358</w:t>
      </w:r>
      <w:r>
        <w:rPr>
          <w:rFonts w:hint="eastAsia" w:ascii="仿宋_GB2312" w:hAnsi="仿宋" w:eastAsia="仿宋_GB2312"/>
          <w:color w:val="auto"/>
          <w:sz w:val="32"/>
          <w:szCs w:val="32"/>
          <w:highlight w:val="none"/>
          <w:lang w:val="en-US" w:eastAsia="zh-CN"/>
        </w:rPr>
        <w:t>万元，支出合计</w:t>
      </w:r>
      <w:r>
        <w:rPr>
          <w:rFonts w:hint="default" w:ascii="仿宋_GB2312" w:hAnsi="仿宋_GB2312" w:eastAsia="仿宋_GB2312" w:cs="仿宋_GB2312"/>
          <w:color w:val="auto"/>
          <w:kern w:val="0"/>
          <w:sz w:val="32"/>
          <w:szCs w:val="32"/>
          <w:highlight w:val="none"/>
          <w:lang w:val="en-US" w:eastAsia="zh-CN"/>
        </w:rPr>
        <w:t>2235.79</w:t>
      </w:r>
      <w:r>
        <w:rPr>
          <w:rFonts w:hint="eastAsia" w:ascii="仿宋_GB2312" w:hAnsi="仿宋" w:eastAsia="仿宋_GB2312"/>
          <w:color w:val="auto"/>
          <w:sz w:val="32"/>
          <w:szCs w:val="32"/>
          <w:highlight w:val="none"/>
          <w:lang w:val="en-US" w:eastAsia="zh-CN"/>
        </w:rPr>
        <w:t>万元，占预算资金的66</w:t>
      </w:r>
      <w:r>
        <w:rPr>
          <w:rFonts w:hint="default" w:ascii="仿宋_GB2312" w:hAnsi="仿宋" w:eastAsia="仿宋_GB2312"/>
          <w:color w:val="auto"/>
          <w:sz w:val="32"/>
          <w:szCs w:val="32"/>
          <w:highlight w:val="none"/>
          <w:lang w:val="en-US" w:eastAsia="zh-CN"/>
        </w:rPr>
        <w:t>.5</w:t>
      </w:r>
      <w:r>
        <w:rPr>
          <w:rFonts w:hint="eastAsia" w:ascii="仿宋_GB2312" w:hAnsi="仿宋" w:eastAsia="仿宋_GB2312"/>
          <w:color w:val="auto"/>
          <w:sz w:val="32"/>
          <w:szCs w:val="32"/>
          <w:highlight w:val="none"/>
          <w:lang w:val="en-US" w:eastAsia="zh-CN"/>
        </w:rPr>
        <w:t>8%。</w:t>
      </w:r>
      <w:r>
        <w:rPr>
          <w:rFonts w:hint="eastAsia" w:ascii="仿宋_GB2312" w:hAnsi="仿宋_GB2312" w:eastAsia="仿宋_GB2312" w:cs="仿宋_GB2312"/>
          <w:color w:val="auto"/>
          <w:kern w:val="0"/>
          <w:sz w:val="32"/>
          <w:szCs w:val="32"/>
          <w:highlight w:val="none"/>
          <w:lang w:val="en-US" w:eastAsia="zh-CN"/>
        </w:rPr>
        <w:t>未支出部分为湛江市551万元、阳江市507万元和汕头市64.21万元，原因主要是工作进度缓慢或配套资金未及时安排到位。</w:t>
      </w:r>
    </w:p>
    <w:p>
      <w:pPr>
        <w:keepNext w:val="0"/>
        <w:keepLines w:val="0"/>
        <w:pageBreakBefore w:val="0"/>
        <w:widowControl w:val="0"/>
        <w:kinsoku/>
        <w:wordWrap/>
        <w:overflowPunct/>
        <w:topLinePunct w:val="0"/>
        <w:autoSpaceDE/>
        <w:autoSpaceDN/>
        <w:bidi w:val="0"/>
        <w:adjustRightInd/>
        <w:snapToGrid w:val="0"/>
        <w:spacing w:line="360" w:lineRule="auto"/>
        <w:ind w:firstLine="642" w:firstLineChars="200"/>
        <w:textAlignment w:val="auto"/>
        <w:rPr>
          <w:rFonts w:hint="eastAsia" w:ascii="仿宋_GB2312" w:hAnsi="Times New Roman" w:eastAsia="仿宋_GB2312" w:cs="Times New Roman"/>
          <w:b/>
          <w:bCs/>
          <w:color w:val="auto"/>
          <w:sz w:val="32"/>
          <w:szCs w:val="32"/>
          <w:lang w:val="en-US" w:eastAsia="zh-CN"/>
        </w:rPr>
      </w:pPr>
      <w:r>
        <w:rPr>
          <w:rFonts w:hint="eastAsia" w:ascii="仿宋_GB2312" w:hAnsi="Times New Roman" w:eastAsia="仿宋_GB2312" w:cs="Times New Roman"/>
          <w:b/>
          <w:bCs/>
          <w:color w:val="auto"/>
          <w:sz w:val="32"/>
          <w:szCs w:val="32"/>
          <w:lang w:val="en-US" w:eastAsia="zh-CN"/>
        </w:rPr>
        <w:t>2.专项资金完成绩效目标情况。</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2020年省级休（禁）渔渔民生产生活补助资金的绩效目标为“</w:t>
      </w:r>
      <w:r>
        <w:rPr>
          <w:rFonts w:hint="eastAsia" w:ascii="仿宋_GB2312" w:hAnsi="仿宋_GB2312" w:eastAsia="仿宋_GB2312" w:cs="仿宋_GB2312"/>
          <w:color w:val="auto"/>
          <w:kern w:val="0"/>
          <w:sz w:val="32"/>
          <w:szCs w:val="32"/>
          <w:highlight w:val="none"/>
          <w:lang w:val="en-US" w:eastAsia="zh-CN"/>
        </w:rPr>
        <w:t>向不少于15558个符合补助条件</w:t>
      </w:r>
      <w:r>
        <w:rPr>
          <w:rFonts w:hint="default" w:ascii="仿宋_GB2312" w:hAnsi="仿宋_GB2312" w:eastAsia="仿宋_GB2312" w:cs="仿宋_GB2312"/>
          <w:color w:val="auto"/>
          <w:kern w:val="0"/>
          <w:sz w:val="32"/>
          <w:szCs w:val="32"/>
          <w:highlight w:val="none"/>
          <w:lang w:val="en-US" w:eastAsia="zh-CN"/>
        </w:rPr>
        <w:t>的渔民发放休（禁）渔渔民生产生活补助</w:t>
      </w:r>
      <w:r>
        <w:rPr>
          <w:rFonts w:hint="eastAsia" w:ascii="仿宋_GB2312" w:hAnsi="仿宋" w:eastAsia="仿宋_GB2312"/>
          <w:color w:val="auto"/>
          <w:sz w:val="32"/>
          <w:szCs w:val="32"/>
          <w:highlight w:val="none"/>
          <w:lang w:val="en-US" w:eastAsia="zh-CN"/>
        </w:rPr>
        <w:t>”。综合各项评价结果，项目</w:t>
      </w:r>
      <w:r>
        <w:rPr>
          <w:rFonts w:hint="eastAsia" w:ascii="仿宋_GB2312" w:hAnsi="仿宋_GB2312" w:eastAsia="仿宋_GB2312" w:cs="仿宋_GB2312"/>
          <w:b w:val="0"/>
          <w:bCs w:val="0"/>
          <w:color w:val="auto"/>
          <w:kern w:val="0"/>
          <w:sz w:val="32"/>
          <w:szCs w:val="32"/>
          <w:highlight w:val="none"/>
          <w:lang w:val="en-US" w:eastAsia="zh-CN" w:bidi="ar-SA"/>
        </w:rPr>
        <w:t>总体绩效目标已超额完成。具体考核15个地市的绩效目标，除阳江市外已全部完成。</w:t>
      </w:r>
    </w:p>
    <w:p>
      <w:pPr>
        <w:snapToGrid w:val="0"/>
        <w:spacing w:line="360" w:lineRule="auto"/>
        <w:ind w:firstLine="642"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3.专项资金分用途使用绩效。</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2" w:firstLineChars="200"/>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（1）绩效目标基本完成，渔民群众的基本生活得到保障，获得感和满意度进一步提升。</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hAnsi="仿宋" w:eastAsia="仿宋_GB2312"/>
          <w:color w:val="auto"/>
          <w:sz w:val="32"/>
          <w:szCs w:val="32"/>
          <w:highlight w:val="none"/>
          <w:lang w:val="en-US" w:eastAsia="zh-CN"/>
        </w:rPr>
        <w:t>2020年省级休（禁）渔渔民生产生活补助资金的绩效目标为</w:t>
      </w:r>
      <w:r>
        <w:rPr>
          <w:rFonts w:hint="eastAsia" w:ascii="仿宋_GB2312" w:hAnsi="仿宋_GB2312"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rPr>
        <w:t>向不少于15558个符合补助条件</w:t>
      </w:r>
      <w:r>
        <w:rPr>
          <w:rFonts w:hint="default" w:ascii="仿宋_GB2312" w:hAnsi="仿宋_GB2312" w:eastAsia="仿宋_GB2312" w:cs="仿宋_GB2312"/>
          <w:color w:val="auto"/>
          <w:kern w:val="0"/>
          <w:sz w:val="32"/>
          <w:szCs w:val="32"/>
          <w:highlight w:val="none"/>
          <w:lang w:val="en-US" w:eastAsia="zh-CN"/>
        </w:rPr>
        <w:t>的渔民发放休（禁）渔渔民生产生活补助</w:t>
      </w:r>
      <w:r>
        <w:rPr>
          <w:rFonts w:hint="eastAsia" w:ascii="仿宋_GB2312" w:hAnsi="仿宋_GB2312" w:eastAsia="仿宋_GB2312" w:cs="仿宋_GB2312"/>
          <w:b w:val="0"/>
          <w:bCs w:val="0"/>
          <w:color w:val="auto"/>
          <w:kern w:val="0"/>
          <w:sz w:val="32"/>
          <w:szCs w:val="32"/>
          <w:highlight w:val="none"/>
          <w:lang w:val="en-US" w:eastAsia="zh-CN" w:bidi="ar-SA"/>
        </w:rPr>
        <w:t>”，总体上，绩效目标已超额完成。</w:t>
      </w:r>
      <w:r>
        <w:rPr>
          <w:rFonts w:hint="eastAsia" w:ascii="仿宋_GB2312" w:eastAsia="仿宋_GB2312" w:cs="Times New Roman"/>
          <w:color w:val="auto"/>
          <w:sz w:val="32"/>
          <w:szCs w:val="32"/>
          <w:highlight w:val="none"/>
          <w:lang w:val="en-US" w:eastAsia="zh-CN"/>
        </w:rPr>
        <w:t>休（禁）渔渔民生产生活补助政策产生了良好的社会效益，一方面，</w:t>
      </w:r>
      <w:r>
        <w:rPr>
          <w:rFonts w:hint="eastAsia" w:ascii="仿宋_GB2312" w:eastAsia="仿宋_GB2312"/>
          <w:color w:val="auto"/>
          <w:sz w:val="32"/>
          <w:szCs w:val="32"/>
          <w:lang w:val="en-US" w:eastAsia="zh-CN"/>
        </w:rPr>
        <w:t>妥善解决了</w:t>
      </w:r>
      <w:r>
        <w:rPr>
          <w:rFonts w:hint="eastAsia" w:ascii="仿宋_GB2312" w:hAnsi="仿宋" w:eastAsia="仿宋_GB2312"/>
          <w:b w:val="0"/>
          <w:bCs w:val="0"/>
          <w:color w:val="auto"/>
          <w:sz w:val="32"/>
          <w:highlight w:val="none"/>
          <w:lang w:val="en-US" w:eastAsia="zh-CN"/>
        </w:rPr>
        <w:t>休（禁）渔期间渔民的生活困难问题</w:t>
      </w:r>
      <w:r>
        <w:rPr>
          <w:rFonts w:hint="eastAsia" w:ascii="仿宋_GB2312" w:eastAsia="仿宋_GB2312"/>
          <w:color w:val="auto"/>
          <w:sz w:val="32"/>
          <w:szCs w:val="32"/>
          <w:lang w:val="en-US" w:eastAsia="zh-CN"/>
        </w:rPr>
        <w:t>，</w:t>
      </w:r>
      <w:r>
        <w:rPr>
          <w:rFonts w:hint="eastAsia" w:ascii="仿宋_GB2312" w:hAnsi="Times New Roman" w:eastAsia="仿宋_GB2312" w:cs="Times New Roman"/>
          <w:color w:val="auto"/>
          <w:sz w:val="32"/>
          <w:szCs w:val="32"/>
          <w:highlight w:val="none"/>
          <w:lang w:val="en-US" w:eastAsia="zh-CN"/>
        </w:rPr>
        <w:t>较好地保障了渔民群众在休（禁）渔期间的基本生活</w:t>
      </w:r>
      <w:r>
        <w:rPr>
          <w:rFonts w:hint="eastAsia" w:ascii="仿宋_GB2312" w:eastAsia="仿宋_GB2312" w:cs="Times New Roman"/>
          <w:color w:val="auto"/>
          <w:sz w:val="32"/>
          <w:szCs w:val="32"/>
          <w:highlight w:val="none"/>
          <w:lang w:val="en-US" w:eastAsia="zh-CN"/>
        </w:rPr>
        <w:t>；另一方面，</w:t>
      </w:r>
      <w:r>
        <w:rPr>
          <w:rFonts w:hint="eastAsia" w:ascii="仿宋_GB2312" w:eastAsia="仿宋_GB2312"/>
          <w:color w:val="auto"/>
          <w:sz w:val="32"/>
          <w:szCs w:val="32"/>
          <w:lang w:val="en-US" w:eastAsia="zh-CN"/>
        </w:rPr>
        <w:t>通过该项政策有助于提升渔民群众的获得感和满意度，增进其对政府的信任，</w:t>
      </w:r>
      <w:r>
        <w:rPr>
          <w:rFonts w:hint="eastAsia" w:ascii="仿宋_GB2312" w:hAnsi="Times New Roman" w:eastAsia="仿宋_GB2312" w:cs="Times New Roman"/>
          <w:color w:val="auto"/>
          <w:sz w:val="32"/>
          <w:szCs w:val="32"/>
          <w:highlight w:val="none"/>
          <w:lang w:val="en-US" w:eastAsia="zh-CN"/>
        </w:rPr>
        <w:t>有效化解了社会不稳定因素，得到了渔民群众的广泛拥护和支持。</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2" w:firstLineChars="200"/>
        <w:textAlignment w:val="auto"/>
        <w:rPr>
          <w:rFonts w:hint="default"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（2）减轻了休（禁）渔期的执法压力，有效化解了社会不稳定因素，促进了渔业生产可持续发展。</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0" w:firstLineChars="200"/>
        <w:textAlignment w:val="auto"/>
        <w:rPr>
          <w:rFonts w:hint="eastAsia" w:ascii="仿宋_GB2312" w:eastAsia="仿宋_GB2312"/>
          <w:b/>
          <w:bCs/>
          <w:color w:val="auto"/>
          <w:sz w:val="32"/>
          <w:szCs w:val="32"/>
          <w:lang w:val="en-US" w:eastAsia="zh-CN"/>
        </w:rPr>
      </w:pPr>
      <w:r>
        <w:rPr>
          <w:rFonts w:hint="eastAsia" w:ascii="仿宋_GB2312" w:hAnsi="仿宋" w:eastAsia="仿宋_GB2312"/>
          <w:color w:val="auto"/>
          <w:sz w:val="32"/>
          <w:szCs w:val="32"/>
          <w:highlight w:val="none"/>
          <w:lang w:val="en-US" w:eastAsia="zh-CN"/>
        </w:rPr>
        <w:t>实施</w:t>
      </w:r>
      <w:r>
        <w:rPr>
          <w:rFonts w:hint="eastAsia" w:ascii="仿宋_GB2312" w:eastAsia="仿宋_GB2312" w:cs="Times New Roman"/>
          <w:color w:val="auto"/>
          <w:sz w:val="32"/>
          <w:szCs w:val="32"/>
          <w:highlight w:val="none"/>
          <w:lang w:val="en-US" w:eastAsia="zh-CN"/>
        </w:rPr>
        <w:t>休（禁）渔渔民生产生活补助政策该项政策，</w:t>
      </w:r>
      <w:r>
        <w:rPr>
          <w:rFonts w:hint="eastAsia" w:ascii="仿宋_GB2312" w:hAnsi="仿宋" w:eastAsia="仿宋_GB2312"/>
          <w:color w:val="auto"/>
          <w:sz w:val="32"/>
          <w:szCs w:val="32"/>
          <w:highlight w:val="none"/>
          <w:lang w:val="en-US" w:eastAsia="zh-CN"/>
        </w:rPr>
        <w:t>明显减轻了休（禁）渔期的执法压力，缓解了渔民群众对休（禁）渔期制度的抵触情绪，得到了渔民群众的广泛拥护和支持，有效化解了社会不稳定因素，</w:t>
      </w:r>
      <w:r>
        <w:rPr>
          <w:rFonts w:hint="eastAsia" w:ascii="仿宋_GB2312" w:eastAsia="仿宋_GB2312" w:cs="Times New Roman"/>
          <w:color w:val="auto"/>
          <w:sz w:val="32"/>
          <w:szCs w:val="32"/>
          <w:highlight w:val="none"/>
          <w:lang w:val="en-US" w:eastAsia="zh-CN"/>
        </w:rPr>
        <w:t>产生了良好的社会效益，</w:t>
      </w:r>
      <w:r>
        <w:rPr>
          <w:rFonts w:hint="eastAsia" w:ascii="仿宋_GB2312" w:hAnsi="仿宋" w:eastAsia="仿宋_GB2312"/>
          <w:color w:val="auto"/>
          <w:sz w:val="32"/>
          <w:szCs w:val="32"/>
          <w:highlight w:val="none"/>
          <w:lang w:val="en-US" w:eastAsia="zh-CN"/>
        </w:rPr>
        <w:t>促进了休（禁）渔期制度的有效实施和渔业生产的可持续发展</w:t>
      </w:r>
      <w:r>
        <w:rPr>
          <w:rFonts w:hint="eastAsia" w:ascii="仿宋_GB2312" w:eastAsia="仿宋_GB2312" w:cs="Times New Roman"/>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2" w:firstLineChars="200"/>
        <w:textAlignment w:val="auto"/>
        <w:rPr>
          <w:rFonts w:hint="default"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（3）积极探索、建立机制、完善制度，为今后实施休（禁）渔渔民生产生活补助政策积累经验。</w:t>
      </w:r>
    </w:p>
    <w:p>
      <w:pPr>
        <w:snapToGrid w:val="0"/>
        <w:spacing w:line="360" w:lineRule="auto"/>
        <w:ind w:firstLine="640" w:firstLineChars="200"/>
        <w:rPr>
          <w:rFonts w:hint="eastAsia" w:ascii="仿宋_GB2312" w:hAnsi="Times New Roman"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一是《广东省休（禁）渔渔民生产生活补助发放实施方案》，要求</w:t>
      </w:r>
      <w:r>
        <w:rPr>
          <w:rFonts w:hint="eastAsia" w:ascii="仿宋_GB2312" w:hAnsi="Times New Roman" w:eastAsia="仿宋_GB2312" w:cs="Times New Roman"/>
          <w:color w:val="auto"/>
          <w:sz w:val="32"/>
          <w:szCs w:val="32"/>
          <w:highlight w:val="none"/>
          <w:lang w:val="en-US" w:eastAsia="zh-CN"/>
        </w:rPr>
        <w:t>各地政府提高政策认识，加强组织领导，落实主体责任，实行休（禁）渔渔民生产生活补助政策落实工作的“市、县长负责制”，成立政府领导牵头，相关部门组织实施的休（禁）渔渔民生产生活补助发放工作领导小组，建立健全政府统一领导，相关部门各司其职、协同配合的工作机制，明确责任分工，结合本地实际制订实施方案。</w:t>
      </w:r>
      <w:r>
        <w:rPr>
          <w:rFonts w:hint="eastAsia" w:ascii="仿宋_GB2312" w:eastAsia="仿宋_GB2312" w:cs="Times New Roman"/>
          <w:color w:val="auto"/>
          <w:sz w:val="32"/>
          <w:szCs w:val="32"/>
          <w:highlight w:val="none"/>
          <w:lang w:val="en-US" w:eastAsia="zh-CN"/>
        </w:rPr>
        <w:t>二是建立申审分离工作模式，由</w:t>
      </w:r>
      <w:r>
        <w:rPr>
          <w:rFonts w:hint="eastAsia" w:ascii="仿宋_GB2312" w:hAnsi="Times New Roman" w:eastAsia="仿宋_GB2312" w:cs="Times New Roman"/>
          <w:color w:val="auto"/>
          <w:sz w:val="32"/>
          <w:szCs w:val="32"/>
          <w:highlight w:val="none"/>
          <w:lang w:val="en-US" w:eastAsia="zh-CN"/>
        </w:rPr>
        <w:t>乡镇（街道）负责</w:t>
      </w:r>
      <w:r>
        <w:rPr>
          <w:rFonts w:hint="eastAsia" w:ascii="仿宋_GB2312" w:eastAsia="仿宋_GB2312" w:cs="Times New Roman"/>
          <w:color w:val="auto"/>
          <w:sz w:val="32"/>
          <w:szCs w:val="32"/>
          <w:highlight w:val="none"/>
          <w:lang w:val="en-US" w:eastAsia="zh-CN"/>
        </w:rPr>
        <w:t>补贴资金</w:t>
      </w:r>
      <w:r>
        <w:rPr>
          <w:rFonts w:hint="eastAsia" w:ascii="仿宋_GB2312" w:hAnsi="Times New Roman" w:eastAsia="仿宋_GB2312" w:cs="Times New Roman"/>
          <w:color w:val="auto"/>
          <w:sz w:val="32"/>
          <w:szCs w:val="32"/>
          <w:highlight w:val="none"/>
          <w:lang w:val="en-US" w:eastAsia="zh-CN"/>
        </w:rPr>
        <w:t>申报和初审</w:t>
      </w:r>
      <w:r>
        <w:rPr>
          <w:rFonts w:hint="eastAsia" w:ascii="仿宋_GB2312" w:eastAsia="仿宋_GB2312" w:cs="Times New Roman"/>
          <w:color w:val="auto"/>
          <w:sz w:val="32"/>
          <w:szCs w:val="32"/>
          <w:highlight w:val="none"/>
          <w:lang w:val="en-US" w:eastAsia="zh-CN"/>
        </w:rPr>
        <w:t>工作，</w:t>
      </w:r>
      <w:r>
        <w:rPr>
          <w:rFonts w:hint="eastAsia" w:ascii="仿宋_GB2312" w:hAnsi="Times New Roman" w:eastAsia="仿宋_GB2312" w:cs="Times New Roman"/>
          <w:color w:val="auto"/>
          <w:sz w:val="32"/>
          <w:szCs w:val="32"/>
          <w:highlight w:val="none"/>
          <w:lang w:val="en-US" w:eastAsia="zh-CN"/>
        </w:rPr>
        <w:t>县级渔业主管部门</w:t>
      </w:r>
      <w:r>
        <w:rPr>
          <w:rFonts w:hint="eastAsia" w:ascii="仿宋_GB2312" w:eastAsia="仿宋_GB2312" w:cs="Times New Roman"/>
          <w:color w:val="auto"/>
          <w:sz w:val="32"/>
          <w:szCs w:val="32"/>
          <w:highlight w:val="none"/>
          <w:lang w:val="en-US" w:eastAsia="zh-CN"/>
        </w:rPr>
        <w:t>负责</w:t>
      </w:r>
      <w:r>
        <w:rPr>
          <w:rFonts w:hint="eastAsia" w:ascii="仿宋_GB2312" w:hAnsi="Times New Roman" w:eastAsia="仿宋_GB2312" w:cs="Times New Roman"/>
          <w:color w:val="auto"/>
          <w:sz w:val="32"/>
          <w:szCs w:val="32"/>
          <w:highlight w:val="none"/>
          <w:lang w:val="en-US" w:eastAsia="zh-CN"/>
        </w:rPr>
        <w:t>复核</w:t>
      </w:r>
      <w:r>
        <w:rPr>
          <w:rFonts w:hint="eastAsia" w:ascii="仿宋_GB2312" w:eastAsia="仿宋_GB2312" w:cs="Times New Roman"/>
          <w:color w:val="auto"/>
          <w:sz w:val="32"/>
          <w:szCs w:val="32"/>
          <w:highlight w:val="none"/>
          <w:lang w:val="en-US" w:eastAsia="zh-CN"/>
        </w:rPr>
        <w:t>确认</w:t>
      </w:r>
      <w:r>
        <w:rPr>
          <w:rFonts w:hint="eastAsia" w:ascii="仿宋_GB2312" w:hAnsi="Times New Roman" w:eastAsia="仿宋_GB2312" w:cs="Times New Roman"/>
          <w:color w:val="auto"/>
          <w:sz w:val="32"/>
          <w:szCs w:val="32"/>
          <w:highlight w:val="none"/>
          <w:lang w:val="en-US" w:eastAsia="zh-CN"/>
        </w:rPr>
        <w:t>工作</w:t>
      </w:r>
      <w:r>
        <w:rPr>
          <w:rFonts w:hint="eastAsia" w:ascii="仿宋_GB2312" w:eastAsia="仿宋_GB2312" w:cs="Times New Roman"/>
          <w:color w:val="auto"/>
          <w:sz w:val="32"/>
          <w:szCs w:val="32"/>
          <w:highlight w:val="none"/>
          <w:lang w:val="en-US" w:eastAsia="zh-CN"/>
        </w:rPr>
        <w:t>，县级财政部门负责资金发放工作，达到分解权力、相互监督的效果。</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72" w:name="_Toc24120"/>
      <w:bookmarkStart w:id="73" w:name="_Toc19793"/>
      <w:bookmarkStart w:id="74" w:name="_Toc27337"/>
      <w:r>
        <w:rPr>
          <w:rFonts w:hint="eastAsia" w:ascii="Calibri" w:hAnsi="宋体" w:eastAsia="楷体_GB2312" w:cs="Times New Roman"/>
          <w:b/>
          <w:bCs/>
          <w:color w:val="auto"/>
          <w:kern w:val="44"/>
          <w:sz w:val="32"/>
          <w:szCs w:val="44"/>
          <w:lang w:val="en-US" w:eastAsia="zh-CN" w:bidi="ar-SA"/>
        </w:rPr>
        <w:t>（三）</w:t>
      </w:r>
      <w:bookmarkStart w:id="75" w:name="_Toc42021449"/>
      <w:r>
        <w:rPr>
          <w:rFonts w:hint="eastAsia" w:ascii="Calibri" w:hAnsi="宋体" w:eastAsia="楷体_GB2312" w:cs="Times New Roman"/>
          <w:b/>
          <w:bCs/>
          <w:color w:val="auto"/>
          <w:kern w:val="44"/>
          <w:sz w:val="32"/>
          <w:szCs w:val="44"/>
          <w:lang w:val="en-US" w:eastAsia="zh-CN" w:bidi="ar-SA"/>
        </w:rPr>
        <w:t>专项资金使用绩效存在的问题</w:t>
      </w:r>
      <w:bookmarkEnd w:id="72"/>
      <w:bookmarkEnd w:id="73"/>
      <w:bookmarkEnd w:id="74"/>
      <w:bookmarkEnd w:id="75"/>
    </w:p>
    <w:p>
      <w:pPr>
        <w:pStyle w:val="13"/>
        <w:ind w:left="0" w:leftChars="0" w:firstLine="642" w:firstLineChars="200"/>
        <w:rPr>
          <w:rFonts w:hint="eastAsia" w:ascii="仿宋_GB2312" w:hAnsi="Times New Roman" w:eastAsia="仿宋_GB2312" w:cs="Times New Roman"/>
          <w:b/>
          <w:bCs/>
          <w:color w:val="auto"/>
          <w:kern w:val="2"/>
          <w:sz w:val="32"/>
          <w:szCs w:val="32"/>
          <w:lang w:val="en-US" w:eastAsia="zh-CN" w:bidi="ar-SA"/>
        </w:rPr>
      </w:pPr>
      <w:r>
        <w:rPr>
          <w:rFonts w:hint="eastAsia" w:ascii="仿宋_GB2312" w:hAnsi="Times New Roman" w:eastAsia="仿宋_GB2312" w:cs="Times New Roman"/>
          <w:b/>
          <w:bCs/>
          <w:color w:val="auto"/>
          <w:kern w:val="2"/>
          <w:sz w:val="32"/>
          <w:szCs w:val="32"/>
          <w:lang w:val="en-US" w:eastAsia="zh-CN" w:bidi="ar-SA"/>
        </w:rPr>
        <w:t>1.专项资金支出率有待提高。</w:t>
      </w:r>
    </w:p>
    <w:p>
      <w:pPr>
        <w:pStyle w:val="13"/>
        <w:ind w:left="0" w:leftChars="0" w:firstLine="640" w:firstLineChars="200"/>
        <w:rPr>
          <w:rFonts w:hint="eastAsia" w:ascii="仿宋_GB2312" w:hAnsi="Times New Roman" w:eastAsia="仿宋_GB2312" w:cs="Times New Roman"/>
          <w:b/>
          <w:bCs/>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专项资金下达到相关地市后，部分地市补助资金发放的进度不理想。省财政厅2020年5月22日下达</w:t>
      </w:r>
      <w:r>
        <w:rPr>
          <w:rFonts w:hint="eastAsia" w:ascii="仿宋_GB2312" w:eastAsia="仿宋_GB2312" w:cs="Times New Roman"/>
          <w:color w:val="auto"/>
          <w:kern w:val="2"/>
          <w:sz w:val="32"/>
          <w:szCs w:val="32"/>
          <w:lang w:val="en-US" w:eastAsia="zh-CN" w:bidi="ar-SA"/>
        </w:rPr>
        <w:t>2020年度</w:t>
      </w:r>
      <w:r>
        <w:rPr>
          <w:rFonts w:hint="eastAsia" w:ascii="仿宋_GB2312" w:hAnsi="Times New Roman" w:eastAsia="仿宋_GB2312" w:cs="Times New Roman"/>
          <w:color w:val="auto"/>
          <w:kern w:val="2"/>
          <w:sz w:val="32"/>
          <w:szCs w:val="32"/>
          <w:lang w:val="en-US" w:eastAsia="zh-CN" w:bidi="ar-SA"/>
        </w:rPr>
        <w:t>专项资金，</w:t>
      </w:r>
      <w:r>
        <w:rPr>
          <w:rFonts w:hint="eastAsia" w:ascii="仿宋_GB2312" w:hAnsi="仿宋" w:eastAsia="仿宋_GB2312"/>
          <w:color w:val="auto"/>
          <w:sz w:val="32"/>
          <w:szCs w:val="32"/>
          <w:highlight w:val="none"/>
          <w:lang w:val="en-US" w:eastAsia="zh-CN"/>
        </w:rPr>
        <w:t>截至2021年3月31日，专项资金到位数</w:t>
      </w:r>
      <w:r>
        <w:rPr>
          <w:rFonts w:hint="default" w:ascii="仿宋_GB2312" w:hAnsi="仿宋" w:eastAsia="仿宋_GB2312"/>
          <w:color w:val="auto"/>
          <w:sz w:val="32"/>
          <w:szCs w:val="32"/>
          <w:highlight w:val="none"/>
          <w:lang w:val="en-US" w:eastAsia="zh-CN"/>
        </w:rPr>
        <w:t>3358</w:t>
      </w:r>
      <w:r>
        <w:rPr>
          <w:rFonts w:hint="eastAsia" w:ascii="仿宋_GB2312" w:hAnsi="仿宋" w:eastAsia="仿宋_GB2312"/>
          <w:color w:val="auto"/>
          <w:sz w:val="32"/>
          <w:szCs w:val="32"/>
          <w:highlight w:val="none"/>
          <w:lang w:val="en-US" w:eastAsia="zh-CN"/>
        </w:rPr>
        <w:t>万元，支出数合计</w:t>
      </w:r>
      <w:r>
        <w:rPr>
          <w:rFonts w:hint="default" w:ascii="仿宋_GB2312" w:hAnsi="仿宋_GB2312" w:eastAsia="仿宋_GB2312" w:cs="仿宋_GB2312"/>
          <w:color w:val="auto"/>
          <w:kern w:val="0"/>
          <w:sz w:val="32"/>
          <w:szCs w:val="32"/>
          <w:highlight w:val="none"/>
          <w:lang w:val="en-US" w:eastAsia="zh-CN"/>
        </w:rPr>
        <w:t>2235.79</w:t>
      </w:r>
      <w:r>
        <w:rPr>
          <w:rFonts w:hint="eastAsia" w:ascii="仿宋_GB2312" w:hAnsi="仿宋" w:eastAsia="仿宋_GB2312"/>
          <w:color w:val="auto"/>
          <w:sz w:val="32"/>
          <w:szCs w:val="32"/>
          <w:highlight w:val="none"/>
          <w:lang w:val="en-US" w:eastAsia="zh-CN"/>
        </w:rPr>
        <w:t>万元，支出率仅66</w:t>
      </w:r>
      <w:r>
        <w:rPr>
          <w:rFonts w:hint="default" w:ascii="仿宋_GB2312" w:hAnsi="仿宋" w:eastAsia="仿宋_GB2312"/>
          <w:color w:val="auto"/>
          <w:sz w:val="32"/>
          <w:szCs w:val="32"/>
          <w:highlight w:val="none"/>
          <w:lang w:val="en-US" w:eastAsia="zh-CN"/>
        </w:rPr>
        <w:t>.5</w:t>
      </w:r>
      <w:r>
        <w:rPr>
          <w:rFonts w:hint="eastAsia" w:ascii="仿宋_GB2312" w:hAnsi="仿宋" w:eastAsia="仿宋_GB2312"/>
          <w:color w:val="auto"/>
          <w:sz w:val="32"/>
          <w:szCs w:val="32"/>
          <w:highlight w:val="none"/>
          <w:lang w:val="en-US" w:eastAsia="zh-CN"/>
        </w:rPr>
        <w:t>8%。</w:t>
      </w:r>
      <w:r>
        <w:rPr>
          <w:rFonts w:hint="eastAsia" w:ascii="仿宋_GB2312" w:hAnsi="仿宋_GB2312" w:eastAsia="仿宋_GB2312" w:cs="仿宋_GB2312"/>
          <w:color w:val="auto"/>
          <w:kern w:val="0"/>
          <w:sz w:val="32"/>
          <w:szCs w:val="32"/>
          <w:highlight w:val="none"/>
          <w:lang w:val="en-US" w:eastAsia="zh-CN"/>
        </w:rPr>
        <w:t>未支出部分为湛江市551万元、阳江市507万元和汕头市64.21万元，主要原因是工作进度缓慢或配套资金未及时安排到位。</w:t>
      </w:r>
    </w:p>
    <w:p>
      <w:pPr>
        <w:pStyle w:val="13"/>
        <w:ind w:left="0" w:leftChars="0" w:firstLine="642" w:firstLineChars="200"/>
        <w:rPr>
          <w:rFonts w:hint="eastAsia" w:ascii="仿宋_GB2312" w:hAnsi="Times New Roman" w:eastAsia="仿宋_GB2312" w:cs="Times New Roman"/>
          <w:b/>
          <w:bCs/>
          <w:color w:val="auto"/>
          <w:kern w:val="2"/>
          <w:sz w:val="32"/>
          <w:szCs w:val="32"/>
          <w:lang w:val="en-US" w:eastAsia="zh-CN" w:bidi="ar-SA"/>
        </w:rPr>
      </w:pPr>
      <w:r>
        <w:rPr>
          <w:rFonts w:hint="eastAsia" w:ascii="仿宋_GB2312" w:hAnsi="Times New Roman" w:eastAsia="仿宋_GB2312" w:cs="Times New Roman"/>
          <w:b/>
          <w:bCs/>
          <w:color w:val="auto"/>
          <w:kern w:val="2"/>
          <w:sz w:val="32"/>
          <w:szCs w:val="32"/>
          <w:lang w:val="en-US" w:eastAsia="zh-CN" w:bidi="ar-SA"/>
        </w:rPr>
        <w:t>2.绩效目标设置完整性和可衡量性不足，实施成效的衡量标准较难统一。</w:t>
      </w:r>
    </w:p>
    <w:p>
      <w:pPr>
        <w:snapToGrid w:val="0"/>
        <w:spacing w:line="360" w:lineRule="auto"/>
        <w:ind w:firstLine="640" w:firstLineChars="200"/>
        <w:rPr>
          <w:rFonts w:hint="eastAsia" w:ascii="仿宋_GB2312" w:eastAsia="仿宋_GB2312"/>
          <w:color w:val="auto"/>
          <w:sz w:val="32"/>
          <w:szCs w:val="32"/>
        </w:rPr>
      </w:pPr>
      <w:r>
        <w:rPr>
          <w:rFonts w:hint="eastAsia" w:ascii="仿宋_GB2312" w:eastAsia="仿宋_GB2312"/>
          <w:color w:val="auto"/>
          <w:sz w:val="32"/>
          <w:szCs w:val="32"/>
          <w:highlight w:val="none"/>
        </w:rPr>
        <w:t>绩效目标一方面对项目实施具有导向性作用，是项目实施绩效监控的重要依据。另一方面是项目实施结果的考核标准，欠缺明确的项目预算绩效目标，将导致难以准确衡量项目的实施成效。</w:t>
      </w:r>
      <w:r>
        <w:rPr>
          <w:rFonts w:hint="eastAsia" w:ascii="仿宋_GB2312" w:eastAsia="仿宋_GB2312" w:cs="Times New Roman"/>
          <w:color w:val="auto"/>
          <w:sz w:val="32"/>
          <w:szCs w:val="32"/>
          <w:highlight w:val="none"/>
          <w:lang w:val="en-US" w:eastAsia="zh-CN"/>
        </w:rPr>
        <w:t>休（禁）渔渔民生产生活补助资金</w:t>
      </w:r>
      <w:r>
        <w:rPr>
          <w:rFonts w:hint="eastAsia" w:ascii="仿宋_GB2312" w:eastAsia="仿宋_GB2312"/>
          <w:color w:val="auto"/>
          <w:sz w:val="32"/>
          <w:szCs w:val="32"/>
          <w:highlight w:val="none"/>
        </w:rPr>
        <w:t>虽设置</w:t>
      </w:r>
      <w:r>
        <w:rPr>
          <w:rFonts w:hint="eastAsia" w:ascii="仿宋_GB2312" w:eastAsia="仿宋_GB2312"/>
          <w:color w:val="auto"/>
          <w:sz w:val="32"/>
          <w:szCs w:val="32"/>
          <w:highlight w:val="none"/>
          <w:lang w:eastAsia="zh-CN"/>
        </w:rPr>
        <w:t>了</w:t>
      </w:r>
      <w:r>
        <w:rPr>
          <w:rFonts w:hint="eastAsia" w:ascii="仿宋_GB2312" w:eastAsia="仿宋_GB2312"/>
          <w:color w:val="auto"/>
          <w:sz w:val="32"/>
          <w:szCs w:val="32"/>
          <w:highlight w:val="none"/>
        </w:rPr>
        <w:t>绩效目标，但</w:t>
      </w:r>
      <w:r>
        <w:rPr>
          <w:rFonts w:hint="eastAsia" w:ascii="仿宋_GB2312" w:eastAsia="仿宋_GB2312"/>
          <w:color w:val="auto"/>
          <w:sz w:val="32"/>
          <w:szCs w:val="32"/>
          <w:highlight w:val="none"/>
          <w:lang w:val="en-US" w:eastAsia="zh-CN"/>
        </w:rPr>
        <w:t>仍存在完善的空间：一是绩效目标完整性不足，</w:t>
      </w:r>
      <w:r>
        <w:rPr>
          <w:rFonts w:hint="eastAsia" w:ascii="仿宋_GB2312" w:eastAsia="仿宋_GB2312"/>
          <w:color w:val="auto"/>
          <w:sz w:val="32"/>
          <w:szCs w:val="32"/>
          <w:highlight w:val="none"/>
        </w:rPr>
        <w:t>产出数量、质量、成本指标、预期达到的效果性指标等</w:t>
      </w:r>
      <w:r>
        <w:rPr>
          <w:rFonts w:hint="eastAsia" w:ascii="仿宋_GB2312" w:eastAsia="仿宋_GB2312"/>
          <w:color w:val="auto"/>
          <w:sz w:val="32"/>
          <w:szCs w:val="32"/>
          <w:highlight w:val="none"/>
          <w:lang w:eastAsia="zh-CN"/>
        </w:rPr>
        <w:t>不够</w:t>
      </w:r>
      <w:r>
        <w:rPr>
          <w:rFonts w:hint="eastAsia" w:ascii="仿宋_GB2312" w:eastAsia="仿宋_GB2312"/>
          <w:color w:val="auto"/>
          <w:sz w:val="32"/>
          <w:szCs w:val="32"/>
          <w:highlight w:val="none"/>
        </w:rPr>
        <w:t>明确</w:t>
      </w:r>
      <w:r>
        <w:rPr>
          <w:rFonts w:hint="eastAsia" w:ascii="仿宋_GB2312" w:eastAsia="仿宋_GB2312"/>
          <w:color w:val="auto"/>
          <w:sz w:val="32"/>
          <w:szCs w:val="32"/>
          <w:highlight w:val="none"/>
          <w:lang w:val="en-US" w:eastAsia="zh-CN"/>
        </w:rPr>
        <w:t>；二是绩效目标量化不足，</w:t>
      </w:r>
      <w:r>
        <w:rPr>
          <w:rFonts w:hint="eastAsia" w:ascii="仿宋_GB2312" w:eastAsia="仿宋_GB2312"/>
          <w:color w:val="auto"/>
          <w:sz w:val="32"/>
          <w:szCs w:val="32"/>
          <w:highlight w:val="none"/>
        </w:rPr>
        <w:t>绩效目标定性成分较多，在“可衡量性”方面</w:t>
      </w:r>
      <w:r>
        <w:rPr>
          <w:rFonts w:hint="eastAsia" w:ascii="仿宋_GB2312" w:eastAsia="仿宋_GB2312"/>
          <w:color w:val="auto"/>
          <w:sz w:val="32"/>
          <w:szCs w:val="32"/>
          <w:highlight w:val="none"/>
          <w:lang w:eastAsia="zh-CN"/>
        </w:rPr>
        <w:t>存在缺失</w:t>
      </w:r>
      <w:r>
        <w:rPr>
          <w:rFonts w:hint="eastAsia" w:ascii="仿宋_GB2312" w:eastAsia="仿宋_GB2312"/>
          <w:color w:val="auto"/>
          <w:sz w:val="32"/>
          <w:szCs w:val="32"/>
          <w:highlight w:val="none"/>
        </w:rPr>
        <w:t>，对专项资金实施成效的衡量标准难以统一。</w:t>
      </w:r>
    </w:p>
    <w:p>
      <w:pPr>
        <w:pStyle w:val="13"/>
        <w:ind w:left="0" w:leftChars="0" w:firstLine="642" w:firstLineChars="200"/>
        <w:rPr>
          <w:rFonts w:hint="default" w:ascii="仿宋_GB2312" w:hAnsi="Times New Roman" w:eastAsia="仿宋_GB2312" w:cs="Times New Roman"/>
          <w:b/>
          <w:bCs/>
          <w:color w:val="auto"/>
          <w:kern w:val="2"/>
          <w:sz w:val="32"/>
          <w:szCs w:val="32"/>
          <w:lang w:val="en-US" w:eastAsia="zh-CN" w:bidi="ar-SA"/>
        </w:rPr>
      </w:pPr>
      <w:r>
        <w:rPr>
          <w:rFonts w:hint="eastAsia" w:ascii="仿宋_GB2312" w:hAnsi="Times New Roman" w:eastAsia="仿宋_GB2312" w:cs="Times New Roman"/>
          <w:b/>
          <w:bCs/>
          <w:color w:val="auto"/>
          <w:kern w:val="2"/>
          <w:sz w:val="32"/>
          <w:szCs w:val="32"/>
          <w:lang w:val="en-US" w:eastAsia="zh-CN" w:bidi="ar-SA"/>
        </w:rPr>
        <w:t>3.项目推进效率不理想</w:t>
      </w:r>
      <w:r>
        <w:rPr>
          <w:rFonts w:hint="eastAsia" w:ascii="仿宋_GB2312" w:hAnsi="Times New Roman" w:eastAsia="仿宋_GB2312" w:cs="Times New Roman"/>
          <w:color w:val="auto"/>
          <w:kern w:val="2"/>
          <w:sz w:val="32"/>
          <w:szCs w:val="32"/>
          <w:highlight w:val="none"/>
          <w:lang w:val="en-US" w:eastAsia="zh-CN" w:bidi="ar-SA"/>
        </w:rPr>
        <w:t>，</w:t>
      </w:r>
      <w:r>
        <w:rPr>
          <w:rFonts w:hint="eastAsia" w:ascii="仿宋_GB2312" w:hAnsi="Times New Roman" w:eastAsia="仿宋_GB2312" w:cs="Times New Roman"/>
          <w:b/>
          <w:bCs/>
          <w:color w:val="auto"/>
          <w:kern w:val="2"/>
          <w:sz w:val="32"/>
          <w:szCs w:val="32"/>
          <w:lang w:val="en-US" w:eastAsia="zh-CN" w:bidi="ar-SA"/>
        </w:rPr>
        <w:t>专项资金管理的可操作性、规范性有待增强。</w:t>
      </w:r>
    </w:p>
    <w:p>
      <w:pPr>
        <w:snapToGrid w:val="0"/>
        <w:spacing w:line="360" w:lineRule="auto"/>
        <w:ind w:firstLine="640" w:firstLineChars="200"/>
        <w:rPr>
          <w:rFonts w:hint="eastAsia" w:ascii="黑体" w:eastAsia="黑体"/>
          <w:color w:val="auto"/>
          <w:sz w:val="32"/>
          <w:szCs w:val="32"/>
        </w:rPr>
      </w:pPr>
      <w:r>
        <w:rPr>
          <w:rFonts w:hint="eastAsia" w:ascii="仿宋_GB2312" w:eastAsia="仿宋_GB2312" w:cs="Times New Roman"/>
          <w:color w:val="auto"/>
          <w:sz w:val="32"/>
          <w:szCs w:val="32"/>
          <w:highlight w:val="none"/>
          <w:lang w:val="en-US" w:eastAsia="zh-CN"/>
        </w:rPr>
        <w:t>休（禁）渔渔民生产生活补助</w:t>
      </w:r>
      <w:r>
        <w:rPr>
          <w:rFonts w:hint="eastAsia" w:ascii="仿宋_GB2312" w:eastAsia="仿宋_GB2312"/>
          <w:color w:val="auto"/>
          <w:sz w:val="32"/>
          <w:szCs w:val="32"/>
          <w:highlight w:val="none"/>
        </w:rPr>
        <w:t>资金使用管理对象人多</w:t>
      </w:r>
      <w:r>
        <w:rPr>
          <w:rFonts w:ascii="仿宋_GB2312" w:eastAsia="仿宋_GB2312"/>
          <w:color w:val="auto"/>
          <w:sz w:val="32"/>
          <w:szCs w:val="32"/>
          <w:highlight w:val="none"/>
        </w:rPr>
        <w:t>,资金链条长</w:t>
      </w:r>
      <w:r>
        <w:rPr>
          <w:rFonts w:hint="eastAsia" w:ascii="仿宋_GB2312" w:eastAsia="仿宋_GB2312"/>
          <w:color w:val="auto"/>
          <w:sz w:val="32"/>
          <w:szCs w:val="32"/>
          <w:highlight w:val="none"/>
          <w:lang w:eastAsia="zh-CN"/>
        </w:rPr>
        <w:t>，</w:t>
      </w:r>
      <w:r>
        <w:rPr>
          <w:rFonts w:ascii="仿宋_GB2312" w:eastAsia="仿宋_GB2312"/>
          <w:color w:val="auto"/>
          <w:sz w:val="32"/>
          <w:szCs w:val="32"/>
          <w:highlight w:val="none"/>
        </w:rPr>
        <w:t>要达到规范使用管理难度较大。</w:t>
      </w:r>
      <w:r>
        <w:rPr>
          <w:rFonts w:hint="eastAsia" w:ascii="仿宋_GB2312" w:eastAsia="仿宋_GB2312"/>
          <w:color w:val="auto"/>
          <w:sz w:val="32"/>
          <w:szCs w:val="32"/>
          <w:highlight w:val="none"/>
          <w:lang w:val="en-US" w:eastAsia="zh-CN"/>
        </w:rPr>
        <w:t>一方面，</w:t>
      </w:r>
      <w:r>
        <w:rPr>
          <w:rFonts w:hint="eastAsia" w:ascii="仿宋_GB2312" w:eastAsia="仿宋_GB2312"/>
          <w:color w:val="auto"/>
          <w:sz w:val="32"/>
          <w:szCs w:val="32"/>
          <w:lang w:val="en-US" w:eastAsia="zh-CN"/>
        </w:rPr>
        <w:t>乡镇（街道）工作人员流动较大，部分工作人员在开展初步受理、审核工作时业务不熟，</w:t>
      </w:r>
      <w:r>
        <w:rPr>
          <w:rFonts w:hint="eastAsia" w:ascii="仿宋_GB2312" w:eastAsia="仿宋_GB2312"/>
          <w:color w:val="auto"/>
          <w:sz w:val="32"/>
          <w:szCs w:val="32"/>
          <w:highlight w:val="none"/>
        </w:rPr>
        <w:t>对于相关资金分配政策、资金绩效管理政策的理解不够深入，</w:t>
      </w:r>
      <w:r>
        <w:rPr>
          <w:rFonts w:hint="eastAsia" w:ascii="仿宋_GB2312" w:eastAsia="仿宋_GB2312"/>
          <w:color w:val="auto"/>
          <w:sz w:val="32"/>
          <w:szCs w:val="32"/>
          <w:lang w:val="en-US" w:eastAsia="zh-CN"/>
        </w:rPr>
        <w:t>导致项目推进效率不理想。另一方面，由于机构改革，部分县级渔业主管部门发生人事变动、职能变更，存在政策、程序和系统操作不熟练等问题，</w:t>
      </w:r>
      <w:r>
        <w:rPr>
          <w:rFonts w:hint="eastAsia" w:ascii="仿宋_GB2312" w:eastAsia="仿宋_GB2312"/>
          <w:color w:val="auto"/>
          <w:sz w:val="32"/>
          <w:szCs w:val="32"/>
          <w:highlight w:val="none"/>
        </w:rPr>
        <w:t>工作执行过程的可操作性和规范性有待增强</w:t>
      </w:r>
      <w:r>
        <w:rPr>
          <w:rFonts w:hint="eastAsia" w:ascii="仿宋_GB2312" w:eastAsia="仿宋_GB2312"/>
          <w:color w:val="auto"/>
          <w:sz w:val="32"/>
          <w:szCs w:val="32"/>
          <w:lang w:val="en-US" w:eastAsia="zh-CN"/>
        </w:rPr>
        <w:t>。</w:t>
      </w:r>
    </w:p>
    <w:p>
      <w:pPr>
        <w:snapToGrid w:val="0"/>
        <w:spacing w:line="360" w:lineRule="auto"/>
        <w:ind w:firstLine="640" w:firstLineChars="200"/>
        <w:outlineLvl w:val="0"/>
        <w:rPr>
          <w:rFonts w:hint="eastAsia" w:ascii="仿宋_GB2312" w:eastAsia="仿宋_GB2312"/>
          <w:color w:val="auto"/>
          <w:sz w:val="32"/>
          <w:szCs w:val="32"/>
        </w:rPr>
      </w:pPr>
      <w:bookmarkStart w:id="76" w:name="_Toc13023"/>
      <w:bookmarkStart w:id="77" w:name="_Toc7773"/>
      <w:bookmarkStart w:id="78" w:name="_Toc860"/>
      <w:r>
        <w:rPr>
          <w:rFonts w:hint="eastAsia" w:ascii="黑体" w:eastAsia="黑体"/>
          <w:color w:val="auto"/>
          <w:sz w:val="32"/>
          <w:szCs w:val="32"/>
          <w:lang w:val="en-US" w:eastAsia="zh-CN"/>
        </w:rPr>
        <w:t>三、</w:t>
      </w:r>
      <w:r>
        <w:rPr>
          <w:rFonts w:hint="eastAsia" w:ascii="黑体" w:eastAsia="黑体"/>
          <w:color w:val="auto"/>
          <w:sz w:val="32"/>
          <w:szCs w:val="32"/>
        </w:rPr>
        <w:t>改进意见</w:t>
      </w:r>
      <w:r>
        <w:rPr>
          <w:rFonts w:hint="eastAsia" w:ascii="黑体" w:eastAsia="黑体"/>
          <w:color w:val="auto"/>
          <w:sz w:val="32"/>
          <w:szCs w:val="32"/>
          <w:lang w:eastAsia="zh-CN"/>
        </w:rPr>
        <w:t>和建议</w:t>
      </w:r>
      <w:bookmarkEnd w:id="76"/>
      <w:bookmarkEnd w:id="77"/>
      <w:bookmarkEnd w:id="78"/>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79" w:name="_Toc26160"/>
      <w:r>
        <w:rPr>
          <w:rFonts w:hint="eastAsia" w:ascii="Calibri" w:hAnsi="宋体" w:eastAsia="楷体_GB2312" w:cs="Times New Roman"/>
          <w:b/>
          <w:bCs/>
          <w:color w:val="auto"/>
          <w:kern w:val="44"/>
          <w:sz w:val="32"/>
          <w:szCs w:val="44"/>
          <w:lang w:val="en-US" w:eastAsia="zh-CN" w:bidi="ar-SA"/>
        </w:rPr>
        <w:t>（一）认真做好项目实施监管，开展绩效运行监控，强化预算执行进度管理</w:t>
      </w:r>
      <w:bookmarkEnd w:id="79"/>
    </w:p>
    <w:p>
      <w:pPr>
        <w:spacing w:line="360" w:lineRule="auto"/>
        <w:ind w:firstLine="640" w:firstLineChars="200"/>
        <w:rPr>
          <w:rFonts w:hint="eastAsia" w:ascii="楷体_GB2312" w:hAnsi="Times New Roman" w:eastAsia="楷体_GB2312" w:cs="Times New Roman"/>
          <w:b/>
          <w:bCs/>
          <w:color w:val="auto"/>
          <w:sz w:val="32"/>
          <w:szCs w:val="32"/>
          <w:highlight w:val="none"/>
          <w:lang w:val="en-US" w:eastAsia="zh-CN"/>
        </w:rPr>
      </w:pPr>
      <w:r>
        <w:rPr>
          <w:rFonts w:hint="eastAsia" w:ascii="仿宋_GB2312" w:hAnsi="仿宋_GB2312" w:eastAsia="仿宋_GB2312" w:cs="仿宋_GB2312"/>
          <w:color w:val="auto"/>
          <w:sz w:val="32"/>
          <w:highlight w:val="none"/>
          <w:lang w:val="en-US" w:eastAsia="zh-CN"/>
        </w:rPr>
        <w:t>加强对市县指导，明确预算支出执行进度总体要求。定时将财政支出进度进行统计分析，对预算执行情况进行分析研判，并以通报的形式下发项目实施单位，及时督导有关单位加快预算执行工作。督促未达到支出序时进度的预算单位，分析支出进度缓慢原因，梳理查找执行中的问题，认真研究提出有针对性的对策和措施。</w:t>
      </w:r>
      <w:r>
        <w:rPr>
          <w:rFonts w:hint="eastAsia" w:ascii="仿宋_GB2312" w:hAnsi="仿宋_GB2312" w:eastAsia="仿宋_GB2312" w:cs="仿宋_GB2312"/>
          <w:color w:val="auto"/>
          <w:sz w:val="32"/>
          <w:highlight w:val="none"/>
          <w:lang w:eastAsia="zh-CN"/>
        </w:rPr>
        <w:t>组织</w:t>
      </w:r>
      <w:r>
        <w:rPr>
          <w:rFonts w:hint="eastAsia" w:ascii="仿宋_GB2312" w:hAnsi="仿宋_GB2312" w:eastAsia="仿宋_GB2312" w:cs="仿宋_GB2312"/>
          <w:color w:val="auto"/>
          <w:sz w:val="32"/>
          <w:highlight w:val="none"/>
          <w:lang w:val="en-US" w:eastAsia="zh-CN"/>
        </w:rPr>
        <w:t>有关市县主管单位</w:t>
      </w:r>
      <w:r>
        <w:rPr>
          <w:rFonts w:hint="eastAsia" w:ascii="仿宋_GB2312" w:hAnsi="仿宋_GB2312" w:eastAsia="仿宋_GB2312" w:cs="仿宋_GB2312"/>
          <w:color w:val="auto"/>
          <w:sz w:val="32"/>
          <w:highlight w:val="none"/>
          <w:lang w:eastAsia="zh-CN"/>
        </w:rPr>
        <w:t>对照项目既定绩效目标，开展绩效监控，全面掌握项目实施情况及存在的问题，及时解决绩效目标运行过程中出现的偏差，确保</w:t>
      </w:r>
      <w:r>
        <w:rPr>
          <w:rFonts w:hint="eastAsia" w:ascii="仿宋_GB2312" w:hAnsi="仿宋_GB2312" w:eastAsia="仿宋_GB2312" w:cs="仿宋_GB2312"/>
          <w:color w:val="auto"/>
          <w:sz w:val="32"/>
          <w:highlight w:val="none"/>
          <w:lang w:val="en-US" w:eastAsia="zh-CN"/>
        </w:rPr>
        <w:t>完成各项目标任务</w:t>
      </w:r>
      <w:r>
        <w:rPr>
          <w:rFonts w:hint="eastAsia" w:ascii="仿宋_GB2312" w:hAnsi="仿宋_GB2312" w:eastAsia="仿宋_GB2312" w:cs="仿宋_GB2312"/>
          <w:color w:val="auto"/>
          <w:sz w:val="32"/>
          <w:highlight w:val="none"/>
          <w:lang w:eastAsia="zh-CN"/>
        </w:rPr>
        <w:t>。</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80" w:name="_Toc13122"/>
      <w:r>
        <w:rPr>
          <w:rFonts w:hint="eastAsia" w:ascii="Calibri" w:hAnsi="宋体" w:eastAsia="楷体_GB2312" w:cs="Times New Roman"/>
          <w:b/>
          <w:bCs/>
          <w:color w:val="auto"/>
          <w:kern w:val="44"/>
          <w:sz w:val="32"/>
          <w:szCs w:val="44"/>
          <w:lang w:val="en-US" w:eastAsia="zh-CN" w:bidi="ar-SA"/>
        </w:rPr>
        <w:t>（二）完善绩效</w:t>
      </w:r>
      <w:r>
        <w:rPr>
          <w:rFonts w:hint="eastAsia" w:ascii="Calibri" w:hAnsi="宋体" w:cs="Times New Roman"/>
          <w:b/>
          <w:bCs/>
          <w:color w:val="auto"/>
          <w:kern w:val="44"/>
          <w:sz w:val="32"/>
          <w:szCs w:val="44"/>
          <w:lang w:val="en-US" w:eastAsia="zh-CN" w:bidi="ar-SA"/>
        </w:rPr>
        <w:t>管理</w:t>
      </w:r>
      <w:r>
        <w:rPr>
          <w:rFonts w:hint="eastAsia" w:ascii="Calibri" w:hAnsi="宋体" w:eastAsia="楷体_GB2312" w:cs="Times New Roman"/>
          <w:b/>
          <w:bCs/>
          <w:color w:val="auto"/>
          <w:kern w:val="44"/>
          <w:sz w:val="32"/>
          <w:szCs w:val="44"/>
          <w:lang w:val="en-US" w:eastAsia="zh-CN" w:bidi="ar-SA"/>
        </w:rPr>
        <w:t>机制，建立完整合理可衡量的绩效指标体系</w:t>
      </w:r>
      <w:bookmarkEnd w:id="80"/>
    </w:p>
    <w:p>
      <w:pPr>
        <w:snapToGrid w:val="0"/>
        <w:spacing w:line="360" w:lineRule="auto"/>
        <w:ind w:firstLine="640" w:firstLineChars="200"/>
        <w:rPr>
          <w:rFonts w:hint="eastAsia" w:ascii="仿宋_GB2312" w:hAnsi="Times New Roman" w:eastAsia="仿宋_GB2312" w:cs="Times New Roman"/>
          <w:color w:val="auto"/>
          <w:sz w:val="32"/>
          <w:szCs w:val="32"/>
          <w:lang w:val="en-US" w:eastAsia="zh-CN"/>
        </w:rPr>
      </w:pPr>
      <w:r>
        <w:rPr>
          <w:rFonts w:hint="eastAsia" w:ascii="仿宋_GB2312" w:eastAsia="仿宋_GB2312"/>
          <w:color w:val="auto"/>
          <w:sz w:val="32"/>
          <w:szCs w:val="32"/>
          <w:highlight w:val="none"/>
          <w:lang w:eastAsia="zh-CN"/>
        </w:rPr>
        <w:t>建立</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eastAsia="zh-CN"/>
        </w:rPr>
        <w:t>完善</w:t>
      </w:r>
      <w:r>
        <w:rPr>
          <w:rFonts w:hint="eastAsia" w:ascii="仿宋_GB2312" w:eastAsia="仿宋_GB2312"/>
          <w:color w:val="auto"/>
          <w:sz w:val="32"/>
          <w:szCs w:val="32"/>
          <w:highlight w:val="none"/>
        </w:rPr>
        <w:t>一套与预算管理相结合、多渠道应用评价结果的有效机制，着力提高绩效意识和财政资金使用效益。</w:t>
      </w:r>
      <w:r>
        <w:rPr>
          <w:rFonts w:hint="eastAsia" w:ascii="仿宋_GB2312" w:eastAsia="仿宋_GB2312"/>
          <w:color w:val="auto"/>
          <w:sz w:val="32"/>
          <w:szCs w:val="32"/>
          <w:highlight w:val="none"/>
          <w:lang w:eastAsia="zh-CN"/>
        </w:rPr>
        <w:t>按</w:t>
      </w:r>
      <w:r>
        <w:rPr>
          <w:rFonts w:hint="eastAsia" w:ascii="仿宋_GB2312" w:eastAsia="仿宋_GB2312"/>
          <w:color w:val="auto"/>
          <w:sz w:val="32"/>
          <w:szCs w:val="32"/>
          <w:highlight w:val="none"/>
        </w:rPr>
        <w:t>照《广东省省级财政预算绩效目标管理办法（试行）》（粤财绩〔</w:t>
      </w:r>
      <w:r>
        <w:rPr>
          <w:rFonts w:ascii="仿宋_GB2312" w:eastAsia="仿宋_GB2312"/>
          <w:color w:val="auto"/>
          <w:sz w:val="32"/>
          <w:szCs w:val="32"/>
          <w:highlight w:val="none"/>
        </w:rPr>
        <w:t>2019〕11号）有关规定设置</w:t>
      </w:r>
      <w:r>
        <w:rPr>
          <w:rFonts w:hint="eastAsia" w:ascii="仿宋_GB2312" w:eastAsia="仿宋_GB2312"/>
          <w:color w:val="auto"/>
          <w:sz w:val="32"/>
          <w:szCs w:val="32"/>
          <w:highlight w:val="none"/>
          <w:lang w:eastAsia="zh-CN"/>
        </w:rPr>
        <w:t>和完善</w:t>
      </w:r>
      <w:r>
        <w:rPr>
          <w:rFonts w:ascii="仿宋_GB2312" w:eastAsia="仿宋_GB2312"/>
          <w:color w:val="auto"/>
          <w:sz w:val="32"/>
          <w:szCs w:val="32"/>
          <w:highlight w:val="none"/>
        </w:rPr>
        <w:t>项目支出绩效目标。</w:t>
      </w:r>
      <w:r>
        <w:rPr>
          <w:rFonts w:hint="eastAsia" w:ascii="仿宋_GB2312" w:eastAsia="仿宋_GB2312"/>
          <w:color w:val="auto"/>
          <w:sz w:val="32"/>
          <w:szCs w:val="32"/>
          <w:highlight w:val="none"/>
          <w:lang w:val="en-US" w:eastAsia="zh-CN"/>
        </w:rPr>
        <w:t>设置可衡量的绩效指标，</w:t>
      </w:r>
      <w:r>
        <w:rPr>
          <w:rFonts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产出和效益</w:t>
      </w:r>
      <w:r>
        <w:rPr>
          <w:rFonts w:ascii="仿宋_GB2312" w:eastAsia="仿宋_GB2312"/>
          <w:color w:val="auto"/>
          <w:sz w:val="32"/>
          <w:szCs w:val="32"/>
          <w:highlight w:val="none"/>
        </w:rPr>
        <w:t>方面的量化指标，如</w:t>
      </w:r>
      <w:r>
        <w:rPr>
          <w:rFonts w:hint="eastAsia" w:ascii="仿宋_GB2312" w:eastAsia="仿宋_GB2312"/>
          <w:color w:val="auto"/>
          <w:sz w:val="32"/>
          <w:szCs w:val="32"/>
          <w:highlight w:val="none"/>
          <w:lang w:val="en-US" w:eastAsia="zh-CN"/>
        </w:rPr>
        <w:t>成本指标财政投入比，数量指标补助发放人数，质量指标补助发放准确率，时效指标补助发放完成时间等。科学编报用款计划并严格执行，</w:t>
      </w:r>
      <w:r>
        <w:rPr>
          <w:rFonts w:hint="eastAsia" w:ascii="仿宋_GB2312" w:eastAsia="仿宋_GB2312"/>
          <w:color w:val="auto"/>
          <w:sz w:val="32"/>
          <w:szCs w:val="32"/>
          <w:highlight w:val="none"/>
        </w:rPr>
        <w:t>完善对专项资金使用绩效</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考</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评</w:t>
      </w:r>
      <w:r>
        <w:rPr>
          <w:rFonts w:hint="eastAsia" w:ascii="仿宋_GB2312" w:eastAsia="仿宋_GB2312"/>
          <w:color w:val="auto"/>
          <w:sz w:val="32"/>
          <w:szCs w:val="32"/>
          <w:highlight w:val="none"/>
          <w:lang w:eastAsia="zh-CN"/>
        </w:rPr>
        <w:t>估机制</w:t>
      </w:r>
      <w:r>
        <w:rPr>
          <w:rFonts w:hint="eastAsia" w:ascii="仿宋_GB2312" w:eastAsia="仿宋_GB2312"/>
          <w:color w:val="auto"/>
          <w:sz w:val="32"/>
          <w:szCs w:val="32"/>
          <w:highlight w:val="none"/>
        </w:rPr>
        <w:t>。</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81" w:name="_Toc7704"/>
      <w:r>
        <w:rPr>
          <w:rFonts w:hint="eastAsia" w:ascii="Calibri" w:hAnsi="宋体" w:eastAsia="楷体_GB2312" w:cs="Times New Roman"/>
          <w:b/>
          <w:bCs/>
          <w:color w:val="auto"/>
          <w:kern w:val="44"/>
          <w:sz w:val="32"/>
          <w:szCs w:val="44"/>
          <w:lang w:val="en-US" w:eastAsia="zh-CN" w:bidi="ar-SA"/>
        </w:rPr>
        <w:t>（三）强化主管部门责任，落实专项资金管理细则</w:t>
      </w:r>
      <w:bookmarkEnd w:id="81"/>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0" w:firstLineChars="200"/>
        <w:textAlignment w:val="auto"/>
        <w:rPr>
          <w:rFonts w:hint="eastAsia"/>
          <w:color w:val="auto"/>
          <w:lang w:val="en-US" w:eastAsia="zh-CN"/>
        </w:rPr>
      </w:pPr>
      <w:r>
        <w:rPr>
          <w:rFonts w:hint="eastAsia" w:ascii="仿宋_GB2312" w:hAnsi="Times New Roman" w:eastAsia="仿宋_GB2312" w:cs="Times New Roman"/>
          <w:color w:val="auto"/>
          <w:sz w:val="32"/>
          <w:szCs w:val="32"/>
          <w:lang w:val="en-US" w:eastAsia="zh-CN"/>
        </w:rPr>
        <w:t>一是</w:t>
      </w:r>
      <w:r>
        <w:rPr>
          <w:rFonts w:hint="eastAsia" w:ascii="仿宋_GB2312" w:eastAsia="仿宋_GB2312" w:cs="Times New Roman"/>
          <w:color w:val="auto"/>
          <w:sz w:val="32"/>
          <w:szCs w:val="32"/>
          <w:lang w:val="en-US" w:eastAsia="zh-CN"/>
        </w:rPr>
        <w:t>认真</w:t>
      </w:r>
      <w:r>
        <w:rPr>
          <w:rFonts w:hint="eastAsia" w:ascii="仿宋_GB2312" w:hAnsi="Times New Roman" w:eastAsia="仿宋_GB2312" w:cs="Times New Roman"/>
          <w:color w:val="auto"/>
          <w:sz w:val="32"/>
          <w:szCs w:val="32"/>
          <w:lang w:val="en-US" w:eastAsia="zh-CN"/>
        </w:rPr>
        <w:t>贯彻落实</w:t>
      </w:r>
      <w:r>
        <w:rPr>
          <w:rFonts w:hint="eastAsia" w:ascii="仿宋_GB2312" w:hAnsi="仿宋" w:eastAsia="仿宋_GB2312"/>
          <w:color w:val="auto"/>
          <w:sz w:val="32"/>
          <w:szCs w:val="32"/>
          <w:highlight w:val="none"/>
        </w:rPr>
        <w:t>《关于印发</w:t>
      </w:r>
      <w:r>
        <w:rPr>
          <w:rFonts w:hint="eastAsia" w:ascii="仿宋_GB2312" w:eastAsia="仿宋_GB2312"/>
          <w:color w:val="auto"/>
          <w:sz w:val="32"/>
          <w:highlight w:val="none"/>
        </w:rPr>
        <w:t>〈</w:t>
      </w:r>
      <w:r>
        <w:rPr>
          <w:rFonts w:hint="eastAsia" w:ascii="仿宋_GB2312" w:hAnsi="仿宋" w:eastAsia="仿宋_GB2312"/>
          <w:color w:val="auto"/>
          <w:sz w:val="32"/>
          <w:szCs w:val="32"/>
          <w:highlight w:val="none"/>
        </w:rPr>
        <w:t>广东省省级财政专项资金管理办法（试行）</w:t>
      </w:r>
      <w:r>
        <w:rPr>
          <w:rFonts w:hint="eastAsia" w:ascii="仿宋_GB2312" w:eastAsia="仿宋_GB2312"/>
          <w:color w:val="auto"/>
          <w:sz w:val="32"/>
          <w:highlight w:val="none"/>
        </w:rPr>
        <w:t>〉</w:t>
      </w:r>
      <w:r>
        <w:rPr>
          <w:rFonts w:hint="eastAsia" w:ascii="仿宋_GB2312" w:hAnsi="仿宋" w:eastAsia="仿宋_GB2312"/>
          <w:color w:val="auto"/>
          <w:sz w:val="32"/>
          <w:szCs w:val="32"/>
          <w:highlight w:val="none"/>
        </w:rPr>
        <w:t>的通知》</w:t>
      </w:r>
      <w:r>
        <w:rPr>
          <w:rFonts w:hint="eastAsia" w:ascii="仿宋_GB2312" w:eastAsia="仿宋_GB2312"/>
          <w:color w:val="auto"/>
          <w:sz w:val="32"/>
          <w:highlight w:val="none"/>
        </w:rPr>
        <w:t>《关于印发〈广东省农业农村厅财政专项资金管理办法（试行）〉等管理制度的通知》</w:t>
      </w:r>
      <w:r>
        <w:rPr>
          <w:rFonts w:hint="eastAsia" w:ascii="仿宋_GB2312" w:eastAsia="仿宋_GB2312"/>
          <w:color w:val="auto"/>
          <w:sz w:val="32"/>
          <w:highlight w:val="none"/>
          <w:lang w:eastAsia="zh-CN"/>
        </w:rPr>
        <w:t>《关于印发</w:t>
      </w:r>
      <w:r>
        <w:rPr>
          <w:rFonts w:hint="eastAsia" w:ascii="仿宋_GB2312" w:eastAsia="仿宋_GB2312"/>
          <w:color w:val="auto"/>
          <w:sz w:val="32"/>
          <w:highlight w:val="none"/>
        </w:rPr>
        <w:t>〈</w:t>
      </w:r>
      <w:r>
        <w:rPr>
          <w:rFonts w:hint="eastAsia" w:ascii="仿宋_GB2312" w:eastAsia="仿宋_GB2312"/>
          <w:color w:val="auto"/>
          <w:sz w:val="32"/>
          <w:highlight w:val="none"/>
          <w:lang w:eastAsia="zh-CN"/>
        </w:rPr>
        <w:t>广东省休（禁）渔渔民生产生活补助发放实施方案</w:t>
      </w:r>
      <w:r>
        <w:rPr>
          <w:rFonts w:hint="eastAsia" w:ascii="仿宋_GB2312" w:eastAsia="仿宋_GB2312"/>
          <w:color w:val="auto"/>
          <w:sz w:val="32"/>
          <w:highlight w:val="none"/>
        </w:rPr>
        <w:t>〉</w:t>
      </w:r>
      <w:r>
        <w:rPr>
          <w:rFonts w:hint="eastAsia" w:ascii="仿宋_GB2312" w:eastAsia="仿宋_GB2312"/>
          <w:color w:val="auto"/>
          <w:sz w:val="32"/>
          <w:highlight w:val="none"/>
          <w:lang w:eastAsia="zh-CN"/>
        </w:rPr>
        <w:t>的通知》</w:t>
      </w:r>
      <w:r>
        <w:rPr>
          <w:rFonts w:hint="eastAsia" w:ascii="仿宋_GB2312" w:eastAsia="仿宋_GB2312"/>
          <w:color w:val="auto"/>
          <w:sz w:val="32"/>
          <w:highlight w:val="none"/>
          <w:lang w:val="en-US" w:eastAsia="zh-CN"/>
        </w:rPr>
        <w:t>等相关制度，按要求落实好</w:t>
      </w:r>
      <w:r>
        <w:rPr>
          <w:rFonts w:hint="eastAsia" w:ascii="仿宋_GB2312" w:eastAsia="仿宋_GB2312" w:cs="Times New Roman"/>
          <w:color w:val="auto"/>
          <w:sz w:val="32"/>
          <w:szCs w:val="32"/>
          <w:highlight w:val="none"/>
          <w:lang w:val="en-US" w:eastAsia="zh-CN"/>
        </w:rPr>
        <w:t>休（禁）渔渔民生产生活补助政策。二是督促市县</w:t>
      </w:r>
      <w:r>
        <w:rPr>
          <w:rFonts w:hint="eastAsia" w:ascii="仿宋_GB2312" w:hAnsi="Times New Roman" w:eastAsia="仿宋_GB2312" w:cs="Times New Roman"/>
          <w:color w:val="auto"/>
          <w:sz w:val="32"/>
          <w:szCs w:val="32"/>
          <w:lang w:val="en-US" w:eastAsia="zh-CN"/>
        </w:rPr>
        <w:t>项目主管部门加强管理，</w:t>
      </w:r>
      <w:r>
        <w:rPr>
          <w:rFonts w:hint="eastAsia" w:ascii="仿宋_GB2312" w:eastAsia="仿宋_GB2312" w:cs="Times New Roman"/>
          <w:color w:val="auto"/>
          <w:sz w:val="32"/>
          <w:szCs w:val="32"/>
          <w:lang w:val="en-US" w:eastAsia="zh-CN"/>
        </w:rPr>
        <w:t>指导</w:t>
      </w:r>
      <w:r>
        <w:rPr>
          <w:rFonts w:hint="eastAsia" w:ascii="仿宋_GB2312" w:eastAsia="仿宋_GB2312"/>
          <w:color w:val="auto"/>
          <w:sz w:val="32"/>
          <w:szCs w:val="32"/>
          <w:lang w:val="en-US" w:eastAsia="zh-CN"/>
        </w:rPr>
        <w:t>乡镇（街道）有关工作人员和县级渔业主管部门工作人员</w:t>
      </w:r>
      <w:r>
        <w:rPr>
          <w:rFonts w:hint="eastAsia" w:ascii="仿宋_GB2312" w:eastAsia="仿宋_GB2312" w:cs="Times New Roman"/>
          <w:color w:val="auto"/>
          <w:sz w:val="32"/>
          <w:szCs w:val="32"/>
          <w:lang w:val="en-US" w:eastAsia="zh-CN"/>
        </w:rPr>
        <w:t>按规定优</w:t>
      </w:r>
      <w:r>
        <w:rPr>
          <w:rFonts w:hint="eastAsia" w:ascii="仿宋_GB2312" w:hAnsi="Times New Roman" w:eastAsia="仿宋_GB2312" w:cs="Times New Roman"/>
          <w:color w:val="auto"/>
          <w:sz w:val="32"/>
          <w:szCs w:val="32"/>
          <w:lang w:val="en-US" w:eastAsia="zh-CN"/>
        </w:rPr>
        <w:t>化工作流程，</w:t>
      </w:r>
      <w:r>
        <w:rPr>
          <w:rFonts w:hint="eastAsia" w:ascii="仿宋_GB2312" w:eastAsia="仿宋_GB2312"/>
          <w:color w:val="auto"/>
          <w:sz w:val="32"/>
          <w:szCs w:val="32"/>
          <w:lang w:val="en-US" w:eastAsia="zh-CN"/>
        </w:rPr>
        <w:t>提高材料审核、复审等工作环节效率。三是加快资金发放进度，</w:t>
      </w:r>
      <w:r>
        <w:rPr>
          <w:rFonts w:hint="eastAsia" w:ascii="仿宋_GB2312" w:hAnsi="Times New Roman" w:eastAsia="仿宋_GB2312" w:cs="Times New Roman"/>
          <w:color w:val="auto"/>
          <w:sz w:val="32"/>
          <w:szCs w:val="32"/>
          <w:lang w:val="en-US" w:eastAsia="zh-CN"/>
        </w:rPr>
        <w:t>加强沟通衔接，及时掌握</w:t>
      </w:r>
      <w:r>
        <w:rPr>
          <w:rFonts w:hint="eastAsia" w:ascii="仿宋_GB2312" w:eastAsia="仿宋_GB2312" w:cs="Times New Roman"/>
          <w:color w:val="auto"/>
          <w:sz w:val="32"/>
          <w:szCs w:val="32"/>
          <w:highlight w:val="none"/>
          <w:lang w:val="en-US" w:eastAsia="zh-CN"/>
        </w:rPr>
        <w:t>休（禁）渔渔民生产生活补助</w:t>
      </w:r>
      <w:r>
        <w:rPr>
          <w:rFonts w:hint="eastAsia" w:ascii="仿宋_GB2312" w:hAnsi="Times New Roman" w:eastAsia="仿宋_GB2312" w:cs="Times New Roman"/>
          <w:color w:val="auto"/>
          <w:sz w:val="32"/>
          <w:szCs w:val="32"/>
          <w:lang w:val="en-US" w:eastAsia="zh-CN"/>
        </w:rPr>
        <w:t>资金安排情况，加快预算下达和资金拨付。</w:t>
      </w:r>
    </w:p>
    <w:sectPr>
      <w:footerReference r:id="rId4" w:type="default"/>
      <w:pgSz w:w="11906" w:h="16838"/>
      <w:pgMar w:top="2041" w:right="1417" w:bottom="1417" w:left="153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汉仪中圆B5"/>
    <w:panose1 w:val="02010600030101010101"/>
    <w:charset w:val="86"/>
    <w:family w:val="auto"/>
    <w:pitch w:val="default"/>
    <w:sig w:usb0="00000000" w:usb1="00000000" w:usb2="00000016" w:usb3="00000000" w:csb0="0004000F"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 w:name="等线 Light">
    <w:altName w:val="汉仪仿宋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posOffset>5238750</wp:posOffset>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412.5pt;margin-top:0pt;height:144pt;width:144pt;mso-position-horizontal-relative:margin;mso-wrap-style:none;z-index:251659264;mso-width-relative:page;mso-height-relative:page;" filled="f" stroked="f" coordsize="21600,21600" o:gfxdata="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B4UJcK1gAAAAkBAAAPAAAAAAAAAAEAIAAAADgAAABkcnMvZG93bnJldi54bWxQSwECFAAU&#10;AAAACACHTuJAkPadVhYCAAAZBAAADgAAAAAAAAABACAAAAA7AQAAZHJzL2Uyb0RvYy54bWxQSwUG&#10;AAAAAAYABgBZAQAAwwUAAAAA&#10;">
              <v:fill on="f" focussize="0,0"/>
              <v:stroke on="f" weight="0.5pt"/>
              <v:imagedata o:title=""/>
              <o:lock v:ext="edit" aspectratio="f"/>
              <v:textbox inset="0mm,0mm,0mm,0mm" style="mso-fit-shape-to-text:t;">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F25B1"/>
    <w:multiLevelType w:val="singleLevel"/>
    <w:tmpl w:val="A46F25B1"/>
    <w:lvl w:ilvl="0" w:tentative="0">
      <w:start w:val="1"/>
      <w:numFmt w:val="decimal"/>
      <w:suff w:val="nothing"/>
      <w:lvlText w:val="%1．"/>
      <w:lvlJc w:val="left"/>
    </w:lvl>
  </w:abstractNum>
  <w:abstractNum w:abstractNumId="1">
    <w:nsid w:val="B38DC075"/>
    <w:multiLevelType w:val="singleLevel"/>
    <w:tmpl w:val="B38DC07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D0"/>
    <w:rsid w:val="00007C1C"/>
    <w:rsid w:val="00024539"/>
    <w:rsid w:val="00041063"/>
    <w:rsid w:val="00062AC8"/>
    <w:rsid w:val="00077799"/>
    <w:rsid w:val="000A7DF1"/>
    <w:rsid w:val="000B5C8C"/>
    <w:rsid w:val="000C38BD"/>
    <w:rsid w:val="000D6714"/>
    <w:rsid w:val="001077D4"/>
    <w:rsid w:val="001405D4"/>
    <w:rsid w:val="00152B67"/>
    <w:rsid w:val="00152C65"/>
    <w:rsid w:val="00155962"/>
    <w:rsid w:val="00156E6F"/>
    <w:rsid w:val="00175145"/>
    <w:rsid w:val="001D10EA"/>
    <w:rsid w:val="001D5A64"/>
    <w:rsid w:val="001E064D"/>
    <w:rsid w:val="001F1426"/>
    <w:rsid w:val="0021570B"/>
    <w:rsid w:val="00215CAF"/>
    <w:rsid w:val="0029042F"/>
    <w:rsid w:val="003138A7"/>
    <w:rsid w:val="00316B5A"/>
    <w:rsid w:val="003221D0"/>
    <w:rsid w:val="003364A6"/>
    <w:rsid w:val="00345D75"/>
    <w:rsid w:val="0035018B"/>
    <w:rsid w:val="00357D7D"/>
    <w:rsid w:val="00362AEC"/>
    <w:rsid w:val="0039133F"/>
    <w:rsid w:val="003B748E"/>
    <w:rsid w:val="003D7939"/>
    <w:rsid w:val="003E28BD"/>
    <w:rsid w:val="003E3DC4"/>
    <w:rsid w:val="004269BE"/>
    <w:rsid w:val="00453821"/>
    <w:rsid w:val="0045687C"/>
    <w:rsid w:val="00487168"/>
    <w:rsid w:val="00490666"/>
    <w:rsid w:val="00497A3F"/>
    <w:rsid w:val="004B3401"/>
    <w:rsid w:val="004D7A4A"/>
    <w:rsid w:val="004E2F46"/>
    <w:rsid w:val="00504CD1"/>
    <w:rsid w:val="005174F1"/>
    <w:rsid w:val="00523683"/>
    <w:rsid w:val="005410E6"/>
    <w:rsid w:val="0058684A"/>
    <w:rsid w:val="00593C61"/>
    <w:rsid w:val="005B1699"/>
    <w:rsid w:val="005B2A60"/>
    <w:rsid w:val="005D7252"/>
    <w:rsid w:val="005F65B7"/>
    <w:rsid w:val="006258D1"/>
    <w:rsid w:val="00651E73"/>
    <w:rsid w:val="00652306"/>
    <w:rsid w:val="00674B42"/>
    <w:rsid w:val="006B162A"/>
    <w:rsid w:val="006B2426"/>
    <w:rsid w:val="006B7C4F"/>
    <w:rsid w:val="006F4782"/>
    <w:rsid w:val="0071275A"/>
    <w:rsid w:val="007448F8"/>
    <w:rsid w:val="00745F9C"/>
    <w:rsid w:val="007463AC"/>
    <w:rsid w:val="00751C20"/>
    <w:rsid w:val="00793C1E"/>
    <w:rsid w:val="007B228A"/>
    <w:rsid w:val="007B2BA6"/>
    <w:rsid w:val="007D5CA2"/>
    <w:rsid w:val="007F3FFF"/>
    <w:rsid w:val="007F6541"/>
    <w:rsid w:val="00850A26"/>
    <w:rsid w:val="008A481B"/>
    <w:rsid w:val="008D45AB"/>
    <w:rsid w:val="008E5456"/>
    <w:rsid w:val="008F123E"/>
    <w:rsid w:val="008F1E2D"/>
    <w:rsid w:val="008F1E5E"/>
    <w:rsid w:val="008F6122"/>
    <w:rsid w:val="009006A6"/>
    <w:rsid w:val="00904413"/>
    <w:rsid w:val="00912EFE"/>
    <w:rsid w:val="00963A95"/>
    <w:rsid w:val="00965840"/>
    <w:rsid w:val="00975DE8"/>
    <w:rsid w:val="009A76BF"/>
    <w:rsid w:val="009B381C"/>
    <w:rsid w:val="009C185D"/>
    <w:rsid w:val="009D387C"/>
    <w:rsid w:val="009F365C"/>
    <w:rsid w:val="009F38E3"/>
    <w:rsid w:val="00A15BDD"/>
    <w:rsid w:val="00A42722"/>
    <w:rsid w:val="00A562D2"/>
    <w:rsid w:val="00AA6FD0"/>
    <w:rsid w:val="00AB42D9"/>
    <w:rsid w:val="00AC1AA3"/>
    <w:rsid w:val="00AC4792"/>
    <w:rsid w:val="00AE1C03"/>
    <w:rsid w:val="00AF2BA8"/>
    <w:rsid w:val="00B81707"/>
    <w:rsid w:val="00B97B3C"/>
    <w:rsid w:val="00BD2451"/>
    <w:rsid w:val="00BD61DF"/>
    <w:rsid w:val="00BE358B"/>
    <w:rsid w:val="00C02459"/>
    <w:rsid w:val="00C4222E"/>
    <w:rsid w:val="00C666BA"/>
    <w:rsid w:val="00C731CD"/>
    <w:rsid w:val="00C77F18"/>
    <w:rsid w:val="00C81F0F"/>
    <w:rsid w:val="00CC6A27"/>
    <w:rsid w:val="00CD2355"/>
    <w:rsid w:val="00CD36CE"/>
    <w:rsid w:val="00CF1750"/>
    <w:rsid w:val="00D60F67"/>
    <w:rsid w:val="00D943CE"/>
    <w:rsid w:val="00DE799A"/>
    <w:rsid w:val="00E05F81"/>
    <w:rsid w:val="00E16108"/>
    <w:rsid w:val="00E33F3C"/>
    <w:rsid w:val="00E8376A"/>
    <w:rsid w:val="00E94B36"/>
    <w:rsid w:val="00EA19CC"/>
    <w:rsid w:val="00EB1F1E"/>
    <w:rsid w:val="00F01828"/>
    <w:rsid w:val="00F12244"/>
    <w:rsid w:val="00F67C07"/>
    <w:rsid w:val="00F801C8"/>
    <w:rsid w:val="00FB6015"/>
    <w:rsid w:val="00FC03E5"/>
    <w:rsid w:val="00FE7094"/>
    <w:rsid w:val="01627210"/>
    <w:rsid w:val="0171095C"/>
    <w:rsid w:val="017B2084"/>
    <w:rsid w:val="018D7851"/>
    <w:rsid w:val="01A21D74"/>
    <w:rsid w:val="01AB01A5"/>
    <w:rsid w:val="01E949C6"/>
    <w:rsid w:val="01F525CE"/>
    <w:rsid w:val="023F5CB3"/>
    <w:rsid w:val="02651338"/>
    <w:rsid w:val="02792BEA"/>
    <w:rsid w:val="027F7101"/>
    <w:rsid w:val="02877425"/>
    <w:rsid w:val="0293741E"/>
    <w:rsid w:val="02966322"/>
    <w:rsid w:val="02C46E62"/>
    <w:rsid w:val="02C838C2"/>
    <w:rsid w:val="0378149E"/>
    <w:rsid w:val="0397336C"/>
    <w:rsid w:val="04086178"/>
    <w:rsid w:val="04325BFC"/>
    <w:rsid w:val="043B7BA7"/>
    <w:rsid w:val="043C5883"/>
    <w:rsid w:val="04742A5B"/>
    <w:rsid w:val="04896D7D"/>
    <w:rsid w:val="049411A1"/>
    <w:rsid w:val="04A81DBC"/>
    <w:rsid w:val="04AA161D"/>
    <w:rsid w:val="04D35F3E"/>
    <w:rsid w:val="04E1731F"/>
    <w:rsid w:val="04E51356"/>
    <w:rsid w:val="04F600BB"/>
    <w:rsid w:val="04F77FB2"/>
    <w:rsid w:val="051B26EE"/>
    <w:rsid w:val="057633A2"/>
    <w:rsid w:val="057F1BE5"/>
    <w:rsid w:val="05C579C2"/>
    <w:rsid w:val="06236048"/>
    <w:rsid w:val="065A63C9"/>
    <w:rsid w:val="06825279"/>
    <w:rsid w:val="06AD336D"/>
    <w:rsid w:val="06B43FED"/>
    <w:rsid w:val="06DD3DEA"/>
    <w:rsid w:val="06E52A71"/>
    <w:rsid w:val="06EE6530"/>
    <w:rsid w:val="06F43BCC"/>
    <w:rsid w:val="074B3A16"/>
    <w:rsid w:val="076F2ECD"/>
    <w:rsid w:val="07B246D1"/>
    <w:rsid w:val="07B73FFD"/>
    <w:rsid w:val="07BC4290"/>
    <w:rsid w:val="07BD60E0"/>
    <w:rsid w:val="08394963"/>
    <w:rsid w:val="083A4841"/>
    <w:rsid w:val="08620CB8"/>
    <w:rsid w:val="08663512"/>
    <w:rsid w:val="088F1FB5"/>
    <w:rsid w:val="08D7729F"/>
    <w:rsid w:val="08DB382A"/>
    <w:rsid w:val="091D6427"/>
    <w:rsid w:val="09FC19D9"/>
    <w:rsid w:val="0A7F7EB0"/>
    <w:rsid w:val="0AD77FA1"/>
    <w:rsid w:val="0B0F6687"/>
    <w:rsid w:val="0B390286"/>
    <w:rsid w:val="0B411B58"/>
    <w:rsid w:val="0BD3517F"/>
    <w:rsid w:val="0BDB6102"/>
    <w:rsid w:val="0C2942B6"/>
    <w:rsid w:val="0C697BC1"/>
    <w:rsid w:val="0CA4455C"/>
    <w:rsid w:val="0CBC71FC"/>
    <w:rsid w:val="0CE551DA"/>
    <w:rsid w:val="0D535AC4"/>
    <w:rsid w:val="0D65079D"/>
    <w:rsid w:val="0DCA3E55"/>
    <w:rsid w:val="0DF174AD"/>
    <w:rsid w:val="0E773AB4"/>
    <w:rsid w:val="0EAC20A6"/>
    <w:rsid w:val="0EC10CAD"/>
    <w:rsid w:val="0F7A7C39"/>
    <w:rsid w:val="0F9A1334"/>
    <w:rsid w:val="0FC740E3"/>
    <w:rsid w:val="0FD26E5A"/>
    <w:rsid w:val="0FD41694"/>
    <w:rsid w:val="0FDB0895"/>
    <w:rsid w:val="0FDC18D8"/>
    <w:rsid w:val="1025078F"/>
    <w:rsid w:val="105F083F"/>
    <w:rsid w:val="10813B7B"/>
    <w:rsid w:val="10A57D1A"/>
    <w:rsid w:val="10FD05CA"/>
    <w:rsid w:val="1119786B"/>
    <w:rsid w:val="113A15B2"/>
    <w:rsid w:val="115D27D4"/>
    <w:rsid w:val="11D74F0A"/>
    <w:rsid w:val="11F50BAB"/>
    <w:rsid w:val="121D5ECA"/>
    <w:rsid w:val="12640487"/>
    <w:rsid w:val="12BF1CCA"/>
    <w:rsid w:val="12E1125E"/>
    <w:rsid w:val="12F82822"/>
    <w:rsid w:val="13554D0D"/>
    <w:rsid w:val="13773B6E"/>
    <w:rsid w:val="13822027"/>
    <w:rsid w:val="13917638"/>
    <w:rsid w:val="13A51F52"/>
    <w:rsid w:val="13C604CB"/>
    <w:rsid w:val="13E04EA5"/>
    <w:rsid w:val="13E67380"/>
    <w:rsid w:val="13F07F40"/>
    <w:rsid w:val="14112B87"/>
    <w:rsid w:val="14180C5D"/>
    <w:rsid w:val="141A2D37"/>
    <w:rsid w:val="141F532D"/>
    <w:rsid w:val="142563D6"/>
    <w:rsid w:val="14636EE2"/>
    <w:rsid w:val="14B41373"/>
    <w:rsid w:val="14C86408"/>
    <w:rsid w:val="14CB6019"/>
    <w:rsid w:val="14DF117F"/>
    <w:rsid w:val="15123642"/>
    <w:rsid w:val="151C4D63"/>
    <w:rsid w:val="152D7AB0"/>
    <w:rsid w:val="15502F81"/>
    <w:rsid w:val="15776AC3"/>
    <w:rsid w:val="1589255F"/>
    <w:rsid w:val="15A60BEE"/>
    <w:rsid w:val="15D92A75"/>
    <w:rsid w:val="15DA22F3"/>
    <w:rsid w:val="15EF6D2B"/>
    <w:rsid w:val="161E32D2"/>
    <w:rsid w:val="16716FA4"/>
    <w:rsid w:val="169B1AFA"/>
    <w:rsid w:val="16DF75C9"/>
    <w:rsid w:val="16FA2DF7"/>
    <w:rsid w:val="17072E0B"/>
    <w:rsid w:val="170A5BDD"/>
    <w:rsid w:val="170B3893"/>
    <w:rsid w:val="17235D0D"/>
    <w:rsid w:val="175D5188"/>
    <w:rsid w:val="175D717B"/>
    <w:rsid w:val="1788578F"/>
    <w:rsid w:val="180C6EEA"/>
    <w:rsid w:val="18295A65"/>
    <w:rsid w:val="18357721"/>
    <w:rsid w:val="18AE757C"/>
    <w:rsid w:val="18B1753E"/>
    <w:rsid w:val="18BB66A4"/>
    <w:rsid w:val="18C11A9C"/>
    <w:rsid w:val="19173FA3"/>
    <w:rsid w:val="192108BF"/>
    <w:rsid w:val="1938714C"/>
    <w:rsid w:val="19421E45"/>
    <w:rsid w:val="198E23BD"/>
    <w:rsid w:val="19C64E27"/>
    <w:rsid w:val="1A0003E6"/>
    <w:rsid w:val="1A062B69"/>
    <w:rsid w:val="1A181932"/>
    <w:rsid w:val="1A1E464B"/>
    <w:rsid w:val="1A3721FE"/>
    <w:rsid w:val="1A4C3B8C"/>
    <w:rsid w:val="1A6311B0"/>
    <w:rsid w:val="1A757977"/>
    <w:rsid w:val="1A8515E3"/>
    <w:rsid w:val="1A876A3E"/>
    <w:rsid w:val="1A932028"/>
    <w:rsid w:val="1A9349CF"/>
    <w:rsid w:val="1A98752E"/>
    <w:rsid w:val="1A9D29EF"/>
    <w:rsid w:val="1AA62EEA"/>
    <w:rsid w:val="1ABF03F9"/>
    <w:rsid w:val="1AC2509B"/>
    <w:rsid w:val="1AFF5A14"/>
    <w:rsid w:val="1B0B5181"/>
    <w:rsid w:val="1B886D96"/>
    <w:rsid w:val="1BC26C26"/>
    <w:rsid w:val="1C026A0B"/>
    <w:rsid w:val="1C8F7C2B"/>
    <w:rsid w:val="1C9E4BCD"/>
    <w:rsid w:val="1CA11FF8"/>
    <w:rsid w:val="1CBC6798"/>
    <w:rsid w:val="1D277A67"/>
    <w:rsid w:val="1D505A3B"/>
    <w:rsid w:val="1D795CBF"/>
    <w:rsid w:val="1D8001CF"/>
    <w:rsid w:val="1DA05FD2"/>
    <w:rsid w:val="1DEC768B"/>
    <w:rsid w:val="1DEF79DF"/>
    <w:rsid w:val="1DF970B3"/>
    <w:rsid w:val="1E006219"/>
    <w:rsid w:val="1E024C20"/>
    <w:rsid w:val="1E2B5FD7"/>
    <w:rsid w:val="1E377AF7"/>
    <w:rsid w:val="1E43742A"/>
    <w:rsid w:val="1E633573"/>
    <w:rsid w:val="1EEE70DC"/>
    <w:rsid w:val="1F08402C"/>
    <w:rsid w:val="1F0D0CB8"/>
    <w:rsid w:val="1F3F3924"/>
    <w:rsid w:val="1F647B16"/>
    <w:rsid w:val="1F6D0995"/>
    <w:rsid w:val="1F705D0A"/>
    <w:rsid w:val="1F890903"/>
    <w:rsid w:val="1F974213"/>
    <w:rsid w:val="1FA520C0"/>
    <w:rsid w:val="202A39BE"/>
    <w:rsid w:val="203675BD"/>
    <w:rsid w:val="20511C61"/>
    <w:rsid w:val="206D1D81"/>
    <w:rsid w:val="20CD6797"/>
    <w:rsid w:val="20DF2DB0"/>
    <w:rsid w:val="20FD68B8"/>
    <w:rsid w:val="215F5BE1"/>
    <w:rsid w:val="21640C0A"/>
    <w:rsid w:val="2165149E"/>
    <w:rsid w:val="21725522"/>
    <w:rsid w:val="217B0B0F"/>
    <w:rsid w:val="217C78EF"/>
    <w:rsid w:val="21A61221"/>
    <w:rsid w:val="21B40EDE"/>
    <w:rsid w:val="21F775DA"/>
    <w:rsid w:val="220E301C"/>
    <w:rsid w:val="22814883"/>
    <w:rsid w:val="22987546"/>
    <w:rsid w:val="22A653F8"/>
    <w:rsid w:val="22BE77E2"/>
    <w:rsid w:val="230C646B"/>
    <w:rsid w:val="235924C7"/>
    <w:rsid w:val="23853B19"/>
    <w:rsid w:val="238E5E2D"/>
    <w:rsid w:val="23E13761"/>
    <w:rsid w:val="241C09F0"/>
    <w:rsid w:val="242108ED"/>
    <w:rsid w:val="248916FD"/>
    <w:rsid w:val="249C5B04"/>
    <w:rsid w:val="24A23D4C"/>
    <w:rsid w:val="24CB0C86"/>
    <w:rsid w:val="24DA0B4C"/>
    <w:rsid w:val="24E50E2F"/>
    <w:rsid w:val="251A461B"/>
    <w:rsid w:val="25591873"/>
    <w:rsid w:val="257A0CB0"/>
    <w:rsid w:val="259B628F"/>
    <w:rsid w:val="25BF2E34"/>
    <w:rsid w:val="25F71E07"/>
    <w:rsid w:val="262D631C"/>
    <w:rsid w:val="26470278"/>
    <w:rsid w:val="265A16A0"/>
    <w:rsid w:val="2668128F"/>
    <w:rsid w:val="26982C97"/>
    <w:rsid w:val="26AB6AB9"/>
    <w:rsid w:val="270A6B48"/>
    <w:rsid w:val="276E0050"/>
    <w:rsid w:val="277C5CF4"/>
    <w:rsid w:val="27B11977"/>
    <w:rsid w:val="283B2DC7"/>
    <w:rsid w:val="28574095"/>
    <w:rsid w:val="28615C27"/>
    <w:rsid w:val="2888071D"/>
    <w:rsid w:val="28A222F8"/>
    <w:rsid w:val="28A96A32"/>
    <w:rsid w:val="28ED019C"/>
    <w:rsid w:val="292306AD"/>
    <w:rsid w:val="29811770"/>
    <w:rsid w:val="298E3D99"/>
    <w:rsid w:val="29937C68"/>
    <w:rsid w:val="29943A04"/>
    <w:rsid w:val="29B45549"/>
    <w:rsid w:val="29BB5E34"/>
    <w:rsid w:val="29E544E7"/>
    <w:rsid w:val="29E64A91"/>
    <w:rsid w:val="29ED5327"/>
    <w:rsid w:val="2A215464"/>
    <w:rsid w:val="2A735E13"/>
    <w:rsid w:val="2A8A1F00"/>
    <w:rsid w:val="2AA60C2D"/>
    <w:rsid w:val="2AAC3675"/>
    <w:rsid w:val="2ADC699A"/>
    <w:rsid w:val="2AE91200"/>
    <w:rsid w:val="2B03110E"/>
    <w:rsid w:val="2B1D2653"/>
    <w:rsid w:val="2B4E0F5E"/>
    <w:rsid w:val="2BA063FA"/>
    <w:rsid w:val="2BC44E2A"/>
    <w:rsid w:val="2C045177"/>
    <w:rsid w:val="2C6569B3"/>
    <w:rsid w:val="2C7A37AB"/>
    <w:rsid w:val="2C9464D0"/>
    <w:rsid w:val="2CC578D1"/>
    <w:rsid w:val="2CCC2AC0"/>
    <w:rsid w:val="2CF268CC"/>
    <w:rsid w:val="2CF34BD4"/>
    <w:rsid w:val="2D191EBA"/>
    <w:rsid w:val="2D306B61"/>
    <w:rsid w:val="2D341991"/>
    <w:rsid w:val="2D61555D"/>
    <w:rsid w:val="2D8522DC"/>
    <w:rsid w:val="2DB6680D"/>
    <w:rsid w:val="2DC234A9"/>
    <w:rsid w:val="2E103E50"/>
    <w:rsid w:val="2E104919"/>
    <w:rsid w:val="2E5E5779"/>
    <w:rsid w:val="2E7F7EB2"/>
    <w:rsid w:val="2EC54FFE"/>
    <w:rsid w:val="2EDE33AB"/>
    <w:rsid w:val="2F0156EA"/>
    <w:rsid w:val="2F8B6E46"/>
    <w:rsid w:val="2FA637BB"/>
    <w:rsid w:val="2FE57AEC"/>
    <w:rsid w:val="2FEFC6E7"/>
    <w:rsid w:val="30090103"/>
    <w:rsid w:val="30410057"/>
    <w:rsid w:val="3050095B"/>
    <w:rsid w:val="30654375"/>
    <w:rsid w:val="307B7C54"/>
    <w:rsid w:val="309836C0"/>
    <w:rsid w:val="30D57E14"/>
    <w:rsid w:val="30E613D5"/>
    <w:rsid w:val="30FC7FB5"/>
    <w:rsid w:val="31066357"/>
    <w:rsid w:val="310D6A0C"/>
    <w:rsid w:val="3201113D"/>
    <w:rsid w:val="322D2025"/>
    <w:rsid w:val="323C737B"/>
    <w:rsid w:val="324A4BBD"/>
    <w:rsid w:val="32505226"/>
    <w:rsid w:val="328726C9"/>
    <w:rsid w:val="328F4B4C"/>
    <w:rsid w:val="329B1B53"/>
    <w:rsid w:val="32B6153E"/>
    <w:rsid w:val="334A0CC5"/>
    <w:rsid w:val="335D3069"/>
    <w:rsid w:val="33BA34F4"/>
    <w:rsid w:val="33FE46F2"/>
    <w:rsid w:val="34384578"/>
    <w:rsid w:val="34505616"/>
    <w:rsid w:val="3481653F"/>
    <w:rsid w:val="34D273D8"/>
    <w:rsid w:val="34E000E0"/>
    <w:rsid w:val="34F313C3"/>
    <w:rsid w:val="352B3CEA"/>
    <w:rsid w:val="356979AE"/>
    <w:rsid w:val="356E0774"/>
    <w:rsid w:val="35B95099"/>
    <w:rsid w:val="35C61DC8"/>
    <w:rsid w:val="35C80C9F"/>
    <w:rsid w:val="35E02176"/>
    <w:rsid w:val="35EB0C0B"/>
    <w:rsid w:val="36253076"/>
    <w:rsid w:val="362B66F7"/>
    <w:rsid w:val="365264A3"/>
    <w:rsid w:val="36633EA0"/>
    <w:rsid w:val="366505C0"/>
    <w:rsid w:val="36931F4E"/>
    <w:rsid w:val="36A47D9E"/>
    <w:rsid w:val="36D32B70"/>
    <w:rsid w:val="36D80B7F"/>
    <w:rsid w:val="36DB4345"/>
    <w:rsid w:val="36EC58E0"/>
    <w:rsid w:val="36F01248"/>
    <w:rsid w:val="37286BFC"/>
    <w:rsid w:val="373C710A"/>
    <w:rsid w:val="37F3463A"/>
    <w:rsid w:val="381456D7"/>
    <w:rsid w:val="38263DA0"/>
    <w:rsid w:val="386C1915"/>
    <w:rsid w:val="38742402"/>
    <w:rsid w:val="388240CE"/>
    <w:rsid w:val="38915C50"/>
    <w:rsid w:val="38CC65A9"/>
    <w:rsid w:val="39055C49"/>
    <w:rsid w:val="39876C41"/>
    <w:rsid w:val="399D4DF5"/>
    <w:rsid w:val="39DC57EE"/>
    <w:rsid w:val="3A120531"/>
    <w:rsid w:val="3A175F58"/>
    <w:rsid w:val="3A2B180B"/>
    <w:rsid w:val="3A4A4F03"/>
    <w:rsid w:val="3A6406C3"/>
    <w:rsid w:val="3A672E20"/>
    <w:rsid w:val="3ADA3776"/>
    <w:rsid w:val="3B055E84"/>
    <w:rsid w:val="3B4D5FE3"/>
    <w:rsid w:val="3B4F7950"/>
    <w:rsid w:val="3B825CC6"/>
    <w:rsid w:val="3B8303CA"/>
    <w:rsid w:val="3B9552C2"/>
    <w:rsid w:val="3B97203E"/>
    <w:rsid w:val="3B9E2C48"/>
    <w:rsid w:val="3BDD6EFB"/>
    <w:rsid w:val="3BEB6F06"/>
    <w:rsid w:val="3BF34CA2"/>
    <w:rsid w:val="3BFE5145"/>
    <w:rsid w:val="3C221152"/>
    <w:rsid w:val="3C3B7D69"/>
    <w:rsid w:val="3C906486"/>
    <w:rsid w:val="3CCB705B"/>
    <w:rsid w:val="3CE50D05"/>
    <w:rsid w:val="3D20116D"/>
    <w:rsid w:val="3D4536DB"/>
    <w:rsid w:val="3D544521"/>
    <w:rsid w:val="3D8375CF"/>
    <w:rsid w:val="3D945423"/>
    <w:rsid w:val="3DB251DC"/>
    <w:rsid w:val="3DFC6F2A"/>
    <w:rsid w:val="3E65491C"/>
    <w:rsid w:val="3E9F214D"/>
    <w:rsid w:val="3EAB664F"/>
    <w:rsid w:val="3ECC3D62"/>
    <w:rsid w:val="3EDE5957"/>
    <w:rsid w:val="3F4C4AAC"/>
    <w:rsid w:val="3F5C5C59"/>
    <w:rsid w:val="3FA353D1"/>
    <w:rsid w:val="3FFC3EE0"/>
    <w:rsid w:val="40281144"/>
    <w:rsid w:val="40285734"/>
    <w:rsid w:val="404606C5"/>
    <w:rsid w:val="40C33E8C"/>
    <w:rsid w:val="40C50C06"/>
    <w:rsid w:val="40C53282"/>
    <w:rsid w:val="40CF0E2E"/>
    <w:rsid w:val="40D375B3"/>
    <w:rsid w:val="40DC0547"/>
    <w:rsid w:val="40F22086"/>
    <w:rsid w:val="411A496E"/>
    <w:rsid w:val="415E24E6"/>
    <w:rsid w:val="41985742"/>
    <w:rsid w:val="41A767BA"/>
    <w:rsid w:val="41D7795B"/>
    <w:rsid w:val="42030EFA"/>
    <w:rsid w:val="420600B5"/>
    <w:rsid w:val="42137E49"/>
    <w:rsid w:val="423B491C"/>
    <w:rsid w:val="423E34FC"/>
    <w:rsid w:val="427E23AB"/>
    <w:rsid w:val="42AD30F5"/>
    <w:rsid w:val="42FF280A"/>
    <w:rsid w:val="435D7F7A"/>
    <w:rsid w:val="436B059C"/>
    <w:rsid w:val="438117CF"/>
    <w:rsid w:val="43997839"/>
    <w:rsid w:val="44571831"/>
    <w:rsid w:val="44B10EE9"/>
    <w:rsid w:val="44C74BFE"/>
    <w:rsid w:val="45325EA8"/>
    <w:rsid w:val="456D228A"/>
    <w:rsid w:val="45D67A09"/>
    <w:rsid w:val="460655A8"/>
    <w:rsid w:val="46692CE5"/>
    <w:rsid w:val="466A6B0C"/>
    <w:rsid w:val="46A67EFA"/>
    <w:rsid w:val="46BE4002"/>
    <w:rsid w:val="46C37154"/>
    <w:rsid w:val="470D05B5"/>
    <w:rsid w:val="475C5B96"/>
    <w:rsid w:val="476E292E"/>
    <w:rsid w:val="47B55C38"/>
    <w:rsid w:val="47D8526D"/>
    <w:rsid w:val="47E04B82"/>
    <w:rsid w:val="480B4E1D"/>
    <w:rsid w:val="48236F77"/>
    <w:rsid w:val="4837659A"/>
    <w:rsid w:val="48912283"/>
    <w:rsid w:val="48C217A8"/>
    <w:rsid w:val="492B0560"/>
    <w:rsid w:val="496013F6"/>
    <w:rsid w:val="49742B8A"/>
    <w:rsid w:val="49891431"/>
    <w:rsid w:val="49924968"/>
    <w:rsid w:val="49A31940"/>
    <w:rsid w:val="49A54E81"/>
    <w:rsid w:val="49AA5DF0"/>
    <w:rsid w:val="49B72CF1"/>
    <w:rsid w:val="49E51357"/>
    <w:rsid w:val="4A022E63"/>
    <w:rsid w:val="4A5E7304"/>
    <w:rsid w:val="4A6D0F45"/>
    <w:rsid w:val="4ACF253B"/>
    <w:rsid w:val="4AEE4E55"/>
    <w:rsid w:val="4B2E1F51"/>
    <w:rsid w:val="4B4675A6"/>
    <w:rsid w:val="4B655078"/>
    <w:rsid w:val="4B790B54"/>
    <w:rsid w:val="4B9750EA"/>
    <w:rsid w:val="4B99543A"/>
    <w:rsid w:val="4BB44E59"/>
    <w:rsid w:val="4BCD10AB"/>
    <w:rsid w:val="4BFC7E29"/>
    <w:rsid w:val="4C082092"/>
    <w:rsid w:val="4C1314B6"/>
    <w:rsid w:val="4C7873AB"/>
    <w:rsid w:val="4C7B348D"/>
    <w:rsid w:val="4C82561F"/>
    <w:rsid w:val="4D433C85"/>
    <w:rsid w:val="4D4914C0"/>
    <w:rsid w:val="4D71452F"/>
    <w:rsid w:val="4D971D71"/>
    <w:rsid w:val="4DB4008D"/>
    <w:rsid w:val="4DC1358A"/>
    <w:rsid w:val="4DD6242F"/>
    <w:rsid w:val="4DED3AAA"/>
    <w:rsid w:val="4E074DBD"/>
    <w:rsid w:val="4E3D13BA"/>
    <w:rsid w:val="4EA97F77"/>
    <w:rsid w:val="4F70137C"/>
    <w:rsid w:val="4F7218A2"/>
    <w:rsid w:val="4F7E235F"/>
    <w:rsid w:val="500348AB"/>
    <w:rsid w:val="500A1B77"/>
    <w:rsid w:val="502D3DD0"/>
    <w:rsid w:val="504D4F4C"/>
    <w:rsid w:val="50666CEF"/>
    <w:rsid w:val="510A7086"/>
    <w:rsid w:val="511D1383"/>
    <w:rsid w:val="51686DE0"/>
    <w:rsid w:val="516E18F6"/>
    <w:rsid w:val="51813954"/>
    <w:rsid w:val="519A0115"/>
    <w:rsid w:val="51CB79AB"/>
    <w:rsid w:val="51CE7A1A"/>
    <w:rsid w:val="51D64A0D"/>
    <w:rsid w:val="51EE45F7"/>
    <w:rsid w:val="51F35280"/>
    <w:rsid w:val="52A32873"/>
    <w:rsid w:val="52A4714D"/>
    <w:rsid w:val="52D5405B"/>
    <w:rsid w:val="531A5115"/>
    <w:rsid w:val="537C620E"/>
    <w:rsid w:val="53B353C4"/>
    <w:rsid w:val="53CB4E56"/>
    <w:rsid w:val="53E12686"/>
    <w:rsid w:val="542E2387"/>
    <w:rsid w:val="54375765"/>
    <w:rsid w:val="543A7804"/>
    <w:rsid w:val="544F4003"/>
    <w:rsid w:val="547D0220"/>
    <w:rsid w:val="54AE0E21"/>
    <w:rsid w:val="54B11BF7"/>
    <w:rsid w:val="54BC6BC2"/>
    <w:rsid w:val="54E32795"/>
    <w:rsid w:val="552B495D"/>
    <w:rsid w:val="55521606"/>
    <w:rsid w:val="55632CF6"/>
    <w:rsid w:val="559C3B78"/>
    <w:rsid w:val="55B50024"/>
    <w:rsid w:val="55B9087C"/>
    <w:rsid w:val="562B6930"/>
    <w:rsid w:val="56604132"/>
    <w:rsid w:val="56631897"/>
    <w:rsid w:val="568825B9"/>
    <w:rsid w:val="56966DA2"/>
    <w:rsid w:val="56DB2751"/>
    <w:rsid w:val="571D7AD2"/>
    <w:rsid w:val="576E797B"/>
    <w:rsid w:val="57A42E69"/>
    <w:rsid w:val="57B761DB"/>
    <w:rsid w:val="57E74426"/>
    <w:rsid w:val="583527FE"/>
    <w:rsid w:val="58493639"/>
    <w:rsid w:val="584C6011"/>
    <w:rsid w:val="589301F4"/>
    <w:rsid w:val="589E5684"/>
    <w:rsid w:val="58B026DF"/>
    <w:rsid w:val="595E7566"/>
    <w:rsid w:val="598C3A79"/>
    <w:rsid w:val="599812E5"/>
    <w:rsid w:val="59BE035A"/>
    <w:rsid w:val="59CC4EE0"/>
    <w:rsid w:val="5A2A04DA"/>
    <w:rsid w:val="5A337429"/>
    <w:rsid w:val="5A534929"/>
    <w:rsid w:val="5A606BFC"/>
    <w:rsid w:val="5A7536F8"/>
    <w:rsid w:val="5A921A6F"/>
    <w:rsid w:val="5AA14217"/>
    <w:rsid w:val="5AED246F"/>
    <w:rsid w:val="5B2C5C96"/>
    <w:rsid w:val="5B345F67"/>
    <w:rsid w:val="5BA86B79"/>
    <w:rsid w:val="5BAB57F8"/>
    <w:rsid w:val="5BCF3983"/>
    <w:rsid w:val="5BE54158"/>
    <w:rsid w:val="5BF11894"/>
    <w:rsid w:val="5C6A0C6B"/>
    <w:rsid w:val="5C7240D4"/>
    <w:rsid w:val="5C8B2909"/>
    <w:rsid w:val="5CBA6764"/>
    <w:rsid w:val="5CBB749C"/>
    <w:rsid w:val="5CC0312F"/>
    <w:rsid w:val="5CCB2156"/>
    <w:rsid w:val="5CCF6F29"/>
    <w:rsid w:val="5CF90314"/>
    <w:rsid w:val="5D396AF3"/>
    <w:rsid w:val="5D651C60"/>
    <w:rsid w:val="5D77084D"/>
    <w:rsid w:val="5D981475"/>
    <w:rsid w:val="5DB07601"/>
    <w:rsid w:val="5DF80830"/>
    <w:rsid w:val="5E1B7AAD"/>
    <w:rsid w:val="5E2C47BA"/>
    <w:rsid w:val="5E3509FD"/>
    <w:rsid w:val="5E6205CA"/>
    <w:rsid w:val="5E666C1C"/>
    <w:rsid w:val="5E89337E"/>
    <w:rsid w:val="5EDC74F1"/>
    <w:rsid w:val="5EF76AF1"/>
    <w:rsid w:val="5F0E466E"/>
    <w:rsid w:val="5F493F95"/>
    <w:rsid w:val="5F7712B3"/>
    <w:rsid w:val="5F891558"/>
    <w:rsid w:val="5F990C37"/>
    <w:rsid w:val="5F9E0AB5"/>
    <w:rsid w:val="6005415B"/>
    <w:rsid w:val="6035649E"/>
    <w:rsid w:val="603776DA"/>
    <w:rsid w:val="60797ECD"/>
    <w:rsid w:val="609D6CD6"/>
    <w:rsid w:val="60A924A6"/>
    <w:rsid w:val="60F5036B"/>
    <w:rsid w:val="61106A90"/>
    <w:rsid w:val="612B548C"/>
    <w:rsid w:val="6133160F"/>
    <w:rsid w:val="617C6B62"/>
    <w:rsid w:val="61816211"/>
    <w:rsid w:val="619D34BB"/>
    <w:rsid w:val="61AB51D0"/>
    <w:rsid w:val="61AF19C8"/>
    <w:rsid w:val="61B25CAB"/>
    <w:rsid w:val="61DA138A"/>
    <w:rsid w:val="61E80FE9"/>
    <w:rsid w:val="6232726D"/>
    <w:rsid w:val="6236544E"/>
    <w:rsid w:val="62661BC0"/>
    <w:rsid w:val="627B4A6C"/>
    <w:rsid w:val="62B74455"/>
    <w:rsid w:val="633544AB"/>
    <w:rsid w:val="633767A9"/>
    <w:rsid w:val="635B2689"/>
    <w:rsid w:val="63800F4A"/>
    <w:rsid w:val="64180CD3"/>
    <w:rsid w:val="642973AE"/>
    <w:rsid w:val="64354802"/>
    <w:rsid w:val="643826C6"/>
    <w:rsid w:val="649A4445"/>
    <w:rsid w:val="64CD28AC"/>
    <w:rsid w:val="65416457"/>
    <w:rsid w:val="656C4491"/>
    <w:rsid w:val="65716BAE"/>
    <w:rsid w:val="65833513"/>
    <w:rsid w:val="65B2515C"/>
    <w:rsid w:val="65B7046E"/>
    <w:rsid w:val="65FF7928"/>
    <w:rsid w:val="66025E2A"/>
    <w:rsid w:val="660F47D1"/>
    <w:rsid w:val="662C1AAA"/>
    <w:rsid w:val="667B55C0"/>
    <w:rsid w:val="66822F5F"/>
    <w:rsid w:val="668E0DF8"/>
    <w:rsid w:val="66A81885"/>
    <w:rsid w:val="670A0C0D"/>
    <w:rsid w:val="670B3AD6"/>
    <w:rsid w:val="670E24A3"/>
    <w:rsid w:val="67114B39"/>
    <w:rsid w:val="67254A0C"/>
    <w:rsid w:val="67815F3D"/>
    <w:rsid w:val="678D73DA"/>
    <w:rsid w:val="679D29F1"/>
    <w:rsid w:val="67B832CD"/>
    <w:rsid w:val="67BA4FAF"/>
    <w:rsid w:val="67D70D69"/>
    <w:rsid w:val="67D976D5"/>
    <w:rsid w:val="67F8351F"/>
    <w:rsid w:val="67F911EE"/>
    <w:rsid w:val="680A3596"/>
    <w:rsid w:val="680F122E"/>
    <w:rsid w:val="6826548A"/>
    <w:rsid w:val="683F30FE"/>
    <w:rsid w:val="68683080"/>
    <w:rsid w:val="688B40C8"/>
    <w:rsid w:val="68B42E16"/>
    <w:rsid w:val="69054E81"/>
    <w:rsid w:val="691201AE"/>
    <w:rsid w:val="69313B09"/>
    <w:rsid w:val="697E321E"/>
    <w:rsid w:val="699B5FBE"/>
    <w:rsid w:val="6A0C1E3A"/>
    <w:rsid w:val="6A2477ED"/>
    <w:rsid w:val="6A496B74"/>
    <w:rsid w:val="6ABC22AA"/>
    <w:rsid w:val="6ABE1033"/>
    <w:rsid w:val="6B695969"/>
    <w:rsid w:val="6B750D8C"/>
    <w:rsid w:val="6B975345"/>
    <w:rsid w:val="6B9F6329"/>
    <w:rsid w:val="6BAE722A"/>
    <w:rsid w:val="6BE3540D"/>
    <w:rsid w:val="6BF55524"/>
    <w:rsid w:val="6C3F7978"/>
    <w:rsid w:val="6C772A2C"/>
    <w:rsid w:val="6CF45DAC"/>
    <w:rsid w:val="6D8931BC"/>
    <w:rsid w:val="6DAB3ED9"/>
    <w:rsid w:val="6DB34A63"/>
    <w:rsid w:val="6DC1145A"/>
    <w:rsid w:val="6DF84EE3"/>
    <w:rsid w:val="6E034E25"/>
    <w:rsid w:val="6E152A45"/>
    <w:rsid w:val="6E1A5BBA"/>
    <w:rsid w:val="6E3A1CA5"/>
    <w:rsid w:val="6E8D61CD"/>
    <w:rsid w:val="6F102712"/>
    <w:rsid w:val="6F7325B1"/>
    <w:rsid w:val="6F850CE8"/>
    <w:rsid w:val="6F8651C6"/>
    <w:rsid w:val="6FD03C8D"/>
    <w:rsid w:val="6FF46070"/>
    <w:rsid w:val="70265F0B"/>
    <w:rsid w:val="708745A7"/>
    <w:rsid w:val="70975C2C"/>
    <w:rsid w:val="70C42741"/>
    <w:rsid w:val="70C648F6"/>
    <w:rsid w:val="70F63163"/>
    <w:rsid w:val="70F92CD6"/>
    <w:rsid w:val="710B6121"/>
    <w:rsid w:val="713D372A"/>
    <w:rsid w:val="7144719B"/>
    <w:rsid w:val="71561E5E"/>
    <w:rsid w:val="71594B81"/>
    <w:rsid w:val="71984BFA"/>
    <w:rsid w:val="71B72F62"/>
    <w:rsid w:val="71DA061F"/>
    <w:rsid w:val="724849E6"/>
    <w:rsid w:val="72542913"/>
    <w:rsid w:val="7271745F"/>
    <w:rsid w:val="728656FE"/>
    <w:rsid w:val="730F64FC"/>
    <w:rsid w:val="734E1139"/>
    <w:rsid w:val="73A33BD5"/>
    <w:rsid w:val="73BC07AA"/>
    <w:rsid w:val="73E96659"/>
    <w:rsid w:val="74471E9E"/>
    <w:rsid w:val="745A2085"/>
    <w:rsid w:val="74750647"/>
    <w:rsid w:val="748F15B9"/>
    <w:rsid w:val="74E03E87"/>
    <w:rsid w:val="74E1219D"/>
    <w:rsid w:val="755556EE"/>
    <w:rsid w:val="75D10B11"/>
    <w:rsid w:val="75EB5152"/>
    <w:rsid w:val="75FF5CAF"/>
    <w:rsid w:val="76461C08"/>
    <w:rsid w:val="76810118"/>
    <w:rsid w:val="76C62B85"/>
    <w:rsid w:val="76FE0E6C"/>
    <w:rsid w:val="77317359"/>
    <w:rsid w:val="7795142B"/>
    <w:rsid w:val="77D342D3"/>
    <w:rsid w:val="781B4757"/>
    <w:rsid w:val="78282F82"/>
    <w:rsid w:val="78690746"/>
    <w:rsid w:val="78BA4469"/>
    <w:rsid w:val="78D45010"/>
    <w:rsid w:val="78EA1606"/>
    <w:rsid w:val="78F260CD"/>
    <w:rsid w:val="79771051"/>
    <w:rsid w:val="797A2BF0"/>
    <w:rsid w:val="79964D9E"/>
    <w:rsid w:val="79A23B15"/>
    <w:rsid w:val="79CC256C"/>
    <w:rsid w:val="79FC78F7"/>
    <w:rsid w:val="7A447204"/>
    <w:rsid w:val="7A5E7198"/>
    <w:rsid w:val="7A6F307E"/>
    <w:rsid w:val="7A721CF6"/>
    <w:rsid w:val="7A7C1790"/>
    <w:rsid w:val="7ABE5DB5"/>
    <w:rsid w:val="7AEA2D29"/>
    <w:rsid w:val="7AF70B50"/>
    <w:rsid w:val="7B86775B"/>
    <w:rsid w:val="7B8C2F50"/>
    <w:rsid w:val="7BD00AC7"/>
    <w:rsid w:val="7BD87F3B"/>
    <w:rsid w:val="7C315AAD"/>
    <w:rsid w:val="7C362596"/>
    <w:rsid w:val="7C8D009F"/>
    <w:rsid w:val="7C950A0B"/>
    <w:rsid w:val="7CB44D3D"/>
    <w:rsid w:val="7CEE2E9A"/>
    <w:rsid w:val="7D2A29F1"/>
    <w:rsid w:val="7D3E71B2"/>
    <w:rsid w:val="7D3F4E53"/>
    <w:rsid w:val="7D4520AD"/>
    <w:rsid w:val="7D7C4568"/>
    <w:rsid w:val="7D8B57B4"/>
    <w:rsid w:val="7D9C5C1D"/>
    <w:rsid w:val="7DB55EDE"/>
    <w:rsid w:val="7DCE7A21"/>
    <w:rsid w:val="7DD055D2"/>
    <w:rsid w:val="7DF67C77"/>
    <w:rsid w:val="7E2F0CFC"/>
    <w:rsid w:val="7E4436DC"/>
    <w:rsid w:val="7E522C7B"/>
    <w:rsid w:val="7E725FD3"/>
    <w:rsid w:val="7E89234E"/>
    <w:rsid w:val="7E8C0973"/>
    <w:rsid w:val="7EFF5F5E"/>
    <w:rsid w:val="7F2A7062"/>
    <w:rsid w:val="7F4169A9"/>
    <w:rsid w:val="7F8C1F93"/>
    <w:rsid w:val="7F923D51"/>
    <w:rsid w:val="B66E51FA"/>
    <w:rsid w:val="BEFCF47A"/>
    <w:rsid w:val="FDDF86F9"/>
    <w:rsid w:val="FEC98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26"/>
    <w:qFormat/>
    <w:uiPriority w:val="9"/>
    <w:pPr>
      <w:keepNext/>
      <w:keepLines/>
      <w:spacing w:before="340" w:after="330" w:line="578" w:lineRule="auto"/>
      <w:outlineLvl w:val="0"/>
    </w:pPr>
    <w:rPr>
      <w:rFonts w:eastAsia="楷体_GB2312"/>
      <w:b/>
      <w:bCs/>
      <w:kern w:val="44"/>
      <w:sz w:val="32"/>
      <w:szCs w:val="44"/>
    </w:rPr>
  </w:style>
  <w:style w:type="paragraph" w:styleId="4">
    <w:name w:val="heading 2"/>
    <w:basedOn w:val="1"/>
    <w:next w:val="1"/>
    <w:link w:val="24"/>
    <w:qFormat/>
    <w:uiPriority w:val="9"/>
    <w:pPr>
      <w:keepNext/>
      <w:keepLines/>
      <w:spacing w:before="260" w:after="260" w:line="416" w:lineRule="auto"/>
      <w:outlineLvl w:val="1"/>
    </w:pPr>
    <w:rPr>
      <w:rFonts w:ascii="等线 Light" w:hAnsi="等线 Light" w:eastAsia="楷体_GB2312"/>
      <w:b/>
      <w:bCs/>
      <w:kern w:val="0"/>
      <w:sz w:val="32"/>
      <w:szCs w:val="32"/>
    </w:rPr>
  </w:style>
  <w:style w:type="paragraph" w:styleId="5">
    <w:name w:val="heading 3"/>
    <w:basedOn w:val="1"/>
    <w:next w:val="1"/>
    <w:link w:val="20"/>
    <w:unhideWhenUsed/>
    <w:qFormat/>
    <w:uiPriority w:val="9"/>
    <w:pPr>
      <w:keepNext/>
      <w:keepLines/>
      <w:spacing w:before="260" w:after="260" w:line="415" w:lineRule="auto"/>
      <w:ind w:left="200" w:leftChars="200"/>
      <w:outlineLvl w:val="2"/>
      <w:pPrChange w:id="0" w:author="XIE XIN" w:date="2020-06-02T20:01:00Z">
        <w:pPr>
          <w:keepNext/>
          <w:keepLines/>
          <w:widowControl w:val="0"/>
          <w:spacing w:before="260" w:after="260" w:line="416" w:lineRule="auto"/>
          <w:jc w:val="both"/>
          <w:outlineLvl w:val="2"/>
        </w:pPr>
      </w:pPrChange>
    </w:pPr>
    <w:rPr>
      <w:rFonts w:eastAsia="仿宋_GB2312"/>
      <w:b/>
      <w:bCs/>
      <w:sz w:val="32"/>
      <w:szCs w:val="32"/>
      <w:rPrChange w:id="1" w:author="XIE XIN" w:date="2020-06-02T20:01:00Z">
        <w:rPr>
          <w:rFonts w:eastAsia="仿宋_GB2312"/>
          <w:bCs/>
          <w:kern w:val="2"/>
          <w:sz w:val="32"/>
          <w:szCs w:val="32"/>
          <w:lang w:val="en-US" w:eastAsia="zh-CN" w:bidi="ar-SA"/>
        </w:rPr>
      </w:rPrChange>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6">
    <w:name w:val="annotation text"/>
    <w:basedOn w:val="1"/>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21"/>
    <w:unhideWhenUsed/>
    <w:qFormat/>
    <w:uiPriority w:val="99"/>
    <w:rPr>
      <w:sz w:val="18"/>
      <w:szCs w:val="18"/>
    </w:rPr>
  </w:style>
  <w:style w:type="paragraph" w:styleId="9">
    <w:name w:val="footer"/>
    <w:basedOn w:val="1"/>
    <w:link w:val="29"/>
    <w:unhideWhenUsed/>
    <w:qFormat/>
    <w:uiPriority w:val="99"/>
    <w:pPr>
      <w:tabs>
        <w:tab w:val="center" w:pos="4153"/>
        <w:tab w:val="right" w:pos="8306"/>
      </w:tabs>
      <w:snapToGrid w:val="0"/>
      <w:jc w:val="left"/>
    </w:pPr>
    <w:rPr>
      <w:sz w:val="18"/>
      <w:szCs w:val="18"/>
    </w:rPr>
  </w:style>
  <w:style w:type="paragraph" w:styleId="10">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Subtitle"/>
    <w:basedOn w:val="1"/>
    <w:next w:val="1"/>
    <w:link w:val="22"/>
    <w:qFormat/>
    <w:uiPriority w:val="11"/>
    <w:pPr>
      <w:spacing w:before="240" w:after="60" w:line="312" w:lineRule="auto"/>
      <w:jc w:val="center"/>
      <w:outlineLvl w:val="1"/>
    </w:pPr>
    <w:rPr>
      <w:rFonts w:ascii="等线 Light" w:hAnsi="等线 Light"/>
      <w:b/>
      <w:bCs/>
      <w:kern w:val="28"/>
      <w:sz w:val="32"/>
      <w:szCs w:val="32"/>
    </w:rPr>
  </w:style>
  <w:style w:type="paragraph" w:styleId="13">
    <w:name w:val="toc 2"/>
    <w:basedOn w:val="1"/>
    <w:next w:val="1"/>
    <w:unhideWhenUsed/>
    <w:qFormat/>
    <w:uiPriority w:val="39"/>
    <w:pPr>
      <w:spacing w:line="360" w:lineRule="auto"/>
      <w:ind w:left="420" w:leftChars="200"/>
    </w:pPr>
    <w:rPr>
      <w:rFonts w:ascii="Calibri" w:hAnsi="Calibri"/>
      <w:kern w:val="0"/>
      <w:szCs w:val="32"/>
    </w:rPr>
  </w:style>
  <w:style w:type="paragraph" w:styleId="14">
    <w:name w:val="Title"/>
    <w:basedOn w:val="3"/>
    <w:next w:val="1"/>
    <w:link w:val="25"/>
    <w:qFormat/>
    <w:uiPriority w:val="0"/>
    <w:pPr>
      <w:spacing w:line="360" w:lineRule="auto"/>
      <w:ind w:firstLine="880" w:firstLineChars="200"/>
      <w:jc w:val="left"/>
    </w:pPr>
    <w:rPr>
      <w:rFonts w:ascii="Cambria" w:hAnsi="Cambria" w:eastAsia="黑体"/>
      <w:b w:val="0"/>
      <w:bCs w:val="0"/>
      <w:kern w:val="2"/>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unhideWhenUsed/>
    <w:qFormat/>
    <w:uiPriority w:val="99"/>
    <w:rPr>
      <w:sz w:val="21"/>
      <w:szCs w:val="21"/>
    </w:rPr>
  </w:style>
  <w:style w:type="paragraph" w:customStyle="1" w:styleId="19">
    <w:name w:val="样式1"/>
    <w:basedOn w:val="5"/>
    <w:next w:val="1"/>
    <w:qFormat/>
    <w:uiPriority w:val="0"/>
    <w:pPr>
      <w:keepNext w:val="0"/>
      <w:keepLines w:val="0"/>
      <w:widowControl/>
      <w:spacing w:before="100" w:beforeAutospacing="1" w:after="100" w:afterAutospacing="1" w:line="360" w:lineRule="auto"/>
      <w:ind w:firstLine="880" w:firstLineChars="200"/>
      <w:jc w:val="left"/>
    </w:pPr>
    <w:rPr>
      <w:rFonts w:ascii="Arial" w:hAnsi="Arial"/>
      <w:b w:val="0"/>
      <w:kern w:val="0"/>
      <w:szCs w:val="27"/>
    </w:rPr>
  </w:style>
  <w:style w:type="character" w:customStyle="1" w:styleId="20">
    <w:name w:val="标题 3 字符"/>
    <w:basedOn w:val="16"/>
    <w:link w:val="5"/>
    <w:qFormat/>
    <w:uiPriority w:val="9"/>
    <w:rPr>
      <w:rFonts w:eastAsia="仿宋_GB2312"/>
      <w:b/>
      <w:bCs/>
      <w:kern w:val="2"/>
      <w:sz w:val="32"/>
      <w:szCs w:val="32"/>
    </w:rPr>
  </w:style>
  <w:style w:type="character" w:customStyle="1" w:styleId="21">
    <w:name w:val="批注框文本 字符"/>
    <w:basedOn w:val="16"/>
    <w:link w:val="8"/>
    <w:semiHidden/>
    <w:qFormat/>
    <w:uiPriority w:val="99"/>
    <w:rPr>
      <w:rFonts w:ascii="Times New Roman" w:hAnsi="Times New Roman" w:eastAsia="宋体" w:cs="Times New Roman"/>
      <w:sz w:val="18"/>
      <w:szCs w:val="18"/>
    </w:rPr>
  </w:style>
  <w:style w:type="character" w:customStyle="1" w:styleId="22">
    <w:name w:val="副标题 字符"/>
    <w:basedOn w:val="16"/>
    <w:link w:val="12"/>
    <w:qFormat/>
    <w:uiPriority w:val="11"/>
    <w:rPr>
      <w:rFonts w:ascii="等线 Light" w:hAnsi="等线 Light" w:eastAsia="宋体" w:cs="Times New Roman"/>
      <w:b/>
      <w:bCs/>
      <w:kern w:val="28"/>
      <w:sz w:val="32"/>
      <w:szCs w:val="32"/>
    </w:rPr>
  </w:style>
  <w:style w:type="paragraph" w:customStyle="1" w:styleId="23">
    <w:name w:val="1."/>
    <w:basedOn w:val="5"/>
    <w:qFormat/>
    <w:uiPriority w:val="0"/>
    <w:pPr>
      <w:keepNext w:val="0"/>
      <w:keepLines w:val="0"/>
      <w:widowControl/>
      <w:spacing w:before="100" w:beforeAutospacing="1" w:after="100" w:afterAutospacing="1" w:line="360" w:lineRule="auto"/>
      <w:ind w:firstLine="880" w:firstLineChars="200"/>
      <w:jc w:val="left"/>
    </w:pPr>
    <w:rPr>
      <w:rFonts w:ascii="宋体" w:hAnsi="宋体"/>
      <w:kern w:val="0"/>
      <w:szCs w:val="27"/>
    </w:rPr>
  </w:style>
  <w:style w:type="character" w:customStyle="1" w:styleId="24">
    <w:name w:val="标题 2 字符"/>
    <w:basedOn w:val="16"/>
    <w:link w:val="4"/>
    <w:qFormat/>
    <w:uiPriority w:val="9"/>
    <w:rPr>
      <w:rFonts w:ascii="等线 Light" w:hAnsi="等线 Light" w:eastAsia="楷体_GB2312"/>
      <w:b/>
      <w:bCs/>
      <w:sz w:val="32"/>
      <w:szCs w:val="32"/>
    </w:rPr>
  </w:style>
  <w:style w:type="character" w:customStyle="1" w:styleId="25">
    <w:name w:val="标题 字符"/>
    <w:basedOn w:val="16"/>
    <w:link w:val="14"/>
    <w:qFormat/>
    <w:uiPriority w:val="0"/>
    <w:rPr>
      <w:rFonts w:ascii="Cambria" w:hAnsi="Cambria" w:eastAsia="黑体" w:cs="Times New Roman"/>
      <w:sz w:val="32"/>
      <w:szCs w:val="44"/>
    </w:rPr>
  </w:style>
  <w:style w:type="character" w:customStyle="1" w:styleId="26">
    <w:name w:val="标题 1 字符"/>
    <w:basedOn w:val="16"/>
    <w:link w:val="3"/>
    <w:qFormat/>
    <w:uiPriority w:val="9"/>
    <w:rPr>
      <w:rFonts w:eastAsia="楷体_GB2312"/>
      <w:b/>
      <w:bCs/>
      <w:kern w:val="44"/>
      <w:sz w:val="32"/>
      <w:szCs w:val="44"/>
    </w:rPr>
  </w:style>
  <w:style w:type="paragraph" w:customStyle="1" w:styleId="2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Cs w:val="32"/>
    </w:rPr>
  </w:style>
  <w:style w:type="character" w:customStyle="1" w:styleId="28">
    <w:name w:val="页眉 字符"/>
    <w:basedOn w:val="16"/>
    <w:link w:val="10"/>
    <w:qFormat/>
    <w:uiPriority w:val="99"/>
    <w:rPr>
      <w:rFonts w:ascii="Times New Roman" w:hAnsi="Times New Roman" w:eastAsia="宋体" w:cs="Times New Roman"/>
      <w:sz w:val="18"/>
      <w:szCs w:val="18"/>
    </w:rPr>
  </w:style>
  <w:style w:type="character" w:customStyle="1" w:styleId="29">
    <w:name w:val="页脚 字符"/>
    <w:basedOn w:val="16"/>
    <w:link w:val="9"/>
    <w:qFormat/>
    <w:uiPriority w:val="99"/>
    <w:rPr>
      <w:rFonts w:ascii="Times New Roman" w:hAnsi="Times New Roman" w:eastAsia="宋体" w:cs="Times New Roman"/>
      <w:sz w:val="18"/>
      <w:szCs w:val="18"/>
    </w:rPr>
  </w:style>
  <w:style w:type="paragraph" w:customStyle="1" w:styleId="30">
    <w:name w:val="（一）"/>
    <w:basedOn w:val="4"/>
    <w:next w:val="1"/>
    <w:qFormat/>
    <w:uiPriority w:val="0"/>
    <w:pPr>
      <w:spacing w:line="360" w:lineRule="auto"/>
    </w:pPr>
    <w:rPr>
      <w:rFonts w:eastAsia="楷体_GB2312"/>
      <w:b w:val="0"/>
    </w:rPr>
  </w:style>
  <w:style w:type="paragraph" w:customStyle="1" w:styleId="31">
    <w:name w:val="_Style 1"/>
    <w:basedOn w:val="1"/>
    <w:qFormat/>
    <w:uiPriority w:val="0"/>
    <w:pPr>
      <w:ind w:firstLine="420"/>
    </w:pPr>
  </w:style>
  <w:style w:type="character" w:customStyle="1" w:styleId="32">
    <w:name w:val="font51"/>
    <w:basedOn w:val="16"/>
    <w:qFormat/>
    <w:uiPriority w:val="0"/>
    <w:rPr>
      <w:rFonts w:ascii="宋体" w:hAnsi="宋体" w:eastAsia="宋体" w:cs="宋体"/>
      <w:b/>
      <w:color w:val="000000"/>
      <w:sz w:val="24"/>
      <w:szCs w:val="24"/>
      <w:u w:val="none"/>
    </w:rPr>
  </w:style>
  <w:style w:type="character" w:customStyle="1" w:styleId="33">
    <w:name w:val="NormalCharacter"/>
    <w:link w:val="34"/>
    <w:semiHidden/>
    <w:qFormat/>
    <w:uiPriority w:val="0"/>
    <w:rPr>
      <w:rFonts w:ascii="Times New Roman" w:hAnsi="Times New Roman" w:eastAsia="宋体" w:cs="Times New Roman"/>
      <w:kern w:val="2"/>
      <w:sz w:val="21"/>
      <w:szCs w:val="24"/>
      <w:lang w:val="en-US" w:eastAsia="zh-CN" w:bidi="ar-SA"/>
    </w:rPr>
  </w:style>
  <w:style w:type="paragraph" w:customStyle="1" w:styleId="34">
    <w:name w:val="UserStyle_2"/>
    <w:basedOn w:val="1"/>
    <w:link w:val="33"/>
    <w:qFormat/>
    <w:uiPriority w:val="0"/>
    <w:pPr>
      <w:tabs>
        <w:tab w:val="center" w:pos="360"/>
      </w:tabs>
      <w:spacing w:line="240" w:lineRule="auto"/>
      <w:jc w:val="both"/>
    </w:pPr>
    <w:rPr>
      <w:rFonts w:ascii="Times New Roman" w:hAnsi="Times New Roman" w:eastAsia="宋体" w:cs="Times New Roman"/>
      <w:kern w:val="2"/>
      <w:sz w:val="21"/>
      <w:szCs w:val="24"/>
      <w:lang w:val="en-US" w:eastAsia="zh-CN" w:bidi="ar-SA"/>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1738</Words>
  <Characters>9911</Characters>
  <Lines>82</Lines>
  <Paragraphs>23</Paragraphs>
  <TotalTime>0</TotalTime>
  <ScaleCrop>false</ScaleCrop>
  <LinksUpToDate>false</LinksUpToDate>
  <CharactersWithSpaces>11626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2020-05-23T00:44:00Z</dcterms:created>
  <dc:creator>XIE XIN</dc:creator>
  <cp:lastModifiedBy>user</cp:lastModifiedBy>
  <cp:lastPrinted>2020-06-24T22:33:00Z</cp:lastPrinted>
  <dcterms:modified xsi:type="dcterms:W3CDTF">2021-10-18T09:53:20Z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ribbonExt">
    <vt:lpwstr>{"WPSExtOfficeTab":{"OnGetEnabled":false,"OnGetVisible":false}}</vt:lpwstr>
  </property>
  <property fmtid="{D5CDD505-2E9C-101B-9397-08002B2CF9AE}" pid="4" name="ICV">
    <vt:lpwstr>11DB9F9B24FC46F09371DFF239DA6939</vt:lpwstr>
  </property>
</Properties>
</file>