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ageBreakBefore w:val="0"/>
        <w:kinsoku/>
        <w:wordWrap/>
        <w:overflowPunct/>
        <w:topLinePunct w:val="0"/>
        <w:bidi w:val="0"/>
        <w:spacing w:line="360" w:lineRule="auto"/>
        <w:jc w:val="left"/>
        <w:rPr>
          <w:rFonts w:hint="eastAsia" w:ascii="仿宋_GB2312" w:eastAsia="仿宋_GB2312"/>
          <w:color w:val="auto"/>
          <w:sz w:val="32"/>
          <w:szCs w:val="32"/>
        </w:rPr>
      </w:pPr>
      <w:r>
        <w:rPr>
          <w:rFonts w:hint="eastAsia" w:ascii="仿宋_GB2312" w:eastAsia="仿宋_GB2312"/>
          <w:color w:val="auto"/>
          <w:sz w:val="32"/>
          <w:szCs w:val="32"/>
        </w:rPr>
        <w:t xml:space="preserve"> </w:t>
      </w: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lang w:val="en-US" w:eastAsia="zh-CN"/>
        </w:rPr>
      </w:pPr>
    </w:p>
    <w:p>
      <w:pPr>
        <w:pageBreakBefore w:val="0"/>
        <w:kinsoku/>
        <w:wordWrap/>
        <w:overflowPunct/>
        <w:topLinePunct w:val="0"/>
        <w:bidi w:val="0"/>
        <w:spacing w:line="360" w:lineRule="auto"/>
        <w:ind w:firstLine="0" w:firstLineChars="0"/>
        <w:jc w:val="center"/>
        <w:rPr>
          <w:rFonts w:hint="eastAsia" w:ascii="仿宋_GB2312" w:eastAsia="仿宋_GB2312"/>
          <w:color w:val="auto"/>
          <w:sz w:val="44"/>
          <w:szCs w:val="44"/>
        </w:rPr>
      </w:pPr>
      <w:r>
        <w:rPr>
          <w:rFonts w:hint="eastAsia" w:ascii="方正小标宋简体" w:hAnsi="方正小标宋简体" w:eastAsia="方正小标宋简体" w:cs="方正小标宋简体"/>
          <w:color w:val="auto"/>
          <w:sz w:val="44"/>
          <w:szCs w:val="44"/>
          <w:lang w:val="en-US" w:eastAsia="zh-CN"/>
        </w:rPr>
        <w:t>项目</w:t>
      </w:r>
      <w:r>
        <w:rPr>
          <w:rFonts w:hint="eastAsia" w:ascii="方正小标宋简体" w:hAnsi="方正小标宋简体" w:eastAsia="方正小标宋简体" w:cs="方正小标宋简体"/>
          <w:color w:val="auto"/>
          <w:sz w:val="44"/>
          <w:szCs w:val="44"/>
        </w:rPr>
        <w:t>绩效自评报告</w:t>
      </w: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default" w:ascii="仿宋_GB2312" w:eastAsia="仿宋_GB2312"/>
          <w:color w:val="auto"/>
          <w:sz w:val="32"/>
          <w:szCs w:val="32"/>
          <w:lang w:val="en-US"/>
        </w:rPr>
      </w:pPr>
      <w:r>
        <w:rPr>
          <w:rFonts w:hint="eastAsia" w:ascii="仿宋_GB2312" w:eastAsia="仿宋_GB2312"/>
          <w:color w:val="auto"/>
          <w:sz w:val="32"/>
          <w:szCs w:val="32"/>
        </w:rPr>
        <w:t>专项资金</w:t>
      </w:r>
      <w:r>
        <w:rPr>
          <w:rFonts w:hint="eastAsia" w:ascii="仿宋_GB2312" w:eastAsia="仿宋_GB2312"/>
          <w:color w:val="auto"/>
          <w:sz w:val="32"/>
          <w:szCs w:val="32"/>
          <w:lang w:eastAsia="zh-CN"/>
        </w:rPr>
        <w:t>“财政事权”</w:t>
      </w:r>
      <w:r>
        <w:rPr>
          <w:rFonts w:hint="eastAsia" w:ascii="仿宋_GB2312" w:eastAsia="仿宋_GB2312"/>
          <w:color w:val="auto"/>
          <w:sz w:val="32"/>
          <w:szCs w:val="32"/>
        </w:rPr>
        <w:t>名称：</w:t>
      </w:r>
      <w:r>
        <w:rPr>
          <w:rFonts w:hint="eastAsia" w:ascii="仿宋_GB2312" w:hAnsi="仿宋_GB2312" w:eastAsia="仿宋_GB2312" w:cs="仿宋_GB2312"/>
          <w:sz w:val="32"/>
          <w:szCs w:val="32"/>
          <w:vertAlign w:val="baseline"/>
          <w:lang w:val="en-US" w:eastAsia="zh-CN"/>
        </w:rPr>
        <w:t>其他性事业支出</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158" w:leftChars="304" w:hanging="3520" w:hangingChars="11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对应“政策任务”数量：1项（2020年离岗基层老兽医补助省级资金)</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省级预算部门：</w:t>
      </w:r>
      <w:r>
        <w:rPr>
          <w:rFonts w:hint="eastAsia" w:ascii="仿宋_GB2312" w:eastAsia="仿宋_GB2312"/>
          <w:color w:val="auto"/>
          <w:sz w:val="32"/>
          <w:szCs w:val="32"/>
          <w:lang w:eastAsia="zh-CN"/>
        </w:rPr>
        <w:t>广东省农业农村厅</w:t>
      </w:r>
    </w:p>
    <w:p>
      <w:pPr>
        <w:pStyle w:val="2"/>
        <w:rPr>
          <w:rFonts w:hint="eastAsia" w:ascii="仿宋" w:hAnsi="仿宋" w:eastAsia="仿宋" w:cs="仿宋"/>
          <w:color w:val="auto"/>
          <w:sz w:val="32"/>
          <w:szCs w:val="32"/>
          <w:highlight w:val="none"/>
          <w:lang w:val="en-US" w:eastAsia="zh-CN"/>
        </w:rPr>
      </w:pPr>
    </w:p>
    <w:p>
      <w:pPr>
        <w:pStyle w:val="2"/>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center"/>
        <w:textAlignment w:val="auto"/>
        <w:rPr>
          <w:rFonts w:hint="eastAsia" w:ascii="仿宋_GB2312" w:eastAsia="仿宋_GB2312"/>
          <w:color w:val="auto"/>
          <w:sz w:val="32"/>
          <w:szCs w:val="32"/>
          <w:lang w:val="en-US" w:eastAsia="zh-CN"/>
        </w:rPr>
        <w:sectPr>
          <w:pgSz w:w="11906" w:h="16838"/>
          <w:pgMar w:top="2041" w:right="1417" w:bottom="1417" w:left="1531" w:header="851" w:footer="992" w:gutter="0"/>
          <w:pgNumType w:fmt="numberInDash"/>
          <w:cols w:space="720" w:num="1"/>
          <w:docGrid w:type="lines" w:linePitch="312" w:charSpace="0"/>
        </w:sectPr>
      </w:pPr>
      <w:bookmarkStart w:id="57" w:name="_GoBack"/>
      <w:bookmarkEnd w:id="57"/>
      <w:r>
        <w:rPr>
          <w:rFonts w:hint="eastAsia" w:ascii="仿宋_GB2312" w:eastAsia="仿宋_GB2312"/>
          <w:color w:val="auto"/>
          <w:sz w:val="32"/>
          <w:szCs w:val="32"/>
        </w:rPr>
        <w:t>填报日期：</w:t>
      </w:r>
      <w:r>
        <w:rPr>
          <w:rFonts w:hint="eastAsia" w:ascii="仿宋_GB2312" w:eastAsia="仿宋_GB2312"/>
          <w:color w:val="auto"/>
          <w:sz w:val="32"/>
          <w:szCs w:val="32"/>
          <w:lang w:val="en-US" w:eastAsia="zh-CN"/>
        </w:rPr>
        <w:t>2021年9月28日</w:t>
      </w:r>
    </w:p>
    <w:sdt>
      <w:sdtPr>
        <w:rPr>
          <w:rFonts w:ascii="宋体" w:hAnsi="宋体" w:eastAsia="宋体" w:cs="Times New Roman"/>
          <w:kern w:val="2"/>
          <w:sz w:val="21"/>
          <w:szCs w:val="24"/>
          <w:lang w:val="en-US" w:eastAsia="zh-CN" w:bidi="ar-SA"/>
        </w:rPr>
        <w:id w:val="147468572"/>
        <w15:color w:val="DBDBDB"/>
        <w:docPartObj>
          <w:docPartGallery w:val="Table of Contents"/>
          <w:docPartUnique/>
        </w:docPartObj>
      </w:sdtPr>
      <w:sdtEndPr>
        <w:rPr>
          <w:rFonts w:hint="eastAsia" w:ascii="Calibri" w:hAnsi="Calibri" w:eastAsia="宋体" w:cs="Times New Roman"/>
          <w:kern w:val="0"/>
          <w:sz w:val="21"/>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小标宋简体" w:hAnsi="仿宋_GB2312" w:eastAsia="方正小标宋简体" w:cs="仿宋_GB2312"/>
              <w:kern w:val="0"/>
              <w:sz w:val="36"/>
              <w:szCs w:val="36"/>
              <w:lang w:val="en-US" w:eastAsia="zh-CN"/>
            </w:rPr>
          </w:pPr>
          <w:r>
            <w:rPr>
              <w:rFonts w:hint="eastAsia" w:ascii="方正小标宋简体" w:hAnsi="仿宋_GB2312" w:eastAsia="方正小标宋简体" w:cs="仿宋_GB2312"/>
              <w:kern w:val="0"/>
              <w:sz w:val="36"/>
              <w:szCs w:val="36"/>
              <w:lang w:val="en-US" w:eastAsia="zh-CN"/>
            </w:rPr>
            <w:t>目  录</w:t>
          </w:r>
        </w:p>
        <w:p>
          <w:pPr>
            <w:pStyle w:val="34"/>
            <w:tabs>
              <w:tab w:val="right" w:leader="dot" w:pos="8958"/>
            </w:tabs>
          </w:pPr>
          <w:r>
            <w:rPr>
              <w:rFonts w:hint="eastAsia"/>
              <w:lang w:val="en-US" w:eastAsia="zh-CN"/>
            </w:rPr>
            <w:fldChar w:fldCharType="begin"/>
          </w:r>
          <w:r>
            <w:rPr>
              <w:rFonts w:hint="eastAsia"/>
              <w:lang w:val="en-US" w:eastAsia="zh-CN"/>
            </w:rPr>
            <w:instrText xml:space="preserve">TOC \o "1-1" \h \u </w:instrText>
          </w:r>
          <w:r>
            <w:rPr>
              <w:rFonts w:hint="eastAsia"/>
              <w:lang w:val="en-US" w:eastAsia="zh-CN"/>
            </w:rPr>
            <w:fldChar w:fldCharType="separate"/>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_Toc24135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一、基本情况</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_Toc24135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- 1 -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_Toc5008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（一） 资金安排情况</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_Toc5008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- 1 -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_Toc4790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（二） 资金分配方式和实施程序</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_Toc4790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- 2 -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_Toc4790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（三） 主要用途</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_Toc4790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- 3 -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_Toc31796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（四） 绩效目标</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_Toc31796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- 3 -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_Toc32538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二、自评情况</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_Toc32538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- 3 -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_Toc7091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（一）自评分数</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_Toc7091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- 3 -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_Toc27579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（二）专项资金使用绩效</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_Toc27579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- 8 -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_Toc2330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（三） 专项资金使用绩效存在的问题</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_Toc2330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- 10 -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1"/>
            <w:keepNext w:val="0"/>
            <w:keepLines w:val="0"/>
            <w:pageBreakBefore w:val="0"/>
            <w:widowControl/>
            <w:tabs>
              <w:tab w:val="right" w:leader="dot" w:pos="8947"/>
            </w:tabs>
            <w:kinsoku/>
            <w:wordWrap/>
            <w:overflowPunct/>
            <w:topLinePunct w:val="0"/>
            <w:autoSpaceDE/>
            <w:autoSpaceDN/>
            <w:bidi w:val="0"/>
            <w:adjustRightInd/>
            <w:snapToGrid/>
            <w:spacing w:before="120" w:after="120" w:line="360" w:lineRule="auto"/>
            <w:jc w:val="left"/>
            <w:textAlignment w:val="auto"/>
            <w:rPr>
              <w:rFonts w:hint="eastAsia" w:ascii="仿宋_GB2312" w:hAnsi="仿宋_GB2312" w:eastAsia="仿宋_GB2312" w:cs="仿宋_GB2312"/>
              <w:caps/>
              <w:kern w:val="0"/>
              <w:sz w:val="32"/>
              <w:szCs w:val="24"/>
              <w:lang w:val="en-US" w:eastAsia="zh-CN"/>
            </w:rPr>
          </w:pP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HYPERLINK \l _Toc19400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三、 改进意见</w:t>
          </w:r>
          <w:r>
            <w:rPr>
              <w:rFonts w:hint="eastAsia" w:ascii="仿宋_GB2312" w:hAnsi="仿宋_GB2312" w:eastAsia="仿宋_GB2312" w:cs="仿宋_GB2312"/>
              <w:caps/>
              <w:kern w:val="0"/>
              <w:sz w:val="32"/>
              <w:szCs w:val="24"/>
              <w:lang w:val="en-US" w:eastAsia="zh-CN"/>
            </w:rPr>
            <w:tab/>
          </w:r>
          <w:r>
            <w:rPr>
              <w:rFonts w:hint="eastAsia" w:ascii="仿宋_GB2312" w:hAnsi="仿宋_GB2312" w:eastAsia="仿宋_GB2312" w:cs="仿宋_GB2312"/>
              <w:caps/>
              <w:kern w:val="0"/>
              <w:sz w:val="32"/>
              <w:szCs w:val="24"/>
              <w:lang w:val="en-US" w:eastAsia="zh-CN"/>
            </w:rPr>
            <w:fldChar w:fldCharType="begin"/>
          </w:r>
          <w:r>
            <w:rPr>
              <w:rFonts w:hint="eastAsia" w:ascii="仿宋_GB2312" w:hAnsi="仿宋_GB2312" w:eastAsia="仿宋_GB2312" w:cs="仿宋_GB2312"/>
              <w:caps/>
              <w:kern w:val="0"/>
              <w:sz w:val="32"/>
              <w:szCs w:val="24"/>
              <w:lang w:val="en-US" w:eastAsia="zh-CN"/>
            </w:rPr>
            <w:instrText xml:space="preserve"> PAGEREF _Toc19400 \h </w:instrText>
          </w:r>
          <w:r>
            <w:rPr>
              <w:rFonts w:hint="eastAsia" w:ascii="仿宋_GB2312" w:hAnsi="仿宋_GB2312" w:eastAsia="仿宋_GB2312" w:cs="仿宋_GB2312"/>
              <w:caps/>
              <w:kern w:val="0"/>
              <w:sz w:val="32"/>
              <w:szCs w:val="24"/>
              <w:lang w:val="en-US" w:eastAsia="zh-CN"/>
            </w:rPr>
            <w:fldChar w:fldCharType="separate"/>
          </w:r>
          <w:r>
            <w:rPr>
              <w:rFonts w:hint="eastAsia" w:ascii="仿宋_GB2312" w:hAnsi="仿宋_GB2312" w:eastAsia="仿宋_GB2312" w:cs="仿宋_GB2312"/>
              <w:caps/>
              <w:kern w:val="0"/>
              <w:sz w:val="32"/>
              <w:szCs w:val="24"/>
              <w:lang w:val="en-US" w:eastAsia="zh-CN"/>
            </w:rPr>
            <w:t>- 11 -</w:t>
          </w:r>
          <w:r>
            <w:rPr>
              <w:rFonts w:hint="eastAsia" w:ascii="仿宋_GB2312" w:hAnsi="仿宋_GB2312" w:eastAsia="仿宋_GB2312" w:cs="仿宋_GB2312"/>
              <w:caps/>
              <w:kern w:val="0"/>
              <w:sz w:val="32"/>
              <w:szCs w:val="24"/>
              <w:lang w:val="en-US" w:eastAsia="zh-CN"/>
            </w:rPr>
            <w:fldChar w:fldCharType="end"/>
          </w:r>
          <w:r>
            <w:rPr>
              <w:rFonts w:hint="eastAsia" w:ascii="仿宋_GB2312" w:hAnsi="仿宋_GB2312" w:eastAsia="仿宋_GB2312" w:cs="仿宋_GB2312"/>
              <w:caps/>
              <w:kern w:val="0"/>
              <w:sz w:val="32"/>
              <w:szCs w:val="24"/>
              <w:lang w:val="en-US" w:eastAsia="zh-CN"/>
            </w:rPr>
            <w:fldChar w:fldCharType="end"/>
          </w:r>
        </w:p>
        <w:p>
          <w:pPr>
            <w:pStyle w:val="13"/>
            <w:ind w:left="0" w:leftChars="0" w:firstLine="0" w:firstLineChars="0"/>
            <w:rPr>
              <w:rFonts w:hint="eastAsia"/>
              <w:lang w:val="en-US" w:eastAsia="zh-CN"/>
            </w:rPr>
            <w:sectPr>
              <w:footerReference r:id="rId3" w:type="default"/>
              <w:pgSz w:w="11906" w:h="16838"/>
              <w:pgMar w:top="2041" w:right="1417" w:bottom="1417" w:left="1531" w:header="851" w:footer="992" w:gutter="0"/>
              <w:pgNumType w:fmt="numberInDash" w:start="1"/>
              <w:cols w:space="720" w:num="1"/>
              <w:docGrid w:type="lines" w:linePitch="312" w:charSpace="0"/>
            </w:sectPr>
          </w:pPr>
          <w:r>
            <w:rPr>
              <w:rFonts w:hint="eastAsia"/>
              <w:lang w:val="en-US" w:eastAsia="zh-CN"/>
            </w:rPr>
            <w:fldChar w:fldCharType="end"/>
          </w:r>
        </w:p>
      </w:sdtContent>
    </w:sdt>
    <w:p>
      <w:pPr>
        <w:pStyle w:val="14"/>
        <w:pageBreakBefore w:val="0"/>
        <w:kinsoku/>
        <w:wordWrap/>
        <w:overflowPunct/>
        <w:topLinePunct w:val="0"/>
        <w:bidi w:val="0"/>
        <w:spacing w:before="0" w:after="0" w:line="360" w:lineRule="auto"/>
        <w:ind w:firstLine="640"/>
        <w:jc w:val="both"/>
        <w:rPr>
          <w:rFonts w:hint="eastAsia" w:ascii="黑体" w:hAnsi="黑体" w:eastAsia="黑体"/>
          <w:bCs/>
          <w:color w:val="auto"/>
          <w:lang w:eastAsia="zh-CN"/>
        </w:rPr>
      </w:pPr>
      <w:bookmarkStart w:id="0" w:name="_Toc22320"/>
      <w:bookmarkStart w:id="1" w:name="_Toc42021429"/>
      <w:r>
        <w:rPr>
          <w:rFonts w:hint="eastAsia" w:ascii="仿宋_GB2312" w:hAnsi="Times New Roman" w:eastAsia="仿宋_GB2312" w:cs="Times New Roman"/>
          <w:b w:val="0"/>
          <w:bCs w:val="0"/>
          <w:color w:val="auto"/>
          <w:kern w:val="2"/>
          <w:sz w:val="32"/>
          <w:szCs w:val="32"/>
          <w:lang w:val="en-US" w:eastAsia="zh-CN" w:bidi="ar-SA"/>
        </w:rPr>
        <w:t>根据《广东省财政厅关于开展2021年省级财政资金绩效自评工作的通知》和《关于做好省农业农村厅2021年省级财政资金绩效自评工作的通知》，我厅对2020年离岗基层老兽医补助省级资金使用情况组织开展了绩效自评。</w:t>
      </w:r>
      <w:bookmarkEnd w:id="0"/>
    </w:p>
    <w:p>
      <w:pPr>
        <w:pStyle w:val="14"/>
        <w:pageBreakBefore w:val="0"/>
        <w:kinsoku/>
        <w:wordWrap/>
        <w:overflowPunct/>
        <w:topLinePunct w:val="0"/>
        <w:bidi w:val="0"/>
        <w:spacing w:before="0" w:after="0" w:line="360" w:lineRule="auto"/>
        <w:ind w:firstLine="640"/>
        <w:jc w:val="both"/>
        <w:rPr>
          <w:rFonts w:hint="eastAsia" w:ascii="黑体" w:hAnsi="黑体"/>
          <w:bCs/>
          <w:color w:val="auto"/>
        </w:rPr>
      </w:pPr>
      <w:bookmarkStart w:id="2" w:name="_Toc24135"/>
      <w:r>
        <w:rPr>
          <w:rFonts w:hint="eastAsia" w:ascii="黑体" w:hAnsi="黑体"/>
          <w:bCs/>
          <w:color w:val="auto"/>
        </w:rPr>
        <w:t>一、基本情况</w:t>
      </w:r>
      <w:bookmarkEnd w:id="1"/>
      <w:bookmarkEnd w:id="2"/>
    </w:p>
    <w:p>
      <w:pPr>
        <w:pStyle w:val="3"/>
        <w:pageBreakBefore w:val="0"/>
        <w:numPr>
          <w:ilvl w:val="0"/>
          <w:numId w:val="1"/>
        </w:numPr>
        <w:kinsoku/>
        <w:wordWrap/>
        <w:overflowPunct/>
        <w:topLinePunct w:val="0"/>
        <w:bidi w:val="0"/>
        <w:spacing w:before="0" w:after="0" w:line="360" w:lineRule="auto"/>
        <w:ind w:firstLine="642" w:firstLineChars="200"/>
        <w:rPr>
          <w:rFonts w:hint="eastAsia" w:ascii="Calibri" w:hAnsi="宋体" w:eastAsia="楷体_GB2312" w:cs="Times New Roman"/>
          <w:b/>
          <w:bCs/>
          <w:color w:val="auto"/>
          <w:kern w:val="44"/>
          <w:sz w:val="32"/>
          <w:szCs w:val="44"/>
          <w:lang w:val="en-US" w:eastAsia="zh-CN" w:bidi="ar-SA"/>
        </w:rPr>
      </w:pPr>
      <w:bookmarkStart w:id="3" w:name="_Toc5008"/>
      <w:r>
        <w:rPr>
          <w:rFonts w:hint="eastAsia" w:ascii="Calibri" w:hAnsi="宋体" w:eastAsia="楷体_GB2312" w:cs="Times New Roman"/>
          <w:b/>
          <w:bCs/>
          <w:color w:val="auto"/>
          <w:kern w:val="44"/>
          <w:sz w:val="32"/>
          <w:szCs w:val="44"/>
          <w:lang w:val="en-US" w:eastAsia="zh-CN" w:bidi="ar-SA"/>
        </w:rPr>
        <w:t>资金安排情况</w:t>
      </w:r>
      <w:bookmarkEnd w:id="3"/>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1.为妥善解决离岗基层老兽医生活困难问题，根据省政府常务会议决定和《广东省农业农村厅 广东省财政厅 广东省人力资源和社会保障厅关于印发</w:t>
      </w:r>
      <w:r>
        <w:rPr>
          <w:rFonts w:hint="eastAsia" w:ascii="仿宋_GB2312" w:eastAsia="仿宋_GB2312"/>
          <w:color w:val="auto"/>
          <w:sz w:val="32"/>
          <w:highlight w:val="none"/>
        </w:rPr>
        <w:t>〈</w:t>
      </w:r>
      <w:r>
        <w:rPr>
          <w:rFonts w:hint="eastAsia" w:ascii="仿宋_GB2312" w:hAnsi="仿宋_GB2312" w:eastAsia="仿宋_GB2312" w:cs="仿宋_GB2312"/>
          <w:sz w:val="32"/>
          <w:szCs w:val="32"/>
          <w:lang w:val="en-US" w:eastAsia="zh-CN"/>
        </w:rPr>
        <w:t>广东省离岗基层老兽医补助工作方案</w:t>
      </w:r>
      <w:r>
        <w:rPr>
          <w:rFonts w:hint="eastAsia" w:ascii="仿宋_GB2312" w:eastAsia="仿宋_GB2312"/>
          <w:color w:val="auto"/>
          <w:sz w:val="32"/>
          <w:highlight w:val="none"/>
        </w:rPr>
        <w:t>〉</w:t>
      </w:r>
      <w:r>
        <w:rPr>
          <w:rFonts w:hint="eastAsia" w:ascii="仿宋_GB2312" w:hAnsi="仿宋_GB2312" w:eastAsia="仿宋_GB2312" w:cs="仿宋_GB2312"/>
          <w:sz w:val="32"/>
          <w:szCs w:val="32"/>
          <w:lang w:val="en-US" w:eastAsia="zh-CN"/>
        </w:rPr>
        <w:t>的通知》（粤农农〔2019〕325号）文件精神，2020年起，省财政每年固定安排离岗基层老兽医补助资金6600万元，按因素法分配下达给粤东西北14个市以及江门市的恩平市、开平市、台山市（以下简称非珠三角地区），因人数变化造成的资金余缺由市县统筹解决。其他地区所需资金由当地财政负担，市县分担比例由地级以上市政府确定。2020年专项资金分配情况详见表1-1。</w:t>
      </w:r>
    </w:p>
    <w:p>
      <w:pPr>
        <w:pStyle w:val="13"/>
        <w:rPr>
          <w:rFonts w:hint="eastAsia"/>
          <w:lang w:val="en-US" w:eastAsia="zh-CN"/>
        </w:rPr>
      </w:pPr>
    </w:p>
    <w:p>
      <w:pPr>
        <w:pStyle w:val="13"/>
        <w:jc w:val="center"/>
        <w:rPr>
          <w:rFonts w:hint="eastAsia"/>
          <w:lang w:val="en-US" w:eastAsia="zh-CN"/>
        </w:rPr>
      </w:pPr>
      <w:r>
        <w:rPr>
          <w:rFonts w:hint="eastAsia" w:ascii="黑体" w:hAnsi="黑体" w:eastAsia="黑体" w:cs="黑体"/>
          <w:b w:val="0"/>
          <w:bCs w:val="0"/>
          <w:i w:val="0"/>
          <w:color w:val="000000"/>
          <w:kern w:val="0"/>
          <w:sz w:val="28"/>
          <w:szCs w:val="28"/>
          <w:u w:val="none"/>
          <w:lang w:val="en-US" w:eastAsia="zh-CN" w:bidi="ar"/>
        </w:rPr>
        <w:t>表1-1 2020年离岗基层老兽医补助省级资金分配情况表</w:t>
      </w:r>
    </w:p>
    <w:tbl>
      <w:tblPr>
        <w:tblStyle w:val="15"/>
        <w:tblW w:w="7699" w:type="dxa"/>
        <w:jc w:val="center"/>
        <w:shd w:val="clear" w:color="auto" w:fill="auto"/>
        <w:tblLayout w:type="autofit"/>
        <w:tblCellMar>
          <w:top w:w="0" w:type="dxa"/>
          <w:left w:w="0" w:type="dxa"/>
          <w:bottom w:w="0" w:type="dxa"/>
          <w:right w:w="0" w:type="dxa"/>
        </w:tblCellMar>
      </w:tblPr>
      <w:tblGrid>
        <w:gridCol w:w="1298"/>
        <w:gridCol w:w="3539"/>
        <w:gridCol w:w="2862"/>
      </w:tblGrid>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35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地市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金额（万元）</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汕头市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283</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韶关市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374</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河源市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608</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梅州市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840</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惠州市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446</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汕尾市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276</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江门市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212</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阳江市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167</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湛江市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740</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茂名市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641</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肇庆市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418</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清远市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388</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潮州市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418</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揭阳市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635</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35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云浮市</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154</w:t>
            </w:r>
          </w:p>
        </w:tc>
      </w:tr>
      <w:tr>
        <w:tblPrEx>
          <w:tblCellMar>
            <w:top w:w="0" w:type="dxa"/>
            <w:left w:w="0" w:type="dxa"/>
            <w:bottom w:w="0" w:type="dxa"/>
            <w:right w:w="0" w:type="dxa"/>
          </w:tblCellMar>
        </w:tblPrEx>
        <w:trPr>
          <w:trHeight w:val="31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合计</w:t>
            </w:r>
          </w:p>
        </w:tc>
        <w:tc>
          <w:tcPr>
            <w:tcW w:w="35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6600</w:t>
            </w:r>
          </w:p>
        </w:tc>
      </w:tr>
    </w:tbl>
    <w:p>
      <w:pPr>
        <w:numPr>
          <w:ilvl w:val="0"/>
          <w:numId w:val="0"/>
        </w:numPr>
        <w:ind w:firstLine="642" w:firstLineChars="200"/>
        <w:rPr>
          <w:rFonts w:hint="eastAsia" w:ascii="仿宋_GB2312" w:hAnsi="仿宋_GB2312" w:eastAsia="仿宋_GB2312" w:cs="仿宋_GB2312"/>
          <w:b/>
          <w:bCs/>
          <w:sz w:val="32"/>
          <w:szCs w:val="32"/>
          <w:lang w:val="en-US" w:eastAsia="zh-CN"/>
        </w:rPr>
      </w:pPr>
    </w:p>
    <w:p>
      <w:pPr>
        <w:numPr>
          <w:ilvl w:val="0"/>
          <w:numId w:val="0"/>
        </w:numPr>
        <w:ind w:firstLine="642"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2.补助对象。</w:t>
      </w:r>
    </w:p>
    <w:p>
      <w:pPr>
        <w:numPr>
          <w:ilvl w:val="0"/>
          <w:numId w:val="0"/>
        </w:numPr>
        <w:ind w:firstLine="640" w:firstLineChars="200"/>
        <w:rPr>
          <w:rFonts w:hint="eastAsia"/>
          <w:lang w:eastAsia="zh-CN"/>
        </w:rPr>
      </w:pPr>
      <w:r>
        <w:rPr>
          <w:rFonts w:hint="eastAsia" w:ascii="仿宋_GB2312" w:hAnsi="仿宋_GB2312" w:eastAsia="仿宋_GB2312" w:cs="仿宋_GB2312"/>
          <w:sz w:val="32"/>
          <w:szCs w:val="32"/>
          <w:lang w:val="en-US" w:eastAsia="zh-CN"/>
        </w:rPr>
        <w:t>现为广东户籍。1949年10月1日至2007年12月31日期间，由乡镇（公社）、村（大队、农场、管理区）等委派（雇佣、指定等），在乡镇（公社）、行政村（自然村）、生产队、农场、管理区等区域承担兽医公益服务工作的基层兽医人员，离开岗位后未被国家机关、事业单位录用为编制内人员或国有企业录用为正式工作人员。截至2019年12月31日，男性年龄满60周岁、女性年龄满55周岁可申请补助。</w:t>
      </w:r>
    </w:p>
    <w:p>
      <w:pPr>
        <w:pStyle w:val="3"/>
        <w:pageBreakBefore w:val="0"/>
        <w:numPr>
          <w:ilvl w:val="0"/>
          <w:numId w:val="1"/>
        </w:numPr>
        <w:kinsoku/>
        <w:wordWrap/>
        <w:overflowPunct/>
        <w:topLinePunct w:val="0"/>
        <w:bidi w:val="0"/>
        <w:spacing w:before="0" w:after="0" w:line="360" w:lineRule="auto"/>
        <w:ind w:left="0" w:leftChars="0" w:firstLine="642" w:firstLineChars="200"/>
        <w:rPr>
          <w:rFonts w:hint="eastAsia" w:ascii="Calibri" w:hAnsi="宋体" w:eastAsia="楷体_GB2312" w:cs="Times New Roman"/>
          <w:b/>
          <w:bCs/>
          <w:color w:val="auto"/>
          <w:kern w:val="44"/>
          <w:sz w:val="32"/>
          <w:szCs w:val="44"/>
          <w:lang w:val="en-US" w:eastAsia="zh-CN" w:bidi="ar-SA"/>
        </w:rPr>
      </w:pPr>
      <w:bookmarkStart w:id="4" w:name="_Toc4790"/>
      <w:r>
        <w:rPr>
          <w:rFonts w:hint="eastAsia" w:ascii="Calibri" w:hAnsi="宋体" w:eastAsia="楷体_GB2312" w:cs="Times New Roman"/>
          <w:b/>
          <w:bCs/>
          <w:color w:val="auto"/>
          <w:kern w:val="44"/>
          <w:sz w:val="32"/>
          <w:szCs w:val="44"/>
          <w:lang w:val="en-US" w:eastAsia="zh-CN" w:bidi="ar-SA"/>
        </w:rPr>
        <w:t>资金分配方式和实施程序</w:t>
      </w:r>
      <w:bookmarkEnd w:id="4"/>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省级补助资金分配方式为因素法，以各地离岗基层老兽医统计数量和工作年限等为因素予以分配。</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具体方式：按照工作年限超过30年的，每人每月补助900元；工作年限20-29年的，每人每月补助800元；工作年限</w:t>
      </w:r>
      <w:r>
        <w:rPr>
          <w:rFonts w:hint="default"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19年的</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每人每月补助700元的标准</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算出所有非珠</w:t>
      </w:r>
      <w:r>
        <w:rPr>
          <w:rFonts w:hint="eastAsia" w:ascii="仿宋_GB2312" w:hAnsi="仿宋_GB2312" w:eastAsia="仿宋_GB2312" w:cs="仿宋_GB2312"/>
          <w:sz w:val="32"/>
          <w:szCs w:val="32"/>
          <w:lang w:val="en-US" w:eastAsia="zh-CN"/>
        </w:rPr>
        <w:t>三角地区</w:t>
      </w:r>
      <w:r>
        <w:rPr>
          <w:rFonts w:hint="default" w:ascii="仿宋_GB2312" w:hAnsi="仿宋_GB2312" w:eastAsia="仿宋_GB2312" w:cs="仿宋_GB2312"/>
          <w:sz w:val="32"/>
          <w:szCs w:val="32"/>
          <w:lang w:val="en-US" w:eastAsia="zh-CN"/>
        </w:rPr>
        <w:t>及各市10年以上离岗基层老兽医每年所需补助资金，按照某市分配资金</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某市所需资金</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所有非珠</w:t>
      </w:r>
      <w:r>
        <w:rPr>
          <w:rFonts w:hint="eastAsia" w:ascii="仿宋_GB2312" w:hAnsi="仿宋_GB2312" w:eastAsia="仿宋_GB2312" w:cs="仿宋_GB2312"/>
          <w:sz w:val="32"/>
          <w:szCs w:val="32"/>
          <w:lang w:val="en-US" w:eastAsia="zh-CN"/>
        </w:rPr>
        <w:t>三角地区</w:t>
      </w:r>
      <w:r>
        <w:rPr>
          <w:rFonts w:hint="default" w:ascii="仿宋_GB2312" w:hAnsi="仿宋_GB2312" w:eastAsia="仿宋_GB2312" w:cs="仿宋_GB2312"/>
          <w:sz w:val="32"/>
          <w:szCs w:val="32"/>
          <w:lang w:val="en-US" w:eastAsia="zh-CN"/>
        </w:rPr>
        <w:t>所需资金</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6600万元的公式算出各市分配资金。</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w:t>
      </w:r>
      <w:r>
        <w:rPr>
          <w:rFonts w:hint="default" w:ascii="仿宋_GB2312" w:hAnsi="仿宋_GB2312" w:eastAsia="仿宋_GB2312" w:cs="仿宋_GB2312"/>
          <w:sz w:val="32"/>
          <w:szCs w:val="32"/>
          <w:lang w:val="en-US" w:eastAsia="zh-CN"/>
        </w:rPr>
        <w:t>公式如下：某地实际分配资金（万元）=</w:t>
      </w:r>
      <w:r>
        <w:rPr>
          <w:rFonts w:hint="eastAsia" w:ascii="仿宋_GB2312" w:eastAsia="仿宋_GB2312"/>
          <w:color w:val="auto"/>
          <w:sz w:val="32"/>
          <w:highlight w:val="none"/>
        </w:rPr>
        <w:t>〔</w:t>
      </w:r>
      <w:r>
        <w:rPr>
          <w:rFonts w:hint="default" w:ascii="仿宋_GB2312" w:hAnsi="仿宋_GB2312" w:eastAsia="仿宋_GB2312" w:cs="仿宋_GB2312"/>
          <w:sz w:val="32"/>
          <w:szCs w:val="32"/>
          <w:lang w:val="en-US" w:eastAsia="zh-CN"/>
        </w:rPr>
        <w:t>（10-19年离岗基层老兽医人数*0.07*12）+（20至29年离岗基层人数医数量*0.08*12）+（30年以上离岗基层老兽医人数*0.09*12）</w:t>
      </w:r>
      <w:r>
        <w:rPr>
          <w:rFonts w:hint="eastAsia" w:ascii="仿宋_GB2312" w:eastAsia="仿宋_GB2312"/>
          <w:color w:val="auto"/>
          <w:sz w:val="32"/>
          <w:highlight w:val="none"/>
        </w:rPr>
        <w:t>〕</w:t>
      </w:r>
      <w:r>
        <w:rPr>
          <w:rFonts w:hint="default" w:ascii="仿宋_GB2312" w:hAnsi="仿宋_GB2312" w:eastAsia="仿宋_GB2312" w:cs="仿宋_GB2312"/>
          <w:sz w:val="32"/>
          <w:szCs w:val="32"/>
          <w:lang w:val="en-US" w:eastAsia="zh-CN"/>
        </w:rPr>
        <w:t>/全省非珠三角地区离岗老兽医补助资金实际需求量*6600。</w:t>
      </w:r>
    </w:p>
    <w:p>
      <w:pPr>
        <w:numPr>
          <w:ilvl w:val="0"/>
          <w:numId w:val="0"/>
        </w:numPr>
        <w:ind w:firstLine="640" w:firstLineChars="200"/>
        <w:rPr>
          <w:rFonts w:hint="eastAsia"/>
          <w:lang w:val="en-US" w:eastAsia="zh-CN"/>
        </w:rPr>
      </w:pPr>
      <w:r>
        <w:rPr>
          <w:rFonts w:hint="eastAsia" w:ascii="仿宋_GB2312" w:hAnsi="仿宋_GB2312" w:eastAsia="仿宋_GB2312" w:cs="仿宋_GB2312"/>
          <w:sz w:val="32"/>
          <w:szCs w:val="32"/>
          <w:lang w:val="en-US" w:eastAsia="zh-CN"/>
        </w:rPr>
        <w:t>省、市财政部门将本级承担的离岗基层老兽医生活困难补</w:t>
      </w:r>
      <w:r>
        <w:rPr>
          <w:rFonts w:hint="eastAsia" w:ascii="仿宋_GB2312" w:hAnsi="Times New Roman" w:eastAsia="仿宋_GB2312" w:cs="Times New Roman"/>
          <w:color w:val="auto"/>
          <w:sz w:val="32"/>
          <w:szCs w:val="32"/>
          <w:highlight w:val="none"/>
          <w:lang w:val="en-US" w:eastAsia="zh-CN"/>
        </w:rPr>
        <w:t>助金划至县级财政部门，县级财政部门将省、市下拨的资金和本级承担的资金一并委托银行（含农村信用社）或镇（乡）财政所直接支付给离岗基层老兽医。</w:t>
      </w:r>
    </w:p>
    <w:p>
      <w:pPr>
        <w:pageBreakBefore w:val="0"/>
        <w:numPr>
          <w:ilvl w:val="0"/>
          <w:numId w:val="1"/>
        </w:numPr>
        <w:kinsoku/>
        <w:wordWrap/>
        <w:overflowPunct/>
        <w:topLinePunct w:val="0"/>
        <w:bidi w:val="0"/>
        <w:snapToGrid/>
        <w:spacing w:beforeLines="0" w:afterLines="0" w:line="360" w:lineRule="auto"/>
        <w:ind w:left="0" w:leftChars="0" w:firstLine="642" w:firstLineChars="200"/>
        <w:rPr>
          <w:rFonts w:hint="eastAsia" w:ascii="楷体_GB2312" w:hAnsi="宋体" w:eastAsia="楷体_GB2312"/>
          <w:b/>
          <w:bCs/>
          <w:color w:val="auto"/>
          <w:kern w:val="0"/>
          <w:sz w:val="32"/>
          <w:szCs w:val="32"/>
        </w:rPr>
      </w:pPr>
      <w:r>
        <w:rPr>
          <w:rFonts w:hint="eastAsia" w:ascii="楷体_GB2312" w:hAnsi="宋体" w:eastAsia="楷体_GB2312"/>
          <w:b/>
          <w:bCs/>
          <w:color w:val="auto"/>
          <w:kern w:val="0"/>
          <w:sz w:val="32"/>
          <w:szCs w:val="32"/>
        </w:rPr>
        <w:t>主要用途</w:t>
      </w:r>
    </w:p>
    <w:p>
      <w:pPr>
        <w:pStyle w:val="13"/>
        <w:keepNext w:val="0"/>
        <w:keepLines w:val="0"/>
        <w:pageBreakBefore w:val="0"/>
        <w:widowControl w:val="0"/>
        <w:kinsoku/>
        <w:wordWrap/>
        <w:overflowPunct/>
        <w:topLinePunct w:val="0"/>
        <w:autoSpaceDE/>
        <w:autoSpaceDN/>
        <w:bidi w:val="0"/>
        <w:adjustRightInd/>
        <w:snapToGrid/>
        <w:ind w:left="105" w:leftChars="50" w:firstLine="640" w:firstLineChars="200"/>
        <w:jc w:val="left"/>
        <w:textAlignment w:val="auto"/>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此项资金的主要用途是给非珠三角地区离岗基层老兽医发放生活困难补助。</w:t>
      </w:r>
    </w:p>
    <w:p>
      <w:pPr>
        <w:pStyle w:val="3"/>
        <w:pageBreakBefore w:val="0"/>
        <w:numPr>
          <w:ilvl w:val="0"/>
          <w:numId w:val="1"/>
        </w:numPr>
        <w:kinsoku/>
        <w:wordWrap/>
        <w:overflowPunct/>
        <w:topLinePunct w:val="0"/>
        <w:bidi w:val="0"/>
        <w:spacing w:before="0" w:after="0" w:line="360" w:lineRule="auto"/>
        <w:ind w:left="0" w:leftChars="0" w:firstLine="642" w:firstLineChars="200"/>
        <w:rPr>
          <w:rFonts w:hint="eastAsia" w:ascii="楷体_GB2312" w:hAnsi="宋体" w:eastAsia="楷体_GB2312"/>
          <w:b w:val="0"/>
          <w:bCs w:val="0"/>
          <w:color w:val="auto"/>
          <w:kern w:val="0"/>
          <w:sz w:val="32"/>
          <w:szCs w:val="32"/>
        </w:rPr>
      </w:pPr>
      <w:bookmarkStart w:id="5" w:name="_Toc31796"/>
      <w:r>
        <w:rPr>
          <w:rFonts w:hint="eastAsia" w:ascii="楷体_GB2312" w:hAnsi="宋体" w:eastAsia="楷体_GB2312"/>
          <w:b/>
          <w:bCs/>
          <w:color w:val="auto"/>
          <w:kern w:val="0"/>
          <w:sz w:val="32"/>
          <w:szCs w:val="32"/>
        </w:rPr>
        <w:t>绩效目标</w:t>
      </w:r>
      <w:bookmarkEnd w:id="5"/>
    </w:p>
    <w:p>
      <w:pPr>
        <w:ind w:firstLine="640" w:firstLineChars="200"/>
        <w:rPr>
          <w:rFonts w:hint="default" w:ascii="仿宋_GB2312" w:eastAsia="仿宋_GB2312" w:cs="Times New Roman"/>
          <w:color w:val="auto"/>
          <w:kern w:val="0"/>
          <w:sz w:val="32"/>
          <w:szCs w:val="32"/>
          <w:highlight w:val="none"/>
          <w:lang w:val="en-US" w:eastAsia="zh-CN" w:bidi="ar-SA"/>
        </w:rPr>
      </w:pPr>
      <w:r>
        <w:rPr>
          <w:rFonts w:hint="eastAsia" w:ascii="仿宋_GB2312" w:hAnsi="Times New Roman" w:eastAsia="仿宋_GB2312" w:cs="Times New Roman"/>
          <w:color w:val="auto"/>
          <w:kern w:val="0"/>
          <w:sz w:val="32"/>
          <w:szCs w:val="32"/>
          <w:highlight w:val="none"/>
          <w:lang w:val="en-US" w:eastAsia="zh-CN" w:bidi="ar-SA"/>
        </w:rPr>
        <w:t>2020年离岗基层老兽医补助省级资金的绩效目标</w:t>
      </w:r>
      <w:r>
        <w:rPr>
          <w:rFonts w:hint="eastAsia" w:ascii="仿宋_GB2312" w:eastAsia="仿宋_GB2312" w:cs="Times New Roman"/>
          <w:color w:val="auto"/>
          <w:kern w:val="0"/>
          <w:sz w:val="32"/>
          <w:szCs w:val="32"/>
          <w:highlight w:val="none"/>
          <w:lang w:val="en-US" w:eastAsia="zh-CN" w:bidi="ar-SA"/>
        </w:rPr>
        <w:t>为确保离岗基层老兽医省级补贴资金按时足额下拨，并按规定及时将补助资金发放至符合条件的离岗基层老兽医。</w:t>
      </w:r>
    </w:p>
    <w:p>
      <w:pPr>
        <w:pStyle w:val="14"/>
        <w:pageBreakBefore w:val="0"/>
        <w:kinsoku/>
        <w:wordWrap/>
        <w:overflowPunct/>
        <w:topLinePunct w:val="0"/>
        <w:bidi w:val="0"/>
        <w:spacing w:before="0" w:after="0" w:line="360" w:lineRule="auto"/>
        <w:ind w:firstLine="640"/>
        <w:jc w:val="both"/>
        <w:rPr>
          <w:rFonts w:ascii="黑体" w:hAnsi="黑体"/>
          <w:bCs/>
          <w:color w:val="auto"/>
        </w:rPr>
      </w:pPr>
      <w:bookmarkStart w:id="6" w:name="_Toc32538"/>
      <w:bookmarkStart w:id="7" w:name="_Toc42021430"/>
      <w:r>
        <w:rPr>
          <w:rFonts w:hint="eastAsia" w:ascii="黑体" w:hAnsi="黑体"/>
          <w:bCs/>
          <w:color w:val="auto"/>
        </w:rPr>
        <w:t>二、自评情况</w:t>
      </w:r>
      <w:bookmarkEnd w:id="6"/>
      <w:bookmarkEnd w:id="7"/>
    </w:p>
    <w:p>
      <w:pPr>
        <w:pStyle w:val="3"/>
        <w:pageBreakBefore w:val="0"/>
        <w:kinsoku/>
        <w:wordWrap/>
        <w:overflowPunct/>
        <w:topLinePunct w:val="0"/>
        <w:bidi w:val="0"/>
        <w:spacing w:before="0" w:after="0" w:line="360" w:lineRule="auto"/>
        <w:ind w:firstLine="642" w:firstLineChars="200"/>
        <w:rPr>
          <w:rFonts w:hint="eastAsia" w:ascii="Calibri" w:hAnsi="宋体"/>
          <w:color w:val="auto"/>
        </w:rPr>
      </w:pPr>
      <w:bookmarkStart w:id="8" w:name="_Toc42021431"/>
      <w:bookmarkStart w:id="9" w:name="_Toc7091"/>
      <w:r>
        <w:rPr>
          <w:rFonts w:hint="eastAsia" w:ascii="Calibri" w:hAnsi="宋体"/>
          <w:color w:val="auto"/>
        </w:rPr>
        <w:t>（一）自评分数</w:t>
      </w:r>
      <w:bookmarkEnd w:id="8"/>
      <w:bookmarkEnd w:id="9"/>
      <w:bookmarkStart w:id="10" w:name="_Toc42021432"/>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综合分析2020年离岗基层老兽医补助省级资金项目的投入、过程、产出和效益，专项资金项目基本完成了预期目标任务，取得了较好成效。根据对有关地市自评材料的审核分析，综合项目实施的情况，按照既定的评价指标体系，专项资金使用绩效自评分数为96.62分，绩效等级为“优”（一级指标自评得分情况见表2-1。）</w:t>
      </w: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表2-1 一级指标评价得分情况表</w:t>
      </w:r>
    </w:p>
    <w:tbl>
      <w:tblPr>
        <w:tblStyle w:val="15"/>
        <w:tblW w:w="845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1732"/>
        <w:gridCol w:w="1947"/>
        <w:gridCol w:w="19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一级指标（评价因素）</w:t>
            </w:r>
          </w:p>
        </w:tc>
        <w:tc>
          <w:tcPr>
            <w:tcW w:w="1732"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分值</w:t>
            </w:r>
          </w:p>
        </w:tc>
        <w:tc>
          <w:tcPr>
            <w:tcW w:w="1947"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w:t>
            </w:r>
          </w:p>
        </w:tc>
        <w:tc>
          <w:tcPr>
            <w:tcW w:w="1949" w:type="dxa"/>
            <w:tcBorders>
              <w:righ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总得分</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bCs/>
                <w:color w:val="auto"/>
                <w:sz w:val="24"/>
                <w:szCs w:val="24"/>
                <w:highlight w:val="none"/>
              </w:rPr>
            </w:pPr>
            <w:r>
              <w:rPr>
                <w:rFonts w:hint="eastAsia" w:ascii="宋体" w:hAnsi="宋体" w:eastAsia="宋体" w:cs="宋体"/>
                <w:b/>
                <w:bCs/>
                <w:i w:val="0"/>
                <w:color w:val="000000"/>
                <w:kern w:val="0"/>
                <w:sz w:val="24"/>
                <w:szCs w:val="24"/>
                <w:u w:val="none"/>
                <w:lang w:val="en-US" w:eastAsia="zh-CN" w:bidi="ar"/>
              </w:rPr>
              <w:t>100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eastAsia="zh-CN"/>
              </w:rPr>
            </w:pPr>
            <w:r>
              <w:rPr>
                <w:rFonts w:hint="eastAsia" w:ascii="宋体" w:hAnsi="宋体" w:eastAsia="宋体" w:cs="宋体"/>
                <w:b/>
                <w:bCs/>
                <w:i w:val="0"/>
                <w:color w:val="000000"/>
                <w:kern w:val="0"/>
                <w:sz w:val="24"/>
                <w:szCs w:val="24"/>
                <w:u w:val="none"/>
                <w:lang w:val="en-US" w:eastAsia="zh-CN" w:bidi="ar"/>
              </w:rPr>
              <w:t xml:space="preserve">96.62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rPr>
            </w:pPr>
            <w:r>
              <w:rPr>
                <w:rFonts w:hint="eastAsia" w:ascii="宋体" w:hAnsi="宋体" w:eastAsia="宋体" w:cs="宋体"/>
                <w:b/>
                <w:bCs/>
                <w:i w:val="0"/>
                <w:color w:val="000000"/>
                <w:kern w:val="0"/>
                <w:sz w:val="24"/>
                <w:szCs w:val="24"/>
                <w:u w:val="none"/>
                <w:lang w:val="en-US" w:eastAsia="zh-CN" w:bidi="ar"/>
              </w:rPr>
              <w:t>96.62%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投入</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000000"/>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val="0"/>
                <w:bCs w:val="0"/>
                <w:color w:val="auto"/>
                <w:sz w:val="24"/>
                <w:szCs w:val="24"/>
                <w:highlight w:val="none"/>
                <w:lang w:val="en-US"/>
              </w:rPr>
            </w:pPr>
            <w:r>
              <w:rPr>
                <w:rFonts w:hint="eastAsia" w:ascii="宋体" w:hAnsi="宋体" w:eastAsia="宋体" w:cs="宋体"/>
                <w:i w:val="0"/>
                <w:color w:val="000000"/>
                <w:kern w:val="0"/>
                <w:sz w:val="24"/>
                <w:szCs w:val="24"/>
                <w:u w:val="none"/>
                <w:lang w:val="en-US" w:eastAsia="zh-CN" w:bidi="ar"/>
              </w:rPr>
              <w:t xml:space="preserve">19.20 </w:t>
            </w:r>
          </w:p>
        </w:tc>
        <w:tc>
          <w:tcPr>
            <w:tcW w:w="1949" w:type="dxa"/>
            <w:tcBorders>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000000"/>
                <w:kern w:val="0"/>
                <w:sz w:val="24"/>
                <w:szCs w:val="24"/>
                <w:u w:val="none"/>
                <w:lang w:val="en-US" w:eastAsia="zh-CN" w:bidi="ar"/>
              </w:rPr>
              <w:t>96.00%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过程</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000000"/>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000000"/>
                <w:kern w:val="0"/>
                <w:sz w:val="24"/>
                <w:szCs w:val="24"/>
                <w:u w:val="none"/>
                <w:lang w:val="en-US" w:eastAsia="zh-CN" w:bidi="ar"/>
              </w:rPr>
              <w:t xml:space="preserve">19.32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96.60%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产出</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000000"/>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000000"/>
                <w:kern w:val="0"/>
                <w:sz w:val="24"/>
                <w:szCs w:val="24"/>
                <w:u w:val="none"/>
                <w:lang w:val="en-US" w:eastAsia="zh-CN" w:bidi="ar"/>
              </w:rPr>
              <w:t xml:space="preserve">28.10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93.67%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效益</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000000"/>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000000"/>
                <w:kern w:val="0"/>
                <w:sz w:val="24"/>
                <w:szCs w:val="24"/>
                <w:u w:val="none"/>
                <w:lang w:val="en-US" w:eastAsia="zh-CN" w:bidi="ar"/>
              </w:rPr>
              <w:t xml:space="preserve">30.00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100.00%</w:t>
            </w:r>
          </w:p>
        </w:tc>
      </w:tr>
    </w:tbl>
    <w:p>
      <w:pPr>
        <w:keepNext w:val="0"/>
        <w:keepLines w:val="0"/>
        <w:pageBreakBefore w:val="0"/>
        <w:kinsoku/>
        <w:wordWrap/>
        <w:overflowPunct/>
        <w:topLinePunct w:val="0"/>
        <w:autoSpaceDE/>
        <w:autoSpaceDN/>
        <w:bidi w:val="0"/>
        <w:adjustRightInd/>
        <w:snapToGrid/>
        <w:spacing w:line="340" w:lineRule="exact"/>
        <w:jc w:val="center"/>
        <w:rPr>
          <w:color w:val="auto"/>
          <w:highlight w:val="none"/>
        </w:rPr>
      </w:pPr>
    </w:p>
    <w:p>
      <w:pPr>
        <w:pStyle w:val="13"/>
        <w:keepNext w:val="0"/>
        <w:keepLines w:val="0"/>
        <w:pageBreakBefore w:val="0"/>
        <w:widowControl w:val="0"/>
        <w:numPr>
          <w:ilvl w:val="0"/>
          <w:numId w:val="2"/>
        </w:numPr>
        <w:kinsoku/>
        <w:wordWrap/>
        <w:overflowPunct/>
        <w:topLinePunct w:val="0"/>
        <w:autoSpaceDE/>
        <w:autoSpaceDN/>
        <w:bidi w:val="0"/>
        <w:adjustRightInd/>
        <w:snapToGrid/>
        <w:ind w:left="0" w:leftChars="0" w:firstLine="642" w:firstLineChars="200"/>
        <w:textAlignment w:val="auto"/>
        <w:rPr>
          <w:rFonts w:hint="eastAsia" w:ascii="仿宋_GB2312" w:hAnsi="仿宋" w:eastAsia="仿宋_GB2312"/>
          <w:color w:val="auto"/>
          <w:sz w:val="32"/>
          <w:highlight w:val="none"/>
        </w:rPr>
      </w:pPr>
      <w:r>
        <w:rPr>
          <w:rFonts w:hint="eastAsia" w:ascii="仿宋_GB2312" w:eastAsia="仿宋_GB2312"/>
          <w:b/>
          <w:bCs/>
          <w:color w:val="auto"/>
          <w:sz w:val="32"/>
          <w:szCs w:val="32"/>
          <w:highlight w:val="none"/>
        </w:rPr>
        <w:t>投入</w:t>
      </w:r>
      <w:r>
        <w:rPr>
          <w:rFonts w:hint="eastAsia" w:ascii="仿宋_GB2312" w:eastAsia="仿宋_GB2312"/>
          <w:b/>
          <w:bCs/>
          <w:color w:val="auto"/>
          <w:sz w:val="32"/>
          <w:szCs w:val="32"/>
          <w:highlight w:val="none"/>
          <w:lang w:eastAsia="zh-CN"/>
        </w:rPr>
        <w:t>。</w:t>
      </w:r>
      <w:r>
        <w:rPr>
          <w:rFonts w:hint="eastAsia" w:ascii="仿宋_GB2312" w:hAnsi="仿宋" w:eastAsia="仿宋_GB2312"/>
          <w:color w:val="auto"/>
          <w:sz w:val="32"/>
          <w:highlight w:val="none"/>
        </w:rPr>
        <w:t>该指标主要从项目立项和资金落实两个方面考察</w:t>
      </w:r>
      <w:r>
        <w:rPr>
          <w:rFonts w:hint="eastAsia" w:ascii="仿宋_GB2312" w:hAnsi="仿宋_GB2312" w:eastAsia="仿宋_GB2312" w:cs="仿宋_GB2312"/>
          <w:color w:val="auto"/>
          <w:sz w:val="32"/>
          <w:highlight w:val="none"/>
        </w:rPr>
        <w:t>项目论证的充分性，绩效目标的完整性、合理性和可衡量性，制度和计划上的保障措施，资金到位和分配情况</w:t>
      </w:r>
      <w:r>
        <w:rPr>
          <w:rFonts w:hint="eastAsia" w:ascii="仿宋_GB2312" w:hAnsi="仿宋" w:eastAsia="仿宋_GB2312"/>
          <w:color w:val="auto"/>
          <w:sz w:val="32"/>
          <w:highlight w:val="none"/>
        </w:rPr>
        <w:t>。指标分值20分，评价得分</w:t>
      </w:r>
      <w:r>
        <w:rPr>
          <w:rFonts w:hint="eastAsia" w:ascii="仿宋_GB2312" w:hAnsi="仿宋" w:eastAsia="仿宋_GB2312"/>
          <w:color w:val="auto"/>
          <w:sz w:val="32"/>
          <w:highlight w:val="none"/>
          <w:lang w:val="en-US" w:eastAsia="zh-CN"/>
        </w:rPr>
        <w:t>19.20</w:t>
      </w:r>
      <w:r>
        <w:rPr>
          <w:rFonts w:hint="eastAsia" w:ascii="仿宋_GB2312" w:hAnsi="仿宋" w:eastAsia="仿宋_GB2312"/>
          <w:color w:val="auto"/>
          <w:sz w:val="32"/>
          <w:highlight w:val="none"/>
        </w:rPr>
        <w:t>分，得分率为</w:t>
      </w:r>
      <w:r>
        <w:rPr>
          <w:rFonts w:hint="eastAsia" w:ascii="仿宋_GB2312" w:hAnsi="仿宋" w:eastAsia="仿宋_GB2312"/>
          <w:color w:val="auto"/>
          <w:sz w:val="32"/>
          <w:highlight w:val="none"/>
          <w:lang w:val="en-US" w:eastAsia="zh-CN"/>
        </w:rPr>
        <w:t>96</w:t>
      </w:r>
      <w:r>
        <w:rPr>
          <w:rFonts w:hint="eastAsia" w:ascii="仿宋_GB2312" w:hAnsi="仿宋" w:eastAsia="仿宋_GB2312"/>
          <w:color w:val="auto"/>
          <w:sz w:val="32"/>
          <w:highlight w:val="none"/>
        </w:rPr>
        <w:t>%。</w:t>
      </w:r>
    </w:p>
    <w:bookmarkEnd w:id="10"/>
    <w:p>
      <w:pPr>
        <w:pageBreakBefore w:val="0"/>
        <w:widowControl/>
        <w:numPr>
          <w:ilvl w:val="0"/>
          <w:numId w:val="3"/>
        </w:numPr>
        <w:kinsoku/>
        <w:wordWrap/>
        <w:overflowPunct/>
        <w:topLinePunct w:val="0"/>
        <w:bidi w:val="0"/>
        <w:spacing w:before="0" w:after="0" w:line="360" w:lineRule="auto"/>
        <w:ind w:firstLine="640" w:firstLineChars="200"/>
        <w:jc w:val="both"/>
        <w:outlineLvl w:val="2"/>
        <w:rPr>
          <w:rFonts w:hint="eastAsia" w:ascii="仿宋_GB2312" w:hAnsi="仿宋_GB2312" w:eastAsia="仿宋_GB2312" w:cs="仿宋_GB2312"/>
          <w:color w:val="auto"/>
          <w:sz w:val="32"/>
          <w:highlight w:val="none"/>
        </w:rPr>
      </w:pPr>
      <w:bookmarkStart w:id="11" w:name="_Toc39921328"/>
      <w:bookmarkStart w:id="12" w:name="_Toc42020742"/>
      <w:bookmarkStart w:id="13" w:name="_Toc39323948"/>
      <w:bookmarkStart w:id="14" w:name="_Toc39324245"/>
      <w:bookmarkStart w:id="15" w:name="_Toc5399"/>
      <w:bookmarkStart w:id="16" w:name="_Toc41334547"/>
      <w:bookmarkStart w:id="17" w:name="_Toc42021433"/>
      <w:bookmarkStart w:id="18" w:name="_Toc42021444"/>
      <w:r>
        <w:rPr>
          <w:rFonts w:hint="eastAsia" w:ascii="仿宋_GB2312" w:hAnsi="仿宋" w:eastAsia="仿宋_GB2312"/>
          <w:b w:val="0"/>
          <w:color w:val="auto"/>
          <w:sz w:val="32"/>
          <w:highlight w:val="none"/>
          <w:lang w:eastAsia="zh-CN"/>
        </w:rPr>
        <w:t>论证决策。</w:t>
      </w:r>
      <w:bookmarkEnd w:id="11"/>
      <w:bookmarkEnd w:id="12"/>
      <w:bookmarkEnd w:id="13"/>
      <w:bookmarkEnd w:id="14"/>
      <w:bookmarkEnd w:id="15"/>
      <w:bookmarkEnd w:id="16"/>
      <w:bookmarkEnd w:id="17"/>
      <w:r>
        <w:rPr>
          <w:rFonts w:hint="eastAsia" w:ascii="仿宋_GB2312" w:hAnsi="仿宋" w:eastAsia="仿宋_GB2312" w:cs="Times New Roman"/>
          <w:color w:val="auto"/>
          <w:sz w:val="32"/>
          <w:highlight w:val="none"/>
        </w:rPr>
        <w:t>该指标分值4分，评价得分</w:t>
      </w:r>
      <w:r>
        <w:rPr>
          <w:rFonts w:hint="eastAsia" w:ascii="仿宋_GB2312" w:hAnsi="仿宋" w:eastAsia="仿宋_GB2312" w:cs="Times New Roman"/>
          <w:color w:val="auto"/>
          <w:sz w:val="32"/>
          <w:highlight w:val="none"/>
          <w:lang w:val="en-US" w:eastAsia="zh-CN"/>
        </w:rPr>
        <w:t>4</w:t>
      </w:r>
      <w:r>
        <w:rPr>
          <w:rFonts w:hint="eastAsia" w:ascii="仿宋_GB2312" w:hAnsi="仿宋" w:eastAsia="仿宋_GB2312" w:cs="Times New Roman"/>
          <w:color w:val="auto"/>
          <w:sz w:val="32"/>
          <w:highlight w:val="none"/>
        </w:rPr>
        <w:t>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eastAsia="zh-CN"/>
        </w:rPr>
        <w:t>专项资金</w:t>
      </w:r>
      <w:r>
        <w:rPr>
          <w:rFonts w:hint="eastAsia" w:ascii="仿宋_GB2312" w:hAnsi="仿宋_GB2312" w:eastAsia="仿宋_GB2312" w:cs="仿宋_GB2312"/>
          <w:sz w:val="32"/>
          <w:szCs w:val="32"/>
          <w:lang w:val="en-US" w:eastAsia="zh-CN"/>
        </w:rPr>
        <w:t>根据省政府常务会议决定和《广东省农业农村厅 广东省财政厅 广东省人力资源和社会保障厅关于印发</w:t>
      </w:r>
      <w:r>
        <w:rPr>
          <w:rFonts w:hint="eastAsia" w:ascii="仿宋_GB2312" w:eastAsia="仿宋_GB2312"/>
          <w:color w:val="auto"/>
          <w:sz w:val="32"/>
          <w:highlight w:val="none"/>
        </w:rPr>
        <w:t>〈</w:t>
      </w:r>
      <w:r>
        <w:rPr>
          <w:rFonts w:hint="eastAsia" w:ascii="仿宋_GB2312" w:hAnsi="仿宋_GB2312" w:eastAsia="仿宋_GB2312" w:cs="仿宋_GB2312"/>
          <w:sz w:val="32"/>
          <w:szCs w:val="32"/>
          <w:lang w:val="en-US" w:eastAsia="zh-CN"/>
        </w:rPr>
        <w:t>广东省离岗基层老兽医补助工作方案</w:t>
      </w:r>
      <w:r>
        <w:rPr>
          <w:rFonts w:hint="eastAsia" w:ascii="仿宋_GB2312" w:eastAsia="仿宋_GB2312"/>
          <w:color w:val="auto"/>
          <w:sz w:val="32"/>
          <w:highlight w:val="none"/>
        </w:rPr>
        <w:t>〉</w:t>
      </w:r>
      <w:r>
        <w:rPr>
          <w:rFonts w:hint="eastAsia" w:ascii="仿宋_GB2312" w:hAnsi="仿宋_GB2312" w:eastAsia="仿宋_GB2312" w:cs="仿宋_GB2312"/>
          <w:sz w:val="32"/>
          <w:szCs w:val="32"/>
          <w:lang w:val="en-US" w:eastAsia="zh-CN"/>
        </w:rPr>
        <w:t>的通知》（粤农农〔2019〕325号）设立，</w:t>
      </w:r>
      <w:r>
        <w:rPr>
          <w:rFonts w:hint="eastAsia" w:ascii="仿宋_GB2312" w:hAnsi="仿宋" w:eastAsia="仿宋_GB2312" w:cs="Times New Roman"/>
          <w:color w:val="auto"/>
          <w:sz w:val="32"/>
          <w:highlight w:val="none"/>
        </w:rPr>
        <w:t>用于</w:t>
      </w:r>
      <w:r>
        <w:rPr>
          <w:rFonts w:hint="eastAsia" w:ascii="仿宋_GB2312" w:hAnsi="仿宋" w:eastAsia="仿宋_GB2312" w:cs="Times New Roman"/>
          <w:color w:val="auto"/>
          <w:sz w:val="32"/>
          <w:highlight w:val="none"/>
          <w:lang w:val="en-US" w:eastAsia="zh-CN"/>
        </w:rPr>
        <w:t>给非珠三角地区离岗基层老兽医发放困难补助予以补贴</w:t>
      </w:r>
      <w:r>
        <w:rPr>
          <w:rFonts w:hint="eastAsia" w:ascii="仿宋_GB2312" w:hAnsi="仿宋" w:eastAsia="仿宋_GB2312" w:cs="Times New Roman"/>
          <w:color w:val="auto"/>
          <w:sz w:val="32"/>
          <w:highlight w:val="none"/>
        </w:rPr>
        <w:t>，</w:t>
      </w:r>
      <w:r>
        <w:rPr>
          <w:rFonts w:hint="eastAsia" w:ascii="仿宋_GB2312" w:hAnsi="仿宋_GB2312" w:eastAsia="仿宋_GB2312" w:cs="仿宋_GB2312"/>
          <w:color w:val="auto"/>
          <w:sz w:val="32"/>
          <w:highlight w:val="none"/>
          <w:lang w:val="en-US" w:eastAsia="zh-CN"/>
        </w:rPr>
        <w:t>专项</w:t>
      </w:r>
      <w:r>
        <w:rPr>
          <w:rFonts w:hint="eastAsia" w:ascii="仿宋_GB2312" w:hAnsi="仿宋_GB2312" w:eastAsia="仿宋_GB2312" w:cs="仿宋_GB2312"/>
          <w:color w:val="auto"/>
          <w:sz w:val="32"/>
          <w:highlight w:val="none"/>
        </w:rPr>
        <w:t>资金设立程序</w:t>
      </w:r>
      <w:r>
        <w:rPr>
          <w:rFonts w:hint="eastAsia" w:ascii="仿宋_GB2312" w:hAnsi="仿宋_GB2312" w:eastAsia="仿宋_GB2312" w:cs="仿宋_GB2312"/>
          <w:color w:val="auto"/>
          <w:sz w:val="32"/>
          <w:highlight w:val="none"/>
          <w:lang w:eastAsia="zh-CN"/>
        </w:rPr>
        <w:t>符合</w:t>
      </w:r>
      <w:r>
        <w:rPr>
          <w:rFonts w:hint="eastAsia" w:ascii="仿宋_GB2312" w:hAnsi="仿宋_GB2312" w:eastAsia="仿宋_GB2312" w:cs="仿宋_GB2312"/>
          <w:color w:val="auto"/>
          <w:sz w:val="32"/>
          <w:highlight w:val="none"/>
        </w:rPr>
        <w:t>省级财政预算</w:t>
      </w:r>
      <w:r>
        <w:rPr>
          <w:rFonts w:hint="eastAsia" w:ascii="仿宋_GB2312" w:hAnsi="仿宋_GB2312" w:eastAsia="仿宋_GB2312" w:cs="仿宋_GB2312"/>
          <w:color w:val="auto"/>
          <w:sz w:val="32"/>
          <w:highlight w:val="none"/>
          <w:lang w:eastAsia="zh-CN"/>
        </w:rPr>
        <w:t>管理规定，</w:t>
      </w:r>
      <w:r>
        <w:rPr>
          <w:rFonts w:hint="eastAsia" w:ascii="仿宋_GB2312" w:hAnsi="仿宋_GB2312" w:eastAsia="仿宋_GB2312" w:cs="仿宋_GB2312"/>
          <w:color w:val="auto"/>
          <w:sz w:val="32"/>
          <w:highlight w:val="none"/>
        </w:rPr>
        <w:t>总体上决策过程科学合理，前期论证比较充分，符合</w:t>
      </w:r>
      <w:r>
        <w:rPr>
          <w:rFonts w:hint="eastAsia" w:ascii="仿宋_GB2312" w:hAnsi="仿宋_GB2312" w:eastAsia="仿宋_GB2312" w:cs="仿宋_GB2312"/>
          <w:color w:val="auto"/>
          <w:sz w:val="32"/>
          <w:highlight w:val="none"/>
          <w:lang w:eastAsia="zh-CN"/>
        </w:rPr>
        <w:t>公共财政支出政策和支出方向</w:t>
      </w:r>
      <w:r>
        <w:rPr>
          <w:rFonts w:hint="eastAsia" w:ascii="仿宋_GB2312" w:hAnsi="仿宋_GB2312" w:eastAsia="仿宋_GB2312" w:cs="仿宋_GB2312"/>
          <w:color w:val="auto"/>
          <w:sz w:val="32"/>
          <w:highlight w:val="none"/>
        </w:rPr>
        <w:t>。</w:t>
      </w:r>
    </w:p>
    <w:p>
      <w:pPr>
        <w:pageBreakBefore w:val="0"/>
        <w:widowControl/>
        <w:numPr>
          <w:ilvl w:val="0"/>
          <w:numId w:val="3"/>
        </w:numPr>
        <w:kinsoku/>
        <w:wordWrap/>
        <w:overflowPunct/>
        <w:topLinePunct w:val="0"/>
        <w:bidi w:val="0"/>
        <w:spacing w:before="0" w:after="0" w:line="360" w:lineRule="auto"/>
        <w:ind w:left="0" w:leftChars="0" w:firstLine="640" w:firstLineChars="200"/>
        <w:jc w:val="both"/>
        <w:outlineLvl w:val="2"/>
        <w:rPr>
          <w:rFonts w:hint="eastAsia" w:ascii="仿宋_GB2312" w:hAnsi="仿宋" w:eastAsia="仿宋_GB2312" w:cs="Times New Roman"/>
          <w:color w:val="auto"/>
          <w:sz w:val="32"/>
          <w:highlight w:val="none"/>
          <w:lang w:val="en-US" w:eastAsia="zh-CN"/>
        </w:rPr>
      </w:pPr>
      <w:r>
        <w:rPr>
          <w:rFonts w:hint="eastAsia" w:ascii="仿宋_GB2312" w:hAnsi="仿宋" w:eastAsia="仿宋_GB2312"/>
          <w:b w:val="0"/>
          <w:color w:val="auto"/>
          <w:sz w:val="32"/>
          <w:highlight w:val="none"/>
        </w:rPr>
        <w:t>目标设置。</w:t>
      </w:r>
      <w:r>
        <w:rPr>
          <w:rFonts w:ascii="仿宋_GB2312" w:hAnsi="仿宋" w:eastAsia="仿宋_GB2312"/>
          <w:color w:val="auto"/>
          <w:sz w:val="32"/>
          <w:szCs w:val="32"/>
          <w:highlight w:val="none"/>
        </w:rPr>
        <w:t>该指标分值6分，评价得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5.70</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95</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专项资金设置了</w:t>
      </w:r>
      <w:r>
        <w:rPr>
          <w:rFonts w:hint="eastAsia" w:ascii="仿宋_GB2312" w:hAnsi="仿宋" w:eastAsia="仿宋_GB2312" w:cs="Times New Roman"/>
          <w:color w:val="auto"/>
          <w:sz w:val="32"/>
          <w:highlight w:val="none"/>
          <w:lang w:val="en-US" w:eastAsia="zh-CN"/>
        </w:rPr>
        <w:t>绩效目标，有关市县下达资金文件也有随文下达了</w:t>
      </w:r>
      <w:r>
        <w:rPr>
          <w:rFonts w:hint="eastAsia" w:ascii="仿宋_GB2312" w:hAnsi="仿宋" w:eastAsia="仿宋_GB2312" w:cs="Times New Roman"/>
          <w:color w:val="auto"/>
          <w:sz w:val="32"/>
          <w:highlight w:val="none"/>
        </w:rPr>
        <w:t>绩效目标。</w:t>
      </w:r>
      <w:r>
        <w:rPr>
          <w:rFonts w:hint="eastAsia" w:ascii="仿宋_GB2312" w:hAnsi="仿宋" w:eastAsia="仿宋_GB2312" w:cs="Times New Roman"/>
          <w:color w:val="auto"/>
          <w:sz w:val="32"/>
          <w:highlight w:val="none"/>
          <w:lang w:eastAsia="zh-CN"/>
        </w:rPr>
        <w:t>项目设置的</w:t>
      </w:r>
      <w:r>
        <w:rPr>
          <w:rFonts w:hint="eastAsia" w:ascii="仿宋_GB2312" w:hAnsi="仿宋" w:eastAsia="仿宋_GB2312" w:cs="Times New Roman"/>
          <w:color w:val="auto"/>
          <w:sz w:val="32"/>
          <w:highlight w:val="none"/>
          <w:lang w:val="en-US" w:eastAsia="zh-CN"/>
        </w:rPr>
        <w:t>绩效目标与资金属性特点、支出内容相关，能够体现决策意图，基本合乎客观实际。但是绩效目标参数不够清晰，项目未设置可衡量的指标，与“可量化、可评估”的要求存在一定差距。</w:t>
      </w:r>
    </w:p>
    <w:p>
      <w:pPr>
        <w:pageBreakBefore w:val="0"/>
        <w:widowControl/>
        <w:numPr>
          <w:ilvl w:val="0"/>
          <w:numId w:val="3"/>
        </w:numPr>
        <w:kinsoku/>
        <w:wordWrap/>
        <w:overflowPunct/>
        <w:topLinePunct w:val="0"/>
        <w:bidi w:val="0"/>
        <w:spacing w:before="0" w:after="0" w:line="360" w:lineRule="auto"/>
        <w:ind w:left="0" w:leftChars="0" w:firstLine="640" w:firstLineChars="200"/>
        <w:jc w:val="both"/>
        <w:outlineLvl w:val="2"/>
        <w:rPr>
          <w:rFonts w:hint="eastAsia" w:ascii="仿宋_GB2312" w:hAnsi="仿宋_GB2312" w:eastAsia="仿宋_GB2312" w:cs="Times New Roman"/>
          <w:color w:val="auto"/>
          <w:kern w:val="2"/>
          <w:sz w:val="32"/>
          <w:szCs w:val="32"/>
          <w:highlight w:val="none"/>
          <w:lang w:val="en-US" w:eastAsia="zh-CN" w:bidi="ar-SA"/>
        </w:rPr>
      </w:pPr>
      <w:r>
        <w:rPr>
          <w:rFonts w:hint="eastAsia" w:ascii="仿宋_GB2312" w:hAnsi="仿宋" w:eastAsia="仿宋_GB2312"/>
          <w:b w:val="0"/>
          <w:color w:val="auto"/>
          <w:sz w:val="32"/>
          <w:highlight w:val="none"/>
        </w:rPr>
        <w:t>保障措施。</w:t>
      </w:r>
      <w:r>
        <w:rPr>
          <w:rFonts w:ascii="仿宋_GB2312" w:hAnsi="仿宋" w:eastAsia="仿宋_GB2312"/>
          <w:color w:val="auto"/>
          <w:sz w:val="32"/>
          <w:szCs w:val="32"/>
          <w:highlight w:val="none"/>
        </w:rPr>
        <w:t>该指标分值2分，评价得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2</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rPr>
        <w:t>《广东省人民政府关于印发广东省省级财政专项资金管理办法（试行）的通知》（粤府〔2018〕120号）</w:t>
      </w:r>
      <w:r>
        <w:rPr>
          <w:rFonts w:hint="eastAsia" w:ascii="仿宋_GB2312" w:hAnsi="仿宋" w:eastAsia="仿宋_GB2312"/>
          <w:color w:val="auto"/>
          <w:sz w:val="32"/>
          <w:szCs w:val="32"/>
          <w:highlight w:val="none"/>
          <w:lang w:eastAsia="zh-CN"/>
        </w:rPr>
        <w:t>、《广东省离岗基层老兽医补助工作方案》（粤农农〔2019〕325号）、《关于进一步做好离岗基层老兽医补助政策实施工作的补充通知》（粤农农〔2019〕421号）、</w:t>
      </w:r>
      <w:r>
        <w:rPr>
          <w:rFonts w:hint="eastAsia" w:ascii="仿宋_GB2312" w:eastAsia="仿宋_GB2312"/>
          <w:color w:val="auto"/>
          <w:sz w:val="32"/>
          <w:highlight w:val="none"/>
        </w:rPr>
        <w:t>《关于印发〈广东省农业农村厅财政专项资金管理办法（试行）〉等管理制度的通知》（粤农办〔2018〕615号）</w:t>
      </w:r>
      <w:r>
        <w:rPr>
          <w:rFonts w:hint="eastAsia" w:ascii="仿宋_GB2312" w:hAnsi="仿宋" w:eastAsia="仿宋_GB2312"/>
          <w:color w:val="auto"/>
          <w:sz w:val="32"/>
          <w:szCs w:val="32"/>
          <w:highlight w:val="none"/>
          <w:lang w:eastAsia="zh-CN"/>
        </w:rPr>
        <w:t>等</w:t>
      </w:r>
      <w:r>
        <w:rPr>
          <w:rFonts w:hint="eastAsia" w:ascii="仿宋_GB2312" w:hAnsi="仿宋" w:eastAsia="仿宋_GB2312"/>
          <w:color w:val="auto"/>
          <w:sz w:val="32"/>
          <w:szCs w:val="32"/>
          <w:highlight w:val="none"/>
        </w:rPr>
        <w:t>文件</w:t>
      </w:r>
      <w:r>
        <w:rPr>
          <w:rFonts w:hint="eastAsia" w:ascii="仿宋_GB2312" w:hAnsi="仿宋_GB2312" w:eastAsia="仿宋_GB2312" w:cs="Times New Roman"/>
          <w:color w:val="auto"/>
          <w:kern w:val="2"/>
          <w:sz w:val="32"/>
          <w:szCs w:val="32"/>
          <w:highlight w:val="none"/>
          <w:lang w:val="en-US" w:eastAsia="zh-CN" w:bidi="ar-SA"/>
        </w:rPr>
        <w:t>能够为项目规范实施提供制度保障。</w:t>
      </w:r>
      <w:r>
        <w:rPr>
          <w:rFonts w:hint="eastAsia" w:ascii="仿宋_GB2312" w:hAnsi="仿宋" w:eastAsia="仿宋_GB2312"/>
          <w:color w:val="auto"/>
          <w:sz w:val="32"/>
          <w:szCs w:val="32"/>
          <w:highlight w:val="none"/>
          <w:lang w:eastAsia="zh-CN"/>
        </w:rPr>
        <w:t>有关市县按照</w:t>
      </w:r>
      <w:r>
        <w:rPr>
          <w:rFonts w:hint="eastAsia" w:ascii="仿宋_GB2312" w:hAnsi="仿宋" w:eastAsia="仿宋_GB2312"/>
          <w:color w:val="auto"/>
          <w:sz w:val="32"/>
          <w:szCs w:val="32"/>
          <w:highlight w:val="none"/>
          <w:lang w:val="en-US" w:eastAsia="zh-CN"/>
        </w:rPr>
        <w:t>上述文件</w:t>
      </w:r>
      <w:r>
        <w:rPr>
          <w:rFonts w:hint="eastAsia" w:ascii="仿宋_GB2312" w:hAnsi="仿宋_GB2312" w:eastAsia="仿宋_GB2312" w:cs="Times New Roman"/>
          <w:color w:val="auto"/>
          <w:kern w:val="2"/>
          <w:sz w:val="32"/>
          <w:szCs w:val="32"/>
          <w:highlight w:val="none"/>
          <w:lang w:val="en-US" w:eastAsia="zh-CN" w:bidi="ar-SA"/>
        </w:rPr>
        <w:t>下达的任务安排项目实施计划，工作安排比较合理。</w:t>
      </w:r>
    </w:p>
    <w:p>
      <w:pPr>
        <w:pageBreakBefore w:val="0"/>
        <w:widowControl/>
        <w:numPr>
          <w:ilvl w:val="0"/>
          <w:numId w:val="3"/>
        </w:numPr>
        <w:kinsoku/>
        <w:wordWrap/>
        <w:overflowPunct/>
        <w:topLinePunct w:val="0"/>
        <w:bidi w:val="0"/>
        <w:spacing w:before="0" w:after="0" w:line="360" w:lineRule="auto"/>
        <w:ind w:left="0" w:leftChars="0" w:firstLine="640" w:firstLineChars="200"/>
        <w:jc w:val="left"/>
        <w:outlineLvl w:val="2"/>
        <w:rPr>
          <w:rFonts w:hint="eastAsia" w:ascii="仿宋_GB2312" w:hAnsi="仿宋" w:eastAsia="仿宋_GB2312" w:cs="Times New Roman"/>
          <w:color w:val="auto"/>
          <w:kern w:val="2"/>
          <w:sz w:val="32"/>
          <w:szCs w:val="32"/>
          <w:highlight w:val="none"/>
          <w:lang w:val="en-US" w:eastAsia="zh-CN" w:bidi="ar-SA"/>
        </w:rPr>
      </w:pPr>
      <w:bookmarkStart w:id="19" w:name="_Toc39323951"/>
      <w:bookmarkStart w:id="20" w:name="_Toc39324248"/>
      <w:bookmarkStart w:id="21" w:name="_Toc524298183"/>
      <w:bookmarkStart w:id="22" w:name="_Toc42020743"/>
      <w:bookmarkStart w:id="23" w:name="_Toc41334548"/>
      <w:bookmarkStart w:id="24" w:name="_Toc39921331"/>
      <w:bookmarkStart w:id="25" w:name="_Toc42021434"/>
      <w:bookmarkStart w:id="26" w:name="_Toc3881"/>
      <w:r>
        <w:rPr>
          <w:rFonts w:hint="eastAsia" w:ascii="仿宋_GB2312" w:hAnsi="仿宋" w:eastAsia="仿宋_GB2312"/>
          <w:b w:val="0"/>
          <w:color w:val="auto"/>
          <w:sz w:val="32"/>
          <w:highlight w:val="none"/>
        </w:rPr>
        <w:t>资金到位</w:t>
      </w:r>
      <w:r>
        <w:rPr>
          <w:rFonts w:hint="eastAsia" w:ascii="仿宋_GB2312" w:hAnsi="仿宋" w:eastAsia="仿宋_GB2312" w:cs="Times New Roman"/>
          <w:color w:val="auto"/>
          <w:sz w:val="32"/>
          <w:highlight w:val="none"/>
          <w:lang w:val="en-US" w:eastAsia="zh-CN"/>
        </w:rPr>
        <w:t>。</w:t>
      </w:r>
      <w:bookmarkEnd w:id="19"/>
      <w:bookmarkEnd w:id="20"/>
      <w:bookmarkEnd w:id="21"/>
      <w:bookmarkEnd w:id="22"/>
      <w:bookmarkEnd w:id="23"/>
      <w:bookmarkEnd w:id="24"/>
      <w:bookmarkEnd w:id="25"/>
      <w:bookmarkEnd w:id="26"/>
      <w:r>
        <w:rPr>
          <w:rFonts w:ascii="仿宋_GB2312" w:hAnsi="仿宋" w:eastAsia="仿宋_GB2312"/>
          <w:color w:val="auto"/>
          <w:sz w:val="32"/>
          <w:szCs w:val="32"/>
          <w:highlight w:val="none"/>
        </w:rPr>
        <w:t>该指标分值5分，评价得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4.50</w:t>
      </w:r>
      <w:r>
        <w:rPr>
          <w:rFonts w:ascii="仿宋_GB2312" w:hAnsi="仿宋" w:eastAsia="仿宋_GB2312"/>
          <w:color w:val="auto"/>
          <w:sz w:val="32"/>
          <w:szCs w:val="32"/>
          <w:highlight w:val="none"/>
        </w:rPr>
        <w:t>分，得分为</w:t>
      </w:r>
      <w:r>
        <w:rPr>
          <w:rFonts w:hint="eastAsia" w:ascii="仿宋_GB2312" w:hAnsi="仿宋" w:eastAsia="仿宋_GB2312"/>
          <w:color w:val="auto"/>
          <w:sz w:val="32"/>
          <w:szCs w:val="32"/>
          <w:highlight w:val="none"/>
          <w:lang w:val="en-US" w:eastAsia="zh-CN"/>
        </w:rPr>
        <w:t>90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省财政厅</w:t>
      </w:r>
      <w:r>
        <w:rPr>
          <w:rFonts w:hint="eastAsia" w:ascii="仿宋_GB2312" w:eastAsia="仿宋_GB2312"/>
          <w:color w:val="auto"/>
          <w:sz w:val="32"/>
          <w:szCs w:val="32"/>
          <w:highlight w:val="none"/>
        </w:rPr>
        <w:t>《关于</w:t>
      </w:r>
      <w:r>
        <w:rPr>
          <w:rFonts w:hint="eastAsia" w:ascii="仿宋_GB2312" w:eastAsia="仿宋_GB2312"/>
          <w:color w:val="auto"/>
          <w:sz w:val="32"/>
          <w:szCs w:val="32"/>
          <w:highlight w:val="none"/>
          <w:lang w:val="en-US" w:eastAsia="zh-CN"/>
        </w:rPr>
        <w:t>提前下达2020年离岗基层老兽医省级补助资金</w:t>
      </w:r>
      <w:r>
        <w:rPr>
          <w:rFonts w:ascii="仿宋_GB2312" w:eastAsia="仿宋_GB2312"/>
          <w:color w:val="auto"/>
          <w:sz w:val="32"/>
          <w:szCs w:val="32"/>
          <w:highlight w:val="none"/>
        </w:rPr>
        <w:t>的通知》</w:t>
      </w:r>
      <w:r>
        <w:rPr>
          <w:rFonts w:hint="eastAsia" w:ascii="仿宋_GB2312" w:hAnsi="仿宋" w:eastAsia="仿宋_GB2312"/>
          <w:color w:val="auto"/>
          <w:sz w:val="32"/>
          <w:szCs w:val="32"/>
          <w:highlight w:val="none"/>
          <w:lang w:val="en-US" w:eastAsia="zh-CN"/>
        </w:rPr>
        <w:t>已按规定程序及时足额地将专项资金预算指标下达有关地市，资金及时足额到位</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存在问题是：</w:t>
      </w:r>
      <w:r>
        <w:rPr>
          <w:rFonts w:hint="eastAsia" w:ascii="仿宋_GB2312" w:hAnsi="仿宋" w:eastAsia="仿宋_GB2312" w:cs="Times New Roman"/>
          <w:color w:val="auto"/>
          <w:kern w:val="2"/>
          <w:sz w:val="32"/>
          <w:szCs w:val="32"/>
          <w:highlight w:val="none"/>
          <w:lang w:val="en-US" w:eastAsia="zh-CN" w:bidi="ar-SA"/>
        </w:rPr>
        <w:t>部分地市未按专项资金管理办法，在省级预算资金下达后30日内转分配下达到县（市、区），资金到位不及时。如省财政厅2019年12月25日提前下达专项资金，梅州市财政局2021年1月25日分配下达，茂名市财政局2020年6月11日分配下达。</w:t>
      </w:r>
    </w:p>
    <w:p>
      <w:pPr>
        <w:pStyle w:val="13"/>
        <w:numPr>
          <w:ilvl w:val="0"/>
          <w:numId w:val="3"/>
        </w:numPr>
        <w:ind w:left="0" w:leftChars="0" w:firstLine="640" w:firstLineChars="200"/>
        <w:rPr>
          <w:rFonts w:hint="eastAsia" w:ascii="仿宋_GB2312" w:hAnsi="仿宋" w:eastAsia="仿宋_GB2312"/>
          <w:color w:val="auto"/>
          <w:sz w:val="32"/>
          <w:szCs w:val="32"/>
          <w:highlight w:val="none"/>
        </w:rPr>
      </w:pPr>
      <w:r>
        <w:rPr>
          <w:rFonts w:hint="eastAsia" w:ascii="仿宋_GB2312" w:hAnsi="仿宋" w:eastAsia="仿宋_GB2312"/>
          <w:b w:val="0"/>
          <w:color w:val="auto"/>
          <w:sz w:val="32"/>
          <w:highlight w:val="none"/>
        </w:rPr>
        <w:t>资金分配。</w:t>
      </w:r>
      <w:r>
        <w:rPr>
          <w:rFonts w:ascii="仿宋_GB2312" w:hAnsi="仿宋" w:eastAsia="仿宋_GB2312"/>
          <w:color w:val="auto"/>
          <w:sz w:val="32"/>
          <w:szCs w:val="32"/>
          <w:highlight w:val="none"/>
        </w:rPr>
        <w:t>该指标分值3分，评价得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3</w:t>
      </w:r>
      <w:r>
        <w:rPr>
          <w:rFonts w:ascii="仿宋_GB2312" w:hAnsi="仿宋" w:eastAsia="仿宋_GB2312"/>
          <w:color w:val="auto"/>
          <w:sz w:val="32"/>
          <w:szCs w:val="32"/>
          <w:highlight w:val="none"/>
        </w:rPr>
        <w:t>分，得分率</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rPr>
        <w:t>资金按因素法分配，专项资金分配明确合理，扶持对象和主要用途符合相关规定</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有助于实现绩效目标</w:t>
      </w:r>
      <w:r>
        <w:rPr>
          <w:rFonts w:hint="eastAsia" w:ascii="仿宋_GB2312" w:hAnsi="仿宋" w:eastAsia="仿宋_GB2312"/>
          <w:color w:val="auto"/>
          <w:sz w:val="32"/>
          <w:szCs w:val="32"/>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ind w:firstLine="642" w:firstLineChars="200"/>
        <w:textAlignment w:val="auto"/>
        <w:rPr>
          <w:rFonts w:hint="default" w:ascii="Calibri" w:hAnsi="Calibri" w:eastAsia="宋体"/>
          <w:b w:val="0"/>
          <w:bCs w:val="0"/>
          <w:color w:val="auto"/>
          <w:sz w:val="21"/>
          <w:highlight w:val="none"/>
        </w:rPr>
      </w:pPr>
      <w:r>
        <w:rPr>
          <w:rFonts w:hint="eastAsia" w:ascii="仿宋_GB2312" w:hAnsi="仿宋" w:eastAsia="仿宋_GB2312"/>
          <w:b/>
          <w:bCs/>
          <w:color w:val="auto"/>
          <w:sz w:val="32"/>
          <w:highlight w:val="none"/>
        </w:rPr>
        <w:t>2.</w:t>
      </w:r>
      <w:r>
        <w:rPr>
          <w:rFonts w:hint="eastAsia" w:ascii="仿宋_GB2312" w:hAnsi="仿宋" w:eastAsia="仿宋_GB2312"/>
          <w:b/>
          <w:bCs/>
          <w:color w:val="auto"/>
          <w:sz w:val="32"/>
          <w:highlight w:val="none"/>
          <w:lang w:val="en-US" w:eastAsia="zh-CN"/>
        </w:rPr>
        <w:t xml:space="preserve"> </w:t>
      </w:r>
      <w:r>
        <w:rPr>
          <w:rFonts w:hint="eastAsia" w:ascii="仿宋_GB2312" w:hAnsi="仿宋" w:eastAsia="仿宋_GB2312"/>
          <w:b/>
          <w:bCs/>
          <w:color w:val="auto"/>
          <w:sz w:val="32"/>
          <w:highlight w:val="none"/>
        </w:rPr>
        <w:t>过程</w:t>
      </w:r>
      <w:r>
        <w:rPr>
          <w:rFonts w:hint="eastAsia" w:ascii="仿宋_GB2312" w:hAnsi="仿宋" w:eastAsia="仿宋_GB2312"/>
          <w:b/>
          <w:bCs/>
          <w:color w:val="auto"/>
          <w:sz w:val="32"/>
          <w:highlight w:val="none"/>
          <w:lang w:eastAsia="zh-CN"/>
        </w:rPr>
        <w:t>。</w:t>
      </w:r>
      <w:r>
        <w:rPr>
          <w:rFonts w:hint="eastAsia" w:ascii="仿宋_GB2312" w:hAnsi="仿宋" w:eastAsia="仿宋_GB2312"/>
          <w:b w:val="0"/>
          <w:bCs w:val="0"/>
          <w:color w:val="auto"/>
          <w:sz w:val="32"/>
          <w:highlight w:val="none"/>
          <w:lang w:eastAsia="zh-CN"/>
        </w:rPr>
        <w:t>该指标主要从资金管理和事项管理两个方面考核项目资金支付情况，资金支出的规范性，项目实施的规范性和监管的有效性。指标分值20分，评价得分</w:t>
      </w:r>
      <w:r>
        <w:rPr>
          <w:rFonts w:hint="eastAsia" w:ascii="仿宋_GB2312" w:hAnsi="仿宋" w:eastAsia="仿宋_GB2312"/>
          <w:b w:val="0"/>
          <w:bCs w:val="0"/>
          <w:color w:val="auto"/>
          <w:sz w:val="32"/>
          <w:highlight w:val="none"/>
          <w:lang w:val="en-US" w:eastAsia="zh-CN"/>
        </w:rPr>
        <w:t>19.32</w:t>
      </w:r>
      <w:r>
        <w:rPr>
          <w:rFonts w:hint="eastAsia" w:ascii="仿宋_GB2312" w:hAnsi="仿宋" w:eastAsia="仿宋_GB2312"/>
          <w:b w:val="0"/>
          <w:bCs w:val="0"/>
          <w:color w:val="auto"/>
          <w:sz w:val="32"/>
          <w:highlight w:val="none"/>
          <w:lang w:eastAsia="zh-CN"/>
        </w:rPr>
        <w:t>分，得分率为</w:t>
      </w:r>
      <w:r>
        <w:rPr>
          <w:rFonts w:hint="eastAsia" w:ascii="仿宋_GB2312" w:hAnsi="仿宋" w:eastAsia="仿宋_GB2312"/>
          <w:b w:val="0"/>
          <w:bCs w:val="0"/>
          <w:color w:val="auto"/>
          <w:sz w:val="32"/>
          <w:highlight w:val="none"/>
          <w:lang w:val="en-US" w:eastAsia="zh-CN"/>
        </w:rPr>
        <w:t>96.60</w:t>
      </w:r>
      <w:r>
        <w:rPr>
          <w:rFonts w:hint="eastAsia" w:ascii="仿宋_GB2312" w:hAnsi="仿宋" w:eastAsia="仿宋_GB2312"/>
          <w:b w:val="0"/>
          <w:bCs w:val="0"/>
          <w:color w:val="auto"/>
          <w:sz w:val="32"/>
          <w:highlight w:val="none"/>
          <w:lang w:eastAsia="zh-CN"/>
        </w:rPr>
        <w:t>%。</w:t>
      </w:r>
    </w:p>
    <w:p>
      <w:pPr>
        <w:numPr>
          <w:ilvl w:val="0"/>
          <w:numId w:val="0"/>
        </w:numPr>
        <w:ind w:left="0" w:leftChars="0" w:firstLine="640" w:firstLineChars="200"/>
        <w:rPr>
          <w:rFonts w:hint="eastAsia" w:ascii="仿宋_GB2312" w:hAnsi="仿宋" w:eastAsia="仿宋_GB2312" w:cs="Times New Roman"/>
          <w:b w:val="0"/>
          <w:color w:val="auto"/>
          <w:sz w:val="32"/>
          <w:highlight w:val="none"/>
          <w:lang w:eastAsia="zh-CN"/>
        </w:rPr>
      </w:pPr>
      <w:bookmarkStart w:id="27" w:name="_Toc41334549"/>
      <w:bookmarkStart w:id="28" w:name="_Toc39323954"/>
      <w:bookmarkStart w:id="29" w:name="_Toc5105"/>
      <w:bookmarkStart w:id="30" w:name="_Toc42021436"/>
      <w:bookmarkStart w:id="31" w:name="_Toc39324251"/>
      <w:bookmarkStart w:id="32" w:name="_Toc39921334"/>
      <w:bookmarkStart w:id="33" w:name="_Toc42020745"/>
      <w:r>
        <w:rPr>
          <w:rFonts w:hint="eastAsia" w:ascii="仿宋_GB2312" w:hAnsi="仿宋" w:eastAsia="仿宋_GB2312" w:cs="Times New Roman"/>
          <w:b w:val="0"/>
          <w:color w:val="auto"/>
          <w:sz w:val="32"/>
          <w:highlight w:val="none"/>
          <w:lang w:eastAsia="zh-CN"/>
        </w:rPr>
        <w:t>（1）资金支付。</w:t>
      </w:r>
      <w:bookmarkEnd w:id="27"/>
      <w:bookmarkEnd w:id="28"/>
      <w:bookmarkEnd w:id="29"/>
      <w:bookmarkEnd w:id="30"/>
      <w:bookmarkEnd w:id="31"/>
      <w:bookmarkEnd w:id="32"/>
      <w:bookmarkEnd w:id="33"/>
      <w:r>
        <w:rPr>
          <w:rFonts w:hint="eastAsia" w:ascii="仿宋_GB2312" w:hAnsi="仿宋" w:eastAsia="仿宋_GB2312" w:cs="Times New Roman"/>
          <w:b w:val="0"/>
          <w:color w:val="auto"/>
          <w:sz w:val="32"/>
          <w:highlight w:val="none"/>
        </w:rPr>
        <w:t>该指标分值6分，评价得分</w:t>
      </w:r>
      <w:r>
        <w:rPr>
          <w:rFonts w:hint="eastAsia" w:ascii="仿宋_GB2312" w:hAnsi="仿宋" w:eastAsia="仿宋_GB2312" w:cs="Times New Roman"/>
          <w:b w:val="0"/>
          <w:color w:val="auto"/>
          <w:sz w:val="32"/>
          <w:highlight w:val="none"/>
          <w:lang w:val="en-US" w:eastAsia="zh-CN"/>
        </w:rPr>
        <w:t>5.32</w:t>
      </w:r>
      <w:r>
        <w:rPr>
          <w:rFonts w:hint="eastAsia" w:ascii="仿宋_GB2312" w:hAnsi="仿宋" w:eastAsia="仿宋_GB2312" w:cs="Times New Roman"/>
          <w:b w:val="0"/>
          <w:color w:val="auto"/>
          <w:sz w:val="32"/>
          <w:highlight w:val="none"/>
        </w:rPr>
        <w:t>分，得分率为</w:t>
      </w:r>
      <w:r>
        <w:rPr>
          <w:rFonts w:hint="eastAsia" w:ascii="仿宋_GB2312" w:hAnsi="仿宋" w:eastAsia="仿宋_GB2312" w:cs="Times New Roman"/>
          <w:b w:val="0"/>
          <w:color w:val="auto"/>
          <w:sz w:val="32"/>
          <w:highlight w:val="none"/>
          <w:lang w:val="en-US" w:eastAsia="zh-CN"/>
        </w:rPr>
        <w:t>88.67</w:t>
      </w:r>
      <w:r>
        <w:rPr>
          <w:rFonts w:hint="eastAsia" w:ascii="仿宋_GB2312" w:hAnsi="仿宋" w:eastAsia="仿宋_GB2312" w:cs="Times New Roman"/>
          <w:b w:val="0"/>
          <w:color w:val="auto"/>
          <w:sz w:val="32"/>
          <w:highlight w:val="none"/>
        </w:rPr>
        <w:t>%。</w:t>
      </w:r>
      <w:r>
        <w:rPr>
          <w:rFonts w:hint="eastAsia" w:ascii="仿宋_GB2312" w:hAnsi="仿宋" w:eastAsia="仿宋_GB2312" w:cs="Times New Roman"/>
          <w:b w:val="0"/>
          <w:color w:val="auto"/>
          <w:sz w:val="32"/>
          <w:highlight w:val="none"/>
          <w:lang w:eastAsia="zh-CN"/>
        </w:rPr>
        <w:t>省财政厅</w:t>
      </w:r>
      <w:r>
        <w:rPr>
          <w:rFonts w:hint="eastAsia" w:ascii="仿宋_GB2312" w:hAnsi="仿宋" w:eastAsia="仿宋_GB2312" w:cs="Times New Roman"/>
          <w:b w:val="0"/>
          <w:color w:val="auto"/>
          <w:sz w:val="32"/>
          <w:highlight w:val="none"/>
        </w:rPr>
        <w:t>20</w:t>
      </w:r>
      <w:r>
        <w:rPr>
          <w:rFonts w:hint="eastAsia" w:ascii="仿宋_GB2312" w:hAnsi="仿宋" w:eastAsia="仿宋_GB2312" w:cs="Times New Roman"/>
          <w:b w:val="0"/>
          <w:color w:val="auto"/>
          <w:sz w:val="32"/>
          <w:highlight w:val="none"/>
          <w:lang w:val="en-US" w:eastAsia="zh-CN"/>
        </w:rPr>
        <w:t>19</w:t>
      </w:r>
      <w:r>
        <w:rPr>
          <w:rFonts w:hint="eastAsia" w:ascii="仿宋_GB2312" w:hAnsi="仿宋" w:eastAsia="仿宋_GB2312" w:cs="Times New Roman"/>
          <w:b w:val="0"/>
          <w:color w:val="auto"/>
          <w:sz w:val="32"/>
          <w:highlight w:val="none"/>
        </w:rPr>
        <w:t>年1</w:t>
      </w:r>
      <w:r>
        <w:rPr>
          <w:rFonts w:hint="eastAsia" w:ascii="仿宋_GB2312" w:hAnsi="仿宋" w:eastAsia="仿宋_GB2312" w:cs="Times New Roman"/>
          <w:b w:val="0"/>
          <w:color w:val="auto"/>
          <w:sz w:val="32"/>
          <w:highlight w:val="none"/>
          <w:lang w:val="en-US" w:eastAsia="zh-CN"/>
        </w:rPr>
        <w:t>2</w:t>
      </w:r>
      <w:r>
        <w:rPr>
          <w:rFonts w:hint="eastAsia" w:ascii="仿宋_GB2312" w:hAnsi="仿宋" w:eastAsia="仿宋_GB2312" w:cs="Times New Roman"/>
          <w:b w:val="0"/>
          <w:color w:val="auto"/>
          <w:sz w:val="32"/>
          <w:highlight w:val="none"/>
        </w:rPr>
        <w:t>月</w:t>
      </w:r>
      <w:r>
        <w:rPr>
          <w:rFonts w:hint="eastAsia" w:ascii="仿宋_GB2312" w:hAnsi="仿宋" w:eastAsia="仿宋_GB2312" w:cs="Times New Roman"/>
          <w:b w:val="0"/>
          <w:color w:val="auto"/>
          <w:sz w:val="32"/>
          <w:highlight w:val="none"/>
          <w:lang w:val="en-US" w:eastAsia="zh-CN"/>
        </w:rPr>
        <w:t>25</w:t>
      </w:r>
      <w:r>
        <w:rPr>
          <w:rFonts w:hint="eastAsia" w:ascii="仿宋_GB2312" w:hAnsi="仿宋" w:eastAsia="仿宋_GB2312" w:cs="Times New Roman"/>
          <w:b w:val="0"/>
          <w:color w:val="auto"/>
          <w:sz w:val="32"/>
          <w:highlight w:val="none"/>
        </w:rPr>
        <w:t>日下达专项资金，按计划预算</w:t>
      </w:r>
      <w:r>
        <w:rPr>
          <w:rFonts w:hint="eastAsia" w:ascii="仿宋_GB2312" w:hAnsi="仿宋" w:eastAsia="仿宋_GB2312" w:cs="Times New Roman"/>
          <w:b w:val="0"/>
          <w:color w:val="auto"/>
          <w:sz w:val="32"/>
          <w:highlight w:val="none"/>
          <w:lang w:eastAsia="zh-CN"/>
        </w:rPr>
        <w:t>资金应于</w:t>
      </w:r>
      <w:r>
        <w:rPr>
          <w:rFonts w:hint="eastAsia" w:ascii="仿宋_GB2312" w:hAnsi="仿宋" w:eastAsia="仿宋_GB2312" w:cs="Times New Roman"/>
          <w:b w:val="0"/>
          <w:color w:val="auto"/>
          <w:sz w:val="32"/>
          <w:highlight w:val="none"/>
        </w:rPr>
        <w:t>2021年底前</w:t>
      </w:r>
      <w:r>
        <w:rPr>
          <w:rFonts w:hint="eastAsia" w:ascii="仿宋_GB2312" w:hAnsi="仿宋" w:eastAsia="仿宋_GB2312" w:cs="Times New Roman"/>
          <w:b w:val="0"/>
          <w:color w:val="auto"/>
          <w:sz w:val="32"/>
          <w:highlight w:val="none"/>
          <w:lang w:eastAsia="zh-CN"/>
        </w:rPr>
        <w:t>完成支出</w:t>
      </w:r>
      <w:r>
        <w:rPr>
          <w:rFonts w:hint="eastAsia" w:ascii="仿宋_GB2312" w:hAnsi="仿宋" w:eastAsia="仿宋_GB2312" w:cs="Times New Roman"/>
          <w:b w:val="0"/>
          <w:color w:val="auto"/>
          <w:sz w:val="32"/>
          <w:highlight w:val="none"/>
        </w:rPr>
        <w:t>。</w:t>
      </w:r>
      <w:r>
        <w:rPr>
          <w:rFonts w:hint="eastAsia" w:ascii="仿宋_GB2312" w:hAnsi="仿宋" w:eastAsia="仿宋_GB2312" w:cs="Times New Roman"/>
          <w:b w:val="0"/>
          <w:color w:val="auto"/>
          <w:sz w:val="32"/>
          <w:highlight w:val="none"/>
          <w:lang w:val="en-US" w:eastAsia="zh-CN"/>
        </w:rPr>
        <w:t>但是2020年</w:t>
      </w:r>
      <w:r>
        <w:rPr>
          <w:rFonts w:hint="eastAsia" w:ascii="仿宋_GB2312" w:hAnsi="仿宋" w:eastAsia="仿宋_GB2312" w:cs="Times New Roman"/>
          <w:b w:val="0"/>
          <w:color w:val="auto"/>
          <w:sz w:val="32"/>
          <w:highlight w:val="none"/>
        </w:rPr>
        <w:t>兽医补助省级专项资金支出率为88.72%。</w:t>
      </w:r>
      <w:r>
        <w:rPr>
          <w:rFonts w:hint="eastAsia" w:ascii="仿宋_GB2312" w:hAnsi="仿宋" w:eastAsia="仿宋_GB2312" w:cs="Times New Roman"/>
          <w:b w:val="0"/>
          <w:color w:val="auto"/>
          <w:sz w:val="32"/>
          <w:highlight w:val="none"/>
          <w:lang w:val="en-US" w:eastAsia="zh-CN"/>
        </w:rPr>
        <w:t>部分地市</w:t>
      </w:r>
      <w:r>
        <w:rPr>
          <w:rFonts w:hint="eastAsia" w:ascii="仿宋_GB2312" w:hAnsi="仿宋" w:eastAsia="仿宋_GB2312" w:cs="Times New Roman"/>
          <w:b w:val="0"/>
          <w:color w:val="auto"/>
          <w:sz w:val="32"/>
          <w:highlight w:val="none"/>
        </w:rPr>
        <w:t>印发转分配下达资金文件较晚，转分配下达资金不及时</w:t>
      </w:r>
      <w:r>
        <w:rPr>
          <w:rFonts w:hint="eastAsia" w:ascii="仿宋_GB2312" w:hAnsi="仿宋" w:eastAsia="仿宋_GB2312" w:cs="Times New Roman"/>
          <w:b w:val="0"/>
          <w:color w:val="auto"/>
          <w:sz w:val="32"/>
          <w:highlight w:val="none"/>
          <w:lang w:eastAsia="zh-CN"/>
        </w:rPr>
        <w:t>，</w:t>
      </w:r>
      <w:r>
        <w:rPr>
          <w:rFonts w:hint="eastAsia" w:ascii="仿宋_GB2312" w:hAnsi="仿宋" w:eastAsia="仿宋_GB2312" w:cs="Times New Roman"/>
          <w:b w:val="0"/>
          <w:color w:val="auto"/>
          <w:sz w:val="32"/>
          <w:highlight w:val="none"/>
        </w:rPr>
        <w:t>影响资金支出进度</w:t>
      </w:r>
      <w:r>
        <w:rPr>
          <w:rFonts w:hint="eastAsia" w:ascii="仿宋_GB2312" w:hAnsi="仿宋" w:eastAsia="仿宋_GB2312" w:cs="Times New Roman"/>
          <w:b w:val="0"/>
          <w:color w:val="auto"/>
          <w:sz w:val="32"/>
          <w:highlight w:val="none"/>
          <w:lang w:eastAsia="zh-CN"/>
        </w:rPr>
        <w:t>，部分市县</w:t>
      </w:r>
      <w:r>
        <w:rPr>
          <w:rFonts w:hint="eastAsia" w:ascii="仿宋_GB2312" w:hAnsi="仿宋" w:eastAsia="仿宋_GB2312" w:cs="Times New Roman"/>
          <w:b w:val="0"/>
          <w:color w:val="auto"/>
          <w:sz w:val="32"/>
          <w:highlight w:val="none"/>
          <w:lang w:val="en-US" w:eastAsia="zh-CN"/>
        </w:rPr>
        <w:t>未</w:t>
      </w:r>
      <w:r>
        <w:rPr>
          <w:rFonts w:hint="eastAsia" w:ascii="仿宋_GB2312" w:hAnsi="仿宋" w:eastAsia="仿宋_GB2312" w:cs="Times New Roman"/>
          <w:b w:val="0"/>
          <w:color w:val="auto"/>
          <w:sz w:val="32"/>
          <w:highlight w:val="none"/>
        </w:rPr>
        <w:t>达到支出进度计划</w:t>
      </w:r>
      <w:r>
        <w:rPr>
          <w:rFonts w:hint="eastAsia" w:ascii="仿宋_GB2312" w:hAnsi="仿宋" w:eastAsia="仿宋_GB2312" w:cs="Times New Roman"/>
          <w:b w:val="0"/>
          <w:color w:val="auto"/>
          <w:sz w:val="32"/>
          <w:highlight w:val="none"/>
          <w:lang w:eastAsia="zh-CN"/>
        </w:rPr>
        <w:t>。</w:t>
      </w:r>
    </w:p>
    <w:p>
      <w:pPr>
        <w:pStyle w:val="13"/>
        <w:ind w:left="0" w:leftChars="0" w:firstLine="640" w:firstLineChars="200"/>
        <w:rPr>
          <w:rFonts w:hint="eastAsia" w:ascii="仿宋_GB2312" w:eastAsia="仿宋_GB2312"/>
          <w:color w:val="auto"/>
          <w:sz w:val="32"/>
          <w:szCs w:val="32"/>
          <w:highlight w:val="none"/>
        </w:rPr>
      </w:pPr>
      <w:r>
        <w:rPr>
          <w:rFonts w:hint="eastAsia" w:ascii="仿宋_GB2312" w:hAnsi="仿宋" w:eastAsia="仿宋_GB2312"/>
          <w:b w:val="0"/>
          <w:color w:val="auto"/>
          <w:sz w:val="32"/>
          <w:highlight w:val="none"/>
        </w:rPr>
        <w:t>（2）支出规范性。</w:t>
      </w:r>
      <w:r>
        <w:rPr>
          <w:rFonts w:hint="eastAsia" w:ascii="仿宋_GB2312" w:hAnsi="Times New Roman" w:eastAsia="仿宋_GB2312" w:cs="Times New Roman"/>
          <w:color w:val="auto"/>
          <w:sz w:val="32"/>
          <w:highlight w:val="none"/>
          <w:lang w:eastAsia="zh-CN"/>
        </w:rPr>
        <w:t>该指标分值</w:t>
      </w:r>
      <w:r>
        <w:rPr>
          <w:rFonts w:hint="eastAsia" w:ascii="仿宋_GB2312" w:hAnsi="Times New Roman"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分，评价得分</w:t>
      </w:r>
      <w:r>
        <w:rPr>
          <w:rFonts w:hint="eastAsia" w:ascii="仿宋_GB2312"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分，得分率为</w:t>
      </w:r>
      <w:r>
        <w:rPr>
          <w:rFonts w:hint="eastAsia" w:ascii="仿宋_GB2312" w:eastAsia="仿宋_GB2312" w:cs="Times New Roman"/>
          <w:color w:val="auto"/>
          <w:sz w:val="32"/>
          <w:highlight w:val="none"/>
          <w:lang w:val="en-US" w:eastAsia="zh-CN"/>
        </w:rPr>
        <w:t>100</w:t>
      </w:r>
      <w:r>
        <w:rPr>
          <w:rFonts w:hint="eastAsia" w:ascii="仿宋_GB2312" w:hAnsi="Times New Roman" w:eastAsia="仿宋_GB2312" w:cs="Times New Roman"/>
          <w:color w:val="auto"/>
          <w:sz w:val="32"/>
          <w:highlight w:val="none"/>
          <w:lang w:eastAsia="zh-CN"/>
        </w:rPr>
        <w:t>%。</w:t>
      </w:r>
      <w:r>
        <w:rPr>
          <w:rFonts w:hint="eastAsia" w:ascii="仿宋_GB2312" w:eastAsia="仿宋_GB2312" w:cs="Times New Roman"/>
          <w:color w:val="auto"/>
          <w:sz w:val="32"/>
          <w:highlight w:val="none"/>
          <w:lang w:val="en-US" w:eastAsia="zh-CN"/>
        </w:rPr>
        <w:t>我厅和有关市县能够</w:t>
      </w:r>
      <w:r>
        <w:rPr>
          <w:rFonts w:hint="eastAsia" w:ascii="仿宋_GB2312" w:eastAsia="仿宋_GB2312"/>
          <w:color w:val="auto"/>
          <w:sz w:val="32"/>
          <w:szCs w:val="32"/>
          <w:highlight w:val="none"/>
        </w:rPr>
        <w:t>按照有关专项资金管理办法和财务制度规定</w:t>
      </w:r>
      <w:r>
        <w:rPr>
          <w:rFonts w:hint="eastAsia" w:ascii="仿宋_GB2312" w:eastAsia="仿宋_GB2312"/>
          <w:color w:val="auto"/>
          <w:sz w:val="32"/>
          <w:szCs w:val="32"/>
          <w:highlight w:val="none"/>
          <w:lang w:eastAsia="zh-CN"/>
        </w:rPr>
        <w:t>监管</w:t>
      </w:r>
      <w:r>
        <w:rPr>
          <w:rFonts w:hint="eastAsia" w:ascii="仿宋_GB2312" w:eastAsia="仿宋_GB2312"/>
          <w:color w:val="auto"/>
          <w:sz w:val="32"/>
          <w:szCs w:val="32"/>
          <w:highlight w:val="none"/>
        </w:rPr>
        <w:t>、使用专项资金。事项支出的合规性良好，资金管理、费用标准、支付符合有关制度规定，</w:t>
      </w:r>
      <w:r>
        <w:rPr>
          <w:rFonts w:hint="eastAsia" w:ascii="仿宋_GB2312" w:eastAsia="仿宋_GB2312"/>
          <w:color w:val="auto"/>
          <w:sz w:val="32"/>
          <w:szCs w:val="32"/>
          <w:highlight w:val="none"/>
          <w:lang w:eastAsia="zh-CN"/>
        </w:rPr>
        <w:t>未发现</w:t>
      </w:r>
      <w:r>
        <w:rPr>
          <w:rFonts w:hint="eastAsia" w:ascii="仿宋_GB2312" w:eastAsia="仿宋_GB2312"/>
          <w:color w:val="auto"/>
          <w:sz w:val="32"/>
          <w:szCs w:val="32"/>
          <w:highlight w:val="none"/>
        </w:rPr>
        <w:t>超范围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虚列支出</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截留、挤占、挪用资金</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情况。</w:t>
      </w:r>
    </w:p>
    <w:p>
      <w:pPr>
        <w:pStyle w:val="13"/>
        <w:numPr>
          <w:ilvl w:val="0"/>
          <w:numId w:val="0"/>
        </w:numPr>
        <w:ind w:firstLine="640" w:firstLineChars="200"/>
        <w:rPr>
          <w:rFonts w:hint="eastAsia" w:ascii="仿宋_GB2312" w:hAnsi="仿宋_GB2312" w:eastAsia="仿宋_GB2312" w:cs="仿宋_GB2312"/>
          <w:color w:val="auto"/>
          <w:sz w:val="32"/>
          <w:highlight w:val="none"/>
        </w:rPr>
      </w:pPr>
      <w:r>
        <w:rPr>
          <w:rFonts w:hint="eastAsia" w:ascii="仿宋_GB2312" w:hAnsi="仿宋" w:eastAsia="仿宋_GB2312"/>
          <w:b w:val="0"/>
          <w:color w:val="auto"/>
          <w:sz w:val="32"/>
          <w:highlight w:val="none"/>
        </w:rPr>
        <w:t>（3）实施程序。</w:t>
      </w:r>
      <w:r>
        <w:rPr>
          <w:rFonts w:ascii="仿宋_GB2312" w:hAnsi="仿宋" w:eastAsia="仿宋_GB2312"/>
          <w:color w:val="auto"/>
          <w:sz w:val="32"/>
          <w:szCs w:val="32"/>
          <w:highlight w:val="none"/>
        </w:rPr>
        <w:t>该指标分值4分，评价得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4</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我厅</w:t>
      </w:r>
      <w:r>
        <w:rPr>
          <w:rFonts w:ascii="仿宋_GB2312" w:hAnsi="仿宋_GB2312" w:eastAsia="仿宋_GB2312" w:cs="仿宋_GB2312"/>
          <w:color w:val="auto"/>
          <w:sz w:val="32"/>
          <w:highlight w:val="none"/>
        </w:rPr>
        <w:t>制定了比较明确</w:t>
      </w:r>
      <w:r>
        <w:rPr>
          <w:rFonts w:hint="eastAsia" w:ascii="仿宋_GB2312" w:hAnsi="仿宋_GB2312" w:eastAsia="仿宋_GB2312" w:cs="仿宋_GB2312"/>
          <w:color w:val="auto"/>
          <w:sz w:val="32"/>
          <w:highlight w:val="none"/>
        </w:rPr>
        <w:t>的</w:t>
      </w:r>
      <w:r>
        <w:rPr>
          <w:rFonts w:ascii="仿宋_GB2312" w:hAnsi="仿宋_GB2312" w:eastAsia="仿宋_GB2312" w:cs="仿宋_GB2312"/>
          <w:color w:val="auto"/>
          <w:sz w:val="32"/>
          <w:highlight w:val="none"/>
        </w:rPr>
        <w:t>专项资金项目实施程序，</w:t>
      </w:r>
      <w:r>
        <w:rPr>
          <w:rFonts w:hint="eastAsia" w:ascii="仿宋_GB2312" w:hAnsi="仿宋_GB2312" w:eastAsia="仿宋_GB2312" w:cs="仿宋_GB2312"/>
          <w:color w:val="auto"/>
          <w:sz w:val="32"/>
          <w:highlight w:val="none"/>
          <w:lang w:val="en-US" w:eastAsia="zh-CN"/>
        </w:rPr>
        <w:t>落实相关部门的工作责任。</w:t>
      </w:r>
      <w:r>
        <w:rPr>
          <w:rFonts w:hint="eastAsia" w:ascii="仿宋_GB2312" w:hAnsi="仿宋_GB2312" w:eastAsia="仿宋_GB2312" w:cs="仿宋_GB2312"/>
          <w:color w:val="auto"/>
          <w:sz w:val="32"/>
          <w:highlight w:val="none"/>
        </w:rPr>
        <w:t>专项资金项目实施过程规范,相关地市在收到省财政厅下达的预算指标后，能够按要求及时认真做好本地项目实施方案的编制工作</w:t>
      </w:r>
      <w:r>
        <w:rPr>
          <w:rFonts w:ascii="仿宋_GB2312" w:hAnsi="仿宋_GB2312" w:eastAsia="仿宋_GB2312" w:cs="仿宋_GB2312"/>
          <w:color w:val="auto"/>
          <w:sz w:val="32"/>
          <w:highlight w:val="none"/>
        </w:rPr>
        <w:t>并且按程序推进项目实施</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rPr>
        <w:t>积极组织</w:t>
      </w:r>
      <w:r>
        <w:rPr>
          <w:rFonts w:hint="eastAsia" w:ascii="仿宋_GB2312" w:hAnsi="仿宋_GB2312" w:eastAsia="仿宋_GB2312" w:cs="仿宋_GB2312"/>
          <w:color w:val="auto"/>
          <w:sz w:val="32"/>
          <w:highlight w:val="none"/>
          <w:lang w:eastAsia="zh-CN"/>
        </w:rPr>
        <w:t>实施</w:t>
      </w:r>
      <w:r>
        <w:rPr>
          <w:rFonts w:hint="eastAsia" w:ascii="仿宋_GB2312" w:hAnsi="仿宋_GB2312" w:eastAsia="仿宋_GB2312" w:cs="仿宋_GB2312"/>
          <w:color w:val="auto"/>
          <w:sz w:val="32"/>
          <w:highlight w:val="none"/>
          <w:lang w:val="en-US" w:eastAsia="zh-CN"/>
        </w:rPr>
        <w:t>离岗基层老兽医补助</w:t>
      </w:r>
      <w:r>
        <w:rPr>
          <w:rFonts w:hint="eastAsia" w:ascii="仿宋_GB2312" w:hAnsi="仿宋_GB2312" w:eastAsia="仿宋_GB2312" w:cs="仿宋_GB2312"/>
          <w:color w:val="auto"/>
          <w:sz w:val="32"/>
          <w:highlight w:val="none"/>
        </w:rPr>
        <w:t>按规定申报</w:t>
      </w:r>
      <w:r>
        <w:rPr>
          <w:rFonts w:hint="eastAsia" w:ascii="仿宋_GB2312" w:hAnsi="仿宋_GB2312" w:eastAsia="仿宋_GB2312" w:cs="仿宋_GB2312"/>
          <w:color w:val="auto"/>
          <w:sz w:val="32"/>
          <w:highlight w:val="none"/>
          <w:lang w:eastAsia="zh-CN"/>
        </w:rPr>
        <w:t>、审批和发放</w:t>
      </w:r>
      <w:r>
        <w:rPr>
          <w:rFonts w:hint="eastAsia" w:ascii="仿宋_GB2312" w:hAnsi="仿宋_GB2312" w:eastAsia="仿宋_GB2312" w:cs="仿宋_GB2312"/>
          <w:color w:val="auto"/>
          <w:sz w:val="32"/>
          <w:highlight w:val="none"/>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（4）管理情况。指标分值4</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专项资金管理机制比较完善，</w:t>
      </w:r>
      <w:r>
        <w:rPr>
          <w:rFonts w:hint="eastAsia" w:ascii="仿宋_GB2312" w:eastAsia="仿宋_GB2312"/>
          <w:color w:val="auto"/>
          <w:sz w:val="32"/>
          <w:szCs w:val="32"/>
          <w:highlight w:val="none"/>
          <w:lang w:eastAsia="zh-CN"/>
        </w:rPr>
        <w:t>有关</w:t>
      </w:r>
      <w:r>
        <w:rPr>
          <w:rFonts w:hint="eastAsia" w:ascii="仿宋_GB2312" w:eastAsia="仿宋_GB2312"/>
          <w:color w:val="auto"/>
          <w:sz w:val="32"/>
          <w:szCs w:val="32"/>
          <w:highlight w:val="none"/>
        </w:rPr>
        <w:t>市县</w:t>
      </w:r>
      <w:r>
        <w:rPr>
          <w:rFonts w:hint="eastAsia" w:ascii="仿宋_GB2312" w:eastAsia="仿宋_GB2312"/>
          <w:color w:val="auto"/>
          <w:sz w:val="32"/>
          <w:szCs w:val="32"/>
          <w:highlight w:val="none"/>
          <w:lang w:eastAsia="zh-CN"/>
        </w:rPr>
        <w:t>对</w:t>
      </w:r>
      <w:r>
        <w:rPr>
          <w:rFonts w:hint="eastAsia" w:ascii="仿宋_GB2312" w:eastAsia="仿宋_GB2312"/>
          <w:color w:val="auto"/>
          <w:sz w:val="32"/>
          <w:szCs w:val="32"/>
          <w:highlight w:val="none"/>
        </w:rPr>
        <w:t>资金管理和使用情况</w:t>
      </w:r>
      <w:r>
        <w:rPr>
          <w:rFonts w:hint="eastAsia" w:ascii="仿宋_GB2312" w:eastAsia="仿宋_GB2312"/>
          <w:color w:val="auto"/>
          <w:sz w:val="32"/>
          <w:szCs w:val="32"/>
          <w:highlight w:val="none"/>
          <w:lang w:eastAsia="zh-CN"/>
        </w:rPr>
        <w:t>进行有效监管。</w:t>
      </w:r>
    </w:p>
    <w:p>
      <w:pPr>
        <w:pStyle w:val="13"/>
        <w:ind w:left="0" w:leftChars="0" w:firstLine="642" w:firstLineChars="200"/>
        <w:rPr>
          <w:rFonts w:hint="eastAsia" w:ascii="仿宋_GB2312" w:hAnsi="仿宋_GB2312" w:eastAsia="仿宋_GB2312" w:cs="仿宋_GB2312"/>
          <w:color w:val="auto"/>
          <w:sz w:val="32"/>
          <w:highlight w:val="none"/>
        </w:rPr>
      </w:pPr>
      <w:r>
        <w:rPr>
          <w:rFonts w:hint="eastAsia" w:ascii="仿宋_GB2312" w:eastAsia="仿宋_GB2312"/>
          <w:b/>
          <w:bCs/>
          <w:color w:val="auto"/>
          <w:sz w:val="32"/>
          <w:szCs w:val="32"/>
          <w:highlight w:val="none"/>
        </w:rPr>
        <w:t>3．产出</w:t>
      </w:r>
      <w:r>
        <w:rPr>
          <w:rFonts w:hint="eastAsia" w:ascii="仿宋_GB2312" w:eastAsia="仿宋_GB2312"/>
          <w:b/>
          <w:bCs/>
          <w:color w:val="auto"/>
          <w:sz w:val="32"/>
          <w:szCs w:val="32"/>
          <w:highlight w:val="none"/>
          <w:lang w:eastAsia="zh-CN"/>
        </w:rPr>
        <w:t>。</w:t>
      </w:r>
      <w:r>
        <w:rPr>
          <w:rFonts w:hint="eastAsia" w:ascii="仿宋_GB2312" w:hAnsi="黑体" w:eastAsia="仿宋_GB2312"/>
          <w:color w:val="auto"/>
          <w:sz w:val="32"/>
          <w:highlight w:val="none"/>
        </w:rPr>
        <w:t>该指标主要从经济性和效率性两个方面考察预算</w:t>
      </w:r>
      <w:r>
        <w:rPr>
          <w:rFonts w:hint="eastAsia" w:ascii="仿宋_GB2312" w:hAnsi="黑体" w:eastAsia="仿宋_GB2312"/>
          <w:color w:val="auto"/>
          <w:sz w:val="32"/>
          <w:highlight w:val="none"/>
          <w:lang w:val="en-US" w:eastAsia="zh-CN"/>
        </w:rPr>
        <w:t>控制、成本控制情况</w:t>
      </w:r>
      <w:r>
        <w:rPr>
          <w:rFonts w:hint="eastAsia" w:ascii="仿宋_GB2312" w:hAnsi="黑体" w:eastAsia="仿宋_GB2312"/>
          <w:color w:val="auto"/>
          <w:sz w:val="32"/>
          <w:highlight w:val="none"/>
        </w:rPr>
        <w:t>，</w:t>
      </w:r>
      <w:r>
        <w:rPr>
          <w:rFonts w:hint="eastAsia" w:ascii="仿宋_GB2312" w:hAnsi="黑体" w:eastAsia="仿宋_GB2312"/>
          <w:color w:val="auto"/>
          <w:sz w:val="32"/>
          <w:highlight w:val="none"/>
          <w:lang w:val="en-US" w:eastAsia="zh-CN"/>
        </w:rPr>
        <w:t>以及</w:t>
      </w:r>
      <w:r>
        <w:rPr>
          <w:rFonts w:hint="eastAsia" w:ascii="仿宋_GB2312" w:hAnsi="黑体" w:eastAsia="仿宋_GB2312"/>
          <w:color w:val="auto"/>
          <w:sz w:val="32"/>
          <w:highlight w:val="none"/>
        </w:rPr>
        <w:t>项目完成的进度、质量等产出情况。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28.10</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93.67</w:t>
      </w:r>
      <w:r>
        <w:rPr>
          <w:rFonts w:hint="eastAsia" w:ascii="仿宋_GB2312" w:hAnsi="仿宋_GB2312" w:eastAsia="仿宋_GB2312" w:cs="仿宋_GB2312"/>
          <w:color w:val="auto"/>
          <w:sz w:val="32"/>
          <w:highlight w:val="none"/>
        </w:rPr>
        <w:t>%。</w:t>
      </w:r>
    </w:p>
    <w:p>
      <w:pPr>
        <w:pageBreakBefore w:val="0"/>
        <w:widowControl/>
        <w:kinsoku/>
        <w:wordWrap/>
        <w:overflowPunct/>
        <w:topLinePunct w:val="0"/>
        <w:bidi w:val="0"/>
        <w:spacing w:before="0" w:after="0" w:line="360" w:lineRule="auto"/>
        <w:ind w:firstLine="640" w:firstLineChars="200"/>
        <w:jc w:val="both"/>
        <w:outlineLvl w:val="2"/>
        <w:rPr>
          <w:rFonts w:hint="eastAsia" w:ascii="仿宋_GB2312" w:hAnsi="仿宋" w:eastAsia="仿宋_GB2312"/>
          <w:b w:val="0"/>
          <w:bCs w:val="0"/>
          <w:color w:val="auto"/>
          <w:sz w:val="32"/>
          <w:highlight w:val="none"/>
        </w:rPr>
      </w:pPr>
      <w:bookmarkStart w:id="34" w:name="_Toc29119"/>
      <w:bookmarkStart w:id="35" w:name="_Toc39324255"/>
      <w:bookmarkStart w:id="36" w:name="_Toc42021438"/>
      <w:bookmarkStart w:id="37" w:name="_Toc39323958"/>
      <w:bookmarkStart w:id="38" w:name="_Toc42020747"/>
      <w:bookmarkStart w:id="39" w:name="_Toc39921338"/>
      <w:bookmarkStart w:id="40" w:name="_Toc41334550"/>
      <w:r>
        <w:rPr>
          <w:rFonts w:hint="eastAsia" w:ascii="仿宋_GB2312" w:hAnsi="仿宋" w:eastAsia="仿宋_GB2312"/>
          <w:b w:val="0"/>
          <w:color w:val="auto"/>
          <w:sz w:val="32"/>
          <w:highlight w:val="none"/>
        </w:rPr>
        <w:t>（1）预算控制。</w:t>
      </w:r>
      <w:bookmarkEnd w:id="34"/>
      <w:bookmarkEnd w:id="35"/>
      <w:bookmarkEnd w:id="36"/>
      <w:bookmarkEnd w:id="37"/>
      <w:bookmarkEnd w:id="38"/>
      <w:bookmarkEnd w:id="39"/>
      <w:bookmarkEnd w:id="40"/>
      <w:r>
        <w:rPr>
          <w:rFonts w:hint="eastAsia" w:ascii="仿宋_GB2312" w:hAnsi="仿宋" w:eastAsia="仿宋_GB2312"/>
          <w:color w:val="auto"/>
          <w:sz w:val="32"/>
          <w:highlight w:val="none"/>
        </w:rPr>
        <w:t>该指标分</w:t>
      </w:r>
      <w:r>
        <w:rPr>
          <w:rFonts w:hint="eastAsia" w:ascii="仿宋_GB2312" w:hAnsi="仿宋" w:eastAsia="仿宋_GB2312" w:cs="Times New Roman"/>
          <w:color w:val="auto"/>
          <w:sz w:val="32"/>
          <w:highlight w:val="none"/>
        </w:rPr>
        <w:t>值3分，评价得分</w:t>
      </w:r>
      <w:r>
        <w:rPr>
          <w:rFonts w:hint="eastAsia" w:ascii="仿宋_GB2312" w:hAnsi="仿宋" w:eastAsia="仿宋_GB2312" w:cs="Times New Roman"/>
          <w:color w:val="auto"/>
          <w:sz w:val="32"/>
          <w:highlight w:val="none"/>
          <w:lang w:val="en-US" w:eastAsia="zh-CN"/>
        </w:rPr>
        <w:t>3</w:t>
      </w:r>
      <w:r>
        <w:rPr>
          <w:rFonts w:hint="eastAsia" w:ascii="仿宋_GB2312" w:hAnsi="仿宋" w:eastAsia="仿宋_GB2312" w:cs="Times New Roman"/>
          <w:color w:val="auto"/>
          <w:sz w:val="32"/>
          <w:highlight w:val="none"/>
        </w:rPr>
        <w:t>分，得分</w:t>
      </w:r>
      <w:r>
        <w:rPr>
          <w:rFonts w:hint="eastAsia" w:ascii="仿宋_GB2312" w:hAnsi="仿宋" w:eastAsia="仿宋_GB2312"/>
          <w:color w:val="auto"/>
          <w:sz w:val="32"/>
          <w:highlight w:val="none"/>
        </w:rPr>
        <w:t>率为</w:t>
      </w:r>
      <w:r>
        <w:rPr>
          <w:rFonts w:hint="eastAsia" w:ascii="仿宋_GB2312" w:hAnsi="仿宋" w:eastAsia="仿宋_GB2312"/>
          <w:color w:val="auto"/>
          <w:sz w:val="32"/>
          <w:highlight w:val="none"/>
          <w:lang w:val="en-US" w:eastAsia="zh-CN"/>
        </w:rPr>
        <w:t>100</w:t>
      </w:r>
      <w:r>
        <w:rPr>
          <w:rFonts w:hint="eastAsia" w:ascii="仿宋_GB2312" w:hAnsi="仿宋" w:eastAsia="仿宋_GB2312"/>
          <w:color w:val="auto"/>
          <w:sz w:val="32"/>
          <w:highlight w:val="none"/>
        </w:rPr>
        <w:t>%。</w:t>
      </w:r>
      <w:r>
        <w:rPr>
          <w:rFonts w:hint="eastAsia" w:ascii="仿宋_GB2312" w:hAnsi="黑体" w:eastAsia="仿宋_GB2312"/>
          <w:color w:val="auto"/>
          <w:sz w:val="32"/>
          <w:highlight w:val="none"/>
        </w:rPr>
        <w:t>根据自评材料，未发现支出超预算指标情况。有关县（市、区）预算执行进度与事项完成进度基本匹配。</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（2）成本控制。指标分值2</w:t>
      </w:r>
      <w:r>
        <w:rPr>
          <w:rFonts w:ascii="仿宋_GB2312" w:eastAsia="仿宋_GB2312"/>
          <w:color w:val="auto"/>
          <w:sz w:val="32"/>
          <w:szCs w:val="32"/>
          <w:highlight w:val="none"/>
        </w:rPr>
        <w:t>分，评价得分2分，得分率为</w:t>
      </w:r>
      <w:r>
        <w:rPr>
          <w:rFonts w:hint="eastAsia" w:ascii="仿宋_GB2312" w:eastAsia="仿宋_GB2312"/>
          <w:color w:val="auto"/>
          <w:sz w:val="32"/>
          <w:szCs w:val="32"/>
          <w:highlight w:val="none"/>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专项资金项目成本支出基本控制在合理范围</w:t>
      </w:r>
      <w:r>
        <w:rPr>
          <w:rFonts w:hint="eastAsia" w:ascii="仿宋_GB2312" w:eastAsia="仿宋_GB2312"/>
          <w:color w:val="auto"/>
          <w:sz w:val="32"/>
          <w:szCs w:val="32"/>
          <w:highlight w:val="none"/>
          <w:lang w:eastAsia="zh-CN"/>
        </w:rPr>
        <w:t>。</w:t>
      </w:r>
    </w:p>
    <w:p>
      <w:pPr>
        <w:pStyle w:val="13"/>
        <w:ind w:left="0" w:leftChars="0" w:firstLine="640" w:firstLineChars="200"/>
        <w:rPr>
          <w:rFonts w:hint="eastAsia" w:ascii="仿宋_GB2312" w:hAnsi="仿宋" w:eastAsia="仿宋_GB2312" w:cs="Times New Roman"/>
          <w:color w:val="auto"/>
          <w:sz w:val="32"/>
          <w:highlight w:val="none"/>
          <w:lang w:val="en-US" w:eastAsia="zh-CN"/>
        </w:rPr>
      </w:pPr>
      <w:r>
        <w:rPr>
          <w:rFonts w:hint="eastAsia" w:ascii="仿宋_GB2312" w:hAnsi="仿宋" w:eastAsia="仿宋_GB2312" w:cs="Times New Roman"/>
          <w:color w:val="auto"/>
          <w:sz w:val="32"/>
          <w:highlight w:val="none"/>
          <w:lang w:val="en-US" w:eastAsia="zh-CN"/>
        </w:rPr>
        <w:t>（3）完成进度。</w:t>
      </w:r>
      <w:bookmarkStart w:id="41" w:name="_Hlk41331806"/>
      <w:r>
        <w:rPr>
          <w:rFonts w:hint="eastAsia" w:ascii="仿宋_GB2312" w:hAnsi="仿宋" w:eastAsia="仿宋_GB2312" w:cs="Times New Roman"/>
          <w:color w:val="auto"/>
          <w:sz w:val="32"/>
          <w:highlight w:val="none"/>
          <w:lang w:val="en-US" w:eastAsia="zh-CN"/>
        </w:rPr>
        <w:t>该指标分值16分，评价得分14.10分，得分率为88.13%</w:t>
      </w:r>
      <w:bookmarkEnd w:id="41"/>
      <w:r>
        <w:rPr>
          <w:rFonts w:hint="eastAsia" w:ascii="仿宋_GB2312" w:hAnsi="仿宋" w:eastAsia="仿宋_GB2312" w:cs="Times New Roman"/>
          <w:color w:val="auto"/>
          <w:sz w:val="32"/>
          <w:highlight w:val="none"/>
          <w:lang w:val="en-US" w:eastAsia="zh-CN"/>
        </w:rPr>
        <w:t>。据统计，2020年申请发放补贴人数为16799，实际已发放人数14686，实际发放比率为87.42%。个别县（市、区）补助发放进度相比预期计划存在滞后情况，补助资金发放进度为88.72%，未达到100%的目标。</w:t>
      </w:r>
    </w:p>
    <w:p>
      <w:pPr>
        <w:pStyle w:val="13"/>
        <w:ind w:left="0" w:leftChars="0" w:firstLine="640" w:firstLineChars="200"/>
        <w:rPr>
          <w:rFonts w:hint="eastAsia" w:ascii="仿宋_GB2312" w:hAnsi="仿宋" w:eastAsia="仿宋_GB2312" w:cs="Times New Roman"/>
          <w:color w:val="auto"/>
          <w:sz w:val="32"/>
          <w:highlight w:val="none"/>
          <w:lang w:val="en-US" w:eastAsia="zh-CN"/>
        </w:rPr>
      </w:pPr>
      <w:r>
        <w:rPr>
          <w:rFonts w:hint="eastAsia" w:ascii="仿宋_GB2312" w:hAnsi="仿宋" w:eastAsia="仿宋_GB2312" w:cs="Times New Roman"/>
          <w:color w:val="auto"/>
          <w:sz w:val="32"/>
          <w:highlight w:val="none"/>
          <w:lang w:val="en-US" w:eastAsia="zh-CN"/>
        </w:rPr>
        <w:t>（3）完成质量。该指标分值9分，评价得分9分，得分率为100%。补助资金均按专项资金管理办法发放到位，依据补助工作方案》准确发到符合条件的离岗基层老兽医手上。</w:t>
      </w:r>
    </w:p>
    <w:p>
      <w:pPr>
        <w:ind w:firstLine="642" w:firstLineChars="200"/>
        <w:rPr>
          <w:rFonts w:hint="eastAsia" w:ascii="仿宋_GB2312" w:hAnsi="仿宋" w:eastAsia="仿宋_GB2312"/>
          <w:b w:val="0"/>
          <w:bCs w:val="0"/>
          <w:color w:val="auto"/>
          <w:sz w:val="32"/>
          <w:highlight w:val="none"/>
        </w:rPr>
      </w:pPr>
      <w:r>
        <w:rPr>
          <w:rFonts w:hint="eastAsia" w:ascii="仿宋_GB2312" w:eastAsia="仿宋_GB2312"/>
          <w:b/>
          <w:bCs/>
          <w:color w:val="auto"/>
          <w:sz w:val="32"/>
          <w:highlight w:val="none"/>
        </w:rPr>
        <w:t>4.</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val="en-US" w:eastAsia="zh-CN"/>
        </w:rPr>
        <w:t>给离岗基层老兽医发放生活困难补助</w:t>
      </w:r>
      <w:r>
        <w:rPr>
          <w:rFonts w:hint="eastAsia" w:ascii="仿宋_GB2312" w:hAnsi="仿宋" w:eastAsia="仿宋_GB2312"/>
          <w:b w:val="0"/>
          <w:bCs w:val="0"/>
          <w:color w:val="auto"/>
          <w:sz w:val="32"/>
          <w:highlight w:val="none"/>
        </w:rPr>
        <w:t>产生的社会效益</w:t>
      </w:r>
      <w:r>
        <w:rPr>
          <w:rFonts w:hint="eastAsia" w:ascii="仿宋_GB2312" w:hAnsi="仿宋" w:eastAsia="仿宋_GB2312"/>
          <w:b w:val="0"/>
          <w:bCs w:val="0"/>
          <w:color w:val="auto"/>
          <w:sz w:val="32"/>
          <w:highlight w:val="none"/>
          <w:lang w:eastAsia="zh-CN"/>
        </w:rPr>
        <w:t>，以及</w:t>
      </w:r>
      <w:r>
        <w:rPr>
          <w:rFonts w:hint="eastAsia" w:ascii="仿宋_GB2312" w:hAnsi="仿宋" w:eastAsia="仿宋_GB2312"/>
          <w:b w:val="0"/>
          <w:bCs w:val="0"/>
          <w:color w:val="auto"/>
          <w:sz w:val="32"/>
          <w:highlight w:val="none"/>
          <w:lang w:val="en-US" w:eastAsia="zh-CN"/>
        </w:rPr>
        <w:t>服务对象的</w:t>
      </w:r>
      <w:r>
        <w:rPr>
          <w:rFonts w:hint="eastAsia" w:ascii="仿宋_GB2312" w:hAnsi="仿宋" w:eastAsia="仿宋_GB2312"/>
          <w:b w:val="0"/>
          <w:bCs w:val="0"/>
          <w:color w:val="auto"/>
          <w:sz w:val="32"/>
          <w:highlight w:val="none"/>
        </w:rPr>
        <w:t>满意度。指标分值30分，评价得分</w:t>
      </w:r>
      <w:r>
        <w:rPr>
          <w:rFonts w:hint="eastAsia" w:ascii="仿宋_GB2312" w:hAnsi="仿宋" w:eastAsia="仿宋_GB2312"/>
          <w:b w:val="0"/>
          <w:bCs w:val="0"/>
          <w:color w:val="auto"/>
          <w:sz w:val="32"/>
          <w:highlight w:val="none"/>
          <w:lang w:val="en-US" w:eastAsia="zh-CN"/>
        </w:rPr>
        <w:t>30</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100</w:t>
      </w:r>
      <w:r>
        <w:rPr>
          <w:rFonts w:hint="eastAsia" w:ascii="仿宋_GB2312" w:hAnsi="仿宋" w:eastAsia="仿宋_GB2312"/>
          <w:b w:val="0"/>
          <w:bCs w:val="0"/>
          <w:color w:val="auto"/>
          <w:sz w:val="32"/>
          <w:highlight w:val="none"/>
        </w:rPr>
        <w:t>%。</w:t>
      </w:r>
    </w:p>
    <w:p>
      <w:pPr>
        <w:pStyle w:val="12"/>
        <w:pageBreakBefore w:val="0"/>
        <w:kinsoku/>
        <w:wordWrap/>
        <w:overflowPunct/>
        <w:topLinePunct w:val="0"/>
        <w:bidi w:val="0"/>
        <w:spacing w:before="0" w:after="0" w:line="360" w:lineRule="auto"/>
        <w:ind w:firstLine="640" w:firstLineChars="200"/>
        <w:jc w:val="both"/>
        <w:outlineLvl w:val="2"/>
        <w:rPr>
          <w:rFonts w:hint="eastAsia" w:ascii="仿宋_GB2312" w:hAnsi="仿宋" w:eastAsia="仿宋_GB2312"/>
          <w:b w:val="0"/>
          <w:bCs w:val="0"/>
          <w:color w:val="auto"/>
          <w:sz w:val="32"/>
          <w:highlight w:val="none"/>
          <w:lang w:val="en-US" w:eastAsia="zh-CN"/>
        </w:rPr>
      </w:pPr>
      <w:bookmarkStart w:id="42" w:name="_Toc39324262"/>
      <w:bookmarkStart w:id="43" w:name="_Toc39323965"/>
      <w:bookmarkStart w:id="44" w:name="_Toc42021442"/>
      <w:bookmarkStart w:id="45" w:name="_Toc39921345"/>
      <w:bookmarkStart w:id="46" w:name="_Toc42020751"/>
      <w:bookmarkStart w:id="47" w:name="_Toc41334553"/>
      <w:bookmarkStart w:id="48" w:name="_Toc9006"/>
      <w:r>
        <w:rPr>
          <w:rFonts w:hint="eastAsia" w:ascii="仿宋_GB2312" w:hAnsi="仿宋" w:eastAsia="仿宋_GB2312"/>
          <w:b w:val="0"/>
          <w:bCs w:val="0"/>
          <w:color w:val="auto"/>
          <w:sz w:val="32"/>
          <w:highlight w:val="none"/>
        </w:rPr>
        <w:t>（1）</w:t>
      </w:r>
      <w:bookmarkEnd w:id="42"/>
      <w:bookmarkEnd w:id="43"/>
      <w:bookmarkEnd w:id="44"/>
      <w:bookmarkEnd w:id="45"/>
      <w:bookmarkEnd w:id="46"/>
      <w:bookmarkEnd w:id="47"/>
      <w:bookmarkEnd w:id="48"/>
      <w:r>
        <w:rPr>
          <w:rFonts w:hint="eastAsia" w:ascii="仿宋_GB2312" w:hAnsi="仿宋" w:eastAsia="仿宋_GB2312"/>
          <w:b w:val="0"/>
          <w:bCs w:val="0"/>
          <w:color w:val="auto"/>
          <w:sz w:val="32"/>
          <w:highlight w:val="none"/>
        </w:rPr>
        <w:t>社会效益。该指标分值</w:t>
      </w:r>
      <w:r>
        <w:rPr>
          <w:rFonts w:hint="eastAsia" w:ascii="仿宋_GB2312" w:hAnsi="仿宋" w:eastAsia="仿宋_GB2312"/>
          <w:b w:val="0"/>
          <w:bCs w:val="0"/>
          <w:color w:val="auto"/>
          <w:sz w:val="32"/>
          <w:highlight w:val="none"/>
          <w:lang w:val="en-US" w:eastAsia="zh-CN"/>
        </w:rPr>
        <w:t>25</w:t>
      </w:r>
      <w:r>
        <w:rPr>
          <w:rFonts w:hint="eastAsia" w:ascii="仿宋_GB2312" w:hAnsi="仿宋" w:eastAsia="仿宋_GB2312"/>
          <w:b w:val="0"/>
          <w:bCs w:val="0"/>
          <w:color w:val="auto"/>
          <w:sz w:val="32"/>
          <w:highlight w:val="none"/>
        </w:rPr>
        <w:t>分，评价得</w:t>
      </w:r>
      <w:r>
        <w:rPr>
          <w:rFonts w:hint="eastAsia" w:ascii="仿宋_GB2312" w:hAnsi="仿宋" w:eastAsia="仿宋_GB2312"/>
          <w:b w:val="0"/>
          <w:bCs w:val="0"/>
          <w:color w:val="auto"/>
          <w:sz w:val="32"/>
          <w:highlight w:val="none"/>
          <w:lang w:val="en-US" w:eastAsia="zh-CN"/>
        </w:rPr>
        <w:t>25</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100</w:t>
      </w:r>
      <w:r>
        <w:rPr>
          <w:rFonts w:hint="eastAsia" w:ascii="仿宋_GB2312" w:hAnsi="仿宋" w:eastAsia="仿宋_GB2312"/>
          <w:b w:val="0"/>
          <w:bCs w:val="0"/>
          <w:color w:val="auto"/>
          <w:sz w:val="32"/>
          <w:highlight w:val="none"/>
        </w:rPr>
        <w:t>%。项目实施后，</w:t>
      </w:r>
      <w:r>
        <w:rPr>
          <w:rFonts w:hint="eastAsia" w:ascii="仿宋_GB2312" w:hAnsi="仿宋" w:eastAsia="仿宋_GB2312"/>
          <w:b w:val="0"/>
          <w:bCs w:val="0"/>
          <w:color w:val="auto"/>
          <w:sz w:val="32"/>
          <w:highlight w:val="none"/>
          <w:lang w:val="en-US" w:eastAsia="zh-CN"/>
        </w:rPr>
        <w:t>离岗基层老兽医的基本生活得到有效保障，增加了他们的获得感和幸福感。</w:t>
      </w:r>
    </w:p>
    <w:p>
      <w:pPr>
        <w:pStyle w:val="12"/>
        <w:pageBreakBefore w:val="0"/>
        <w:kinsoku/>
        <w:wordWrap/>
        <w:overflowPunct/>
        <w:topLinePunct w:val="0"/>
        <w:bidi w:val="0"/>
        <w:spacing w:before="0" w:after="0" w:line="360" w:lineRule="auto"/>
        <w:ind w:firstLine="640" w:firstLineChars="200"/>
        <w:jc w:val="both"/>
        <w:outlineLvl w:val="2"/>
        <w:rPr>
          <w:rFonts w:hint="eastAsia" w:ascii="仿宋_GB2312" w:hAnsi="仿宋" w:eastAsia="仿宋_GB2312" w:cs="Times New Roman"/>
          <w:b w:val="0"/>
          <w:bCs w:val="0"/>
          <w:color w:val="auto"/>
          <w:highlight w:val="none"/>
          <w:lang w:val="en-US" w:eastAsia="zh-CN"/>
        </w:rPr>
      </w:pPr>
      <w:bookmarkStart w:id="49" w:name="_Toc42021443"/>
      <w:bookmarkStart w:id="50" w:name="_Toc42020752"/>
      <w:bookmarkStart w:id="51" w:name="_Toc41334554"/>
      <w:r>
        <w:rPr>
          <w:rFonts w:hint="eastAsia" w:ascii="仿宋_GB2312" w:hAnsi="仿宋" w:eastAsia="仿宋_GB2312" w:cs="Times New Roman"/>
          <w:b w:val="0"/>
          <w:bCs w:val="0"/>
          <w:color w:val="auto"/>
          <w:highlight w:val="none"/>
          <w:lang w:val="en-US" w:eastAsia="zh-CN"/>
        </w:rPr>
        <w:t>（2）满意度。该指标分值5分，评价得分5分，得分率为100%。</w:t>
      </w:r>
      <w:bookmarkEnd w:id="49"/>
      <w:bookmarkEnd w:id="50"/>
      <w:bookmarkEnd w:id="51"/>
      <w:r>
        <w:rPr>
          <w:rFonts w:hint="eastAsia" w:ascii="仿宋_GB2312" w:hAnsi="仿宋" w:eastAsia="仿宋_GB2312" w:cs="Times New Roman"/>
          <w:b w:val="0"/>
          <w:bCs w:val="0"/>
          <w:color w:val="auto"/>
          <w:highlight w:val="none"/>
          <w:lang w:val="en-US" w:eastAsia="zh-CN"/>
        </w:rPr>
        <w:t>离岗基层老兽医的综合满意度为100%，超过了</w:t>
      </w:r>
      <w:r>
        <w:rPr>
          <w:rFonts w:hint="eastAsia" w:ascii="宋体" w:hAnsi="宋体" w:eastAsia="宋体" w:cs="宋体"/>
          <w:b w:val="0"/>
          <w:bCs w:val="0"/>
          <w:color w:val="auto"/>
          <w:highlight w:val="none"/>
          <w:lang w:val="en-US" w:eastAsia="zh-CN"/>
        </w:rPr>
        <w:t>≧</w:t>
      </w:r>
      <w:r>
        <w:rPr>
          <w:rFonts w:hint="eastAsia" w:ascii="仿宋_GB2312" w:hAnsi="仿宋" w:eastAsia="仿宋_GB2312" w:cs="Times New Roman"/>
          <w:b w:val="0"/>
          <w:bCs w:val="0"/>
          <w:color w:val="auto"/>
          <w:highlight w:val="none"/>
          <w:lang w:val="en-US" w:eastAsia="zh-CN"/>
        </w:rPr>
        <w:t>80%的满意度既定目标值。</w:t>
      </w:r>
    </w:p>
    <w:p>
      <w:pPr>
        <w:pStyle w:val="3"/>
        <w:keepNext/>
        <w:keepLines/>
        <w:pageBreakBefore w:val="0"/>
        <w:widowControl w:val="0"/>
        <w:kinsoku/>
        <w:wordWrap/>
        <w:overflowPunct/>
        <w:topLinePunct w:val="0"/>
        <w:autoSpaceDE/>
        <w:autoSpaceDN/>
        <w:bidi w:val="0"/>
        <w:adjustRightInd/>
        <w:snapToGrid w:val="0"/>
        <w:spacing w:before="0" w:after="0" w:line="360" w:lineRule="auto"/>
        <w:ind w:firstLine="642" w:firstLineChars="200"/>
        <w:textAlignment w:val="auto"/>
        <w:rPr>
          <w:rFonts w:hint="eastAsia" w:ascii="Calibri" w:hAnsi="宋体"/>
          <w:color w:val="auto"/>
        </w:rPr>
      </w:pPr>
      <w:bookmarkStart w:id="52" w:name="_Toc27579"/>
      <w:r>
        <w:rPr>
          <w:rFonts w:hint="eastAsia" w:ascii="Calibri" w:hAnsi="宋体"/>
          <w:color w:val="auto"/>
        </w:rPr>
        <w:t>（</w:t>
      </w:r>
      <w:r>
        <w:rPr>
          <w:rFonts w:hint="eastAsia" w:ascii="Calibri" w:hAnsi="宋体"/>
          <w:color w:val="auto"/>
          <w:lang w:eastAsia="zh-CN"/>
        </w:rPr>
        <w:t>二</w:t>
      </w:r>
      <w:r>
        <w:rPr>
          <w:rFonts w:hint="eastAsia" w:ascii="Calibri" w:hAnsi="宋体"/>
          <w:color w:val="auto"/>
        </w:rPr>
        <w:t>）专项资金使用绩效</w:t>
      </w:r>
      <w:bookmarkEnd w:id="18"/>
      <w:bookmarkEnd w:id="52"/>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1.专项资金支出情况。</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 w:eastAsia="仿宋_GB2312" w:cs="Times New Roman"/>
          <w:color w:val="auto"/>
          <w:sz w:val="32"/>
          <w:highlight w:val="none"/>
          <w:lang w:val="en-US" w:eastAsia="zh-CN"/>
        </w:rPr>
      </w:pPr>
      <w:r>
        <w:rPr>
          <w:rFonts w:hint="eastAsia" w:ascii="仿宋_GB2312" w:hAnsi="仿宋" w:eastAsia="仿宋_GB2312"/>
          <w:color w:val="auto"/>
          <w:sz w:val="32"/>
          <w:szCs w:val="32"/>
          <w:highlight w:val="none"/>
          <w:lang w:val="en-US" w:eastAsia="zh-CN"/>
        </w:rPr>
        <w:t>省财政厅</w:t>
      </w:r>
      <w:r>
        <w:rPr>
          <w:rFonts w:hint="eastAsia" w:ascii="仿宋_GB2312" w:eastAsia="仿宋_GB2312"/>
          <w:color w:val="auto"/>
          <w:sz w:val="32"/>
          <w:szCs w:val="32"/>
          <w:highlight w:val="none"/>
        </w:rPr>
        <w:t>《关于</w:t>
      </w:r>
      <w:r>
        <w:rPr>
          <w:rFonts w:hint="eastAsia" w:ascii="仿宋_GB2312" w:eastAsia="仿宋_GB2312"/>
          <w:color w:val="auto"/>
          <w:sz w:val="32"/>
          <w:szCs w:val="32"/>
          <w:highlight w:val="none"/>
          <w:lang w:val="en-US" w:eastAsia="zh-CN"/>
        </w:rPr>
        <w:t>提前下达2020年离岗基层老兽医省级补助资金</w:t>
      </w:r>
      <w:r>
        <w:rPr>
          <w:rFonts w:ascii="仿宋_GB2312" w:eastAsia="仿宋_GB2312"/>
          <w:color w:val="auto"/>
          <w:sz w:val="32"/>
          <w:szCs w:val="32"/>
          <w:highlight w:val="none"/>
        </w:rPr>
        <w:t>的通知》</w:t>
      </w:r>
      <w:r>
        <w:rPr>
          <w:rFonts w:hint="eastAsia" w:ascii="仿宋_GB2312" w:hAnsi="仿宋" w:eastAsia="仿宋_GB2312"/>
          <w:color w:val="auto"/>
          <w:sz w:val="32"/>
          <w:szCs w:val="32"/>
          <w:highlight w:val="none"/>
          <w:lang w:val="en-US" w:eastAsia="zh-CN"/>
        </w:rPr>
        <w:t>已按规定程序及时足额地将</w:t>
      </w:r>
      <w:r>
        <w:rPr>
          <w:rFonts w:hint="eastAsia" w:ascii="仿宋_GB2312" w:eastAsia="仿宋_GB2312"/>
          <w:color w:val="auto"/>
          <w:sz w:val="32"/>
          <w:szCs w:val="32"/>
          <w:lang w:val="en-US" w:eastAsia="zh-CN"/>
        </w:rPr>
        <w:t>2020年离岗基层老兽医补助省级资金</w:t>
      </w:r>
      <w:r>
        <w:rPr>
          <w:rFonts w:hint="eastAsia" w:ascii="仿宋_GB2312" w:hAnsi="仿宋" w:eastAsia="仿宋_GB2312"/>
          <w:color w:val="auto"/>
          <w:sz w:val="32"/>
          <w:szCs w:val="32"/>
          <w:highlight w:val="none"/>
          <w:lang w:val="en-US" w:eastAsia="zh-CN"/>
        </w:rPr>
        <w:t>6600万元下达有关地市</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2020年</w:t>
      </w:r>
      <w:r>
        <w:rPr>
          <w:rFonts w:hint="eastAsia" w:ascii="仿宋_GB2312" w:hAnsi="仿宋_GB2312" w:eastAsia="仿宋_GB2312" w:cs="仿宋_GB2312"/>
          <w:color w:val="auto"/>
          <w:sz w:val="32"/>
          <w:highlight w:val="none"/>
        </w:rPr>
        <w:t>实际支出</w:t>
      </w:r>
      <w:r>
        <w:rPr>
          <w:rFonts w:hint="eastAsia" w:ascii="仿宋_GB2312" w:hAnsi="仿宋_GB2312" w:eastAsia="仿宋_GB2312" w:cs="仿宋_GB2312"/>
          <w:color w:val="auto"/>
          <w:sz w:val="32"/>
          <w:highlight w:val="none"/>
          <w:lang w:val="en-US" w:eastAsia="zh-CN"/>
        </w:rPr>
        <w:t>5855.56</w:t>
      </w:r>
      <w:r>
        <w:rPr>
          <w:rFonts w:hint="eastAsia" w:ascii="仿宋_GB2312" w:hAnsi="仿宋_GB2312" w:eastAsia="仿宋_GB2312" w:cs="仿宋_GB2312"/>
          <w:color w:val="auto"/>
          <w:sz w:val="32"/>
          <w:highlight w:val="none"/>
        </w:rPr>
        <w:t>万元，支出率</w:t>
      </w:r>
      <w:r>
        <w:rPr>
          <w:rFonts w:hint="eastAsia" w:ascii="仿宋_GB2312" w:hAnsi="仿宋_GB2312" w:eastAsia="仿宋_GB2312" w:cs="仿宋_GB2312"/>
          <w:color w:val="auto"/>
          <w:sz w:val="32"/>
          <w:highlight w:val="none"/>
          <w:lang w:val="en-US" w:eastAsia="zh-CN"/>
        </w:rPr>
        <w:t>为</w:t>
      </w:r>
      <w:r>
        <w:rPr>
          <w:rFonts w:hint="eastAsia" w:ascii="仿宋_GB2312" w:hAnsi="仿宋" w:eastAsia="仿宋_GB2312" w:cs="Times New Roman"/>
          <w:b w:val="0"/>
          <w:color w:val="auto"/>
          <w:sz w:val="32"/>
          <w:highlight w:val="none"/>
        </w:rPr>
        <w:t>88.72%</w:t>
      </w:r>
      <w:r>
        <w:rPr>
          <w:rFonts w:hint="eastAsia" w:ascii="仿宋_GB2312" w:hAnsi="仿宋" w:eastAsia="仿宋_GB2312" w:cs="Times New Roman"/>
          <w:color w:val="auto"/>
          <w:sz w:val="32"/>
          <w:highlight w:val="none"/>
          <w:lang w:val="en-US" w:eastAsia="zh-CN"/>
        </w:rPr>
        <w:t>。省财政厅2019年12月25日下达专项资金，按计划应2021年底前预算执行完毕。2020年申请发放补贴人数为16799，实际已发放人数14686，实际发放比率为87.42%。相比预期计划存在滞后情况，未达到100%的目标。</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2.专项资金完成绩效目标情况。</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640" w:firstLineChars="200"/>
        <w:textAlignment w:val="auto"/>
        <w:rPr>
          <w:rFonts w:hint="eastAsia" w:ascii="仿宋_GB2312" w:eastAsia="仿宋_GB2312" w:cs="Times New Roman"/>
          <w:color w:val="auto"/>
          <w:kern w:val="0"/>
          <w:sz w:val="32"/>
          <w:szCs w:val="32"/>
          <w:highlight w:val="none"/>
          <w:lang w:val="en-US" w:eastAsia="zh-CN" w:bidi="ar-SA"/>
        </w:rPr>
      </w:pPr>
      <w:r>
        <w:rPr>
          <w:rFonts w:hint="eastAsia" w:ascii="仿宋_GB2312" w:hAnsi="Times New Roman" w:eastAsia="仿宋_GB2312" w:cs="Times New Roman"/>
          <w:color w:val="auto"/>
          <w:kern w:val="0"/>
          <w:sz w:val="32"/>
          <w:szCs w:val="32"/>
          <w:highlight w:val="none"/>
          <w:lang w:val="en-US" w:eastAsia="zh-CN" w:bidi="ar-SA"/>
        </w:rPr>
        <w:t>2020年离岗基层老兽医补助省级资金的绩效目标</w:t>
      </w:r>
      <w:r>
        <w:rPr>
          <w:rFonts w:hint="eastAsia" w:ascii="仿宋_GB2312" w:eastAsia="仿宋_GB2312" w:cs="Times New Roman"/>
          <w:color w:val="auto"/>
          <w:kern w:val="0"/>
          <w:sz w:val="32"/>
          <w:szCs w:val="32"/>
          <w:highlight w:val="none"/>
          <w:lang w:val="en-US" w:eastAsia="zh-CN" w:bidi="ar-SA"/>
        </w:rPr>
        <w:t>为确保离岗基层老兽医省级补贴资金按时足额下拨，并按规定及时将补助资金发放至符合条件的离岗基层老兽医。综合各项评价结果，项目基本实现预期绩效目标。有关市县补助资金发放准确率高。但是</w:t>
      </w:r>
      <w:r>
        <w:rPr>
          <w:rFonts w:hint="eastAsia" w:ascii="仿宋_GB2312" w:hAnsi="仿宋" w:eastAsia="仿宋_GB2312" w:cs="Times New Roman"/>
          <w:b w:val="0"/>
          <w:color w:val="auto"/>
          <w:sz w:val="32"/>
          <w:highlight w:val="none"/>
          <w:lang w:val="en-US" w:eastAsia="zh-CN"/>
        </w:rPr>
        <w:t>部分地市</w:t>
      </w:r>
      <w:r>
        <w:rPr>
          <w:rFonts w:hint="eastAsia" w:ascii="仿宋_GB2312" w:hAnsi="仿宋" w:eastAsia="仿宋_GB2312" w:cs="Times New Roman"/>
          <w:b w:val="0"/>
          <w:color w:val="auto"/>
          <w:sz w:val="32"/>
          <w:highlight w:val="none"/>
        </w:rPr>
        <w:t>印发转分配下达资金文件较晚，</w:t>
      </w:r>
      <w:r>
        <w:rPr>
          <w:rFonts w:hint="eastAsia" w:ascii="仿宋_GB2312" w:hAnsi="仿宋" w:eastAsia="仿宋_GB2312" w:cs="Times New Roman"/>
          <w:b w:val="0"/>
          <w:color w:val="auto"/>
          <w:sz w:val="32"/>
          <w:highlight w:val="none"/>
          <w:lang w:val="en-US" w:eastAsia="zh-CN"/>
        </w:rPr>
        <w:t>对</w:t>
      </w:r>
      <w:r>
        <w:rPr>
          <w:rFonts w:hint="eastAsia" w:ascii="仿宋_GB2312" w:hAnsi="仿宋" w:eastAsia="仿宋_GB2312" w:cs="Times New Roman"/>
          <w:b w:val="0"/>
          <w:color w:val="auto"/>
          <w:sz w:val="32"/>
          <w:highlight w:val="none"/>
          <w:lang w:eastAsia="zh-CN"/>
        </w:rPr>
        <w:t>预算执行时效产生负面</w:t>
      </w:r>
      <w:r>
        <w:rPr>
          <w:rFonts w:hint="eastAsia" w:ascii="仿宋_GB2312" w:hAnsi="仿宋" w:eastAsia="仿宋_GB2312" w:cs="Times New Roman"/>
          <w:b w:val="0"/>
          <w:color w:val="auto"/>
          <w:sz w:val="32"/>
          <w:highlight w:val="none"/>
        </w:rPr>
        <w:t>影响</w:t>
      </w:r>
      <w:r>
        <w:rPr>
          <w:rFonts w:hint="eastAsia" w:ascii="仿宋_GB2312" w:hAnsi="仿宋" w:eastAsia="仿宋_GB2312" w:cs="Times New Roman"/>
          <w:b w:val="0"/>
          <w:color w:val="auto"/>
          <w:sz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3.专项资金分用途使用绩效。</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（1）年度目标基本完成，离岗基层老兽医的基本生活得到保障，获得感和满意度进一步提升。</w:t>
      </w:r>
    </w:p>
    <w:p>
      <w:pPr>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大部分市县将专项资金按规定及时发放至符合条件的离岗基层老兽医，基本实现了预期目标，妥善解决离岗基层老兽医的生活困难问题，有效保障了离岗基层老兽医的基本生活。安排专项资金补助，给离岗基层老兽医送去关怀，增添其生活温度，有助于提升离岗基层老兽医的获得感和满意度，增进对政府的信任，同时使社会经济发展成果惠及更多社会群体。</w:t>
      </w:r>
    </w:p>
    <w:p>
      <w:pPr>
        <w:ind w:firstLine="642"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（2）社会效益显著，弘扬公益精神，传递积极奉献的社会“正能量”。</w:t>
      </w:r>
    </w:p>
    <w:p>
      <w:pPr>
        <w:pStyle w:val="13"/>
        <w:ind w:left="0" w:leftChars="0" w:firstLine="640" w:firstLineChars="200"/>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项目的实施具有很好的社会效益。离岗基层老兽医是</w:t>
      </w:r>
      <w:r>
        <w:rPr>
          <w:rFonts w:hint="default" w:ascii="仿宋_GB2312" w:hAnsi="Times New Roman" w:eastAsia="仿宋_GB2312" w:cs="Times New Roman"/>
          <w:color w:val="auto"/>
          <w:kern w:val="2"/>
          <w:sz w:val="32"/>
          <w:szCs w:val="32"/>
          <w:lang w:val="en-US" w:eastAsia="zh-CN" w:bidi="ar-SA"/>
        </w:rPr>
        <w:t>1949 年10月1日至2007年12月31日期间，由乡镇（公社）、村（大队、农场、管理区）等委派（雇佣、指定等），在乡镇（公社）、行政村（自然村）、生产队、农场、管理区等区域承担兽医公益服务工作的基层兽医人员，</w:t>
      </w:r>
      <w:r>
        <w:rPr>
          <w:rFonts w:hint="eastAsia" w:ascii="仿宋_GB2312" w:hAnsi="Times New Roman" w:eastAsia="仿宋_GB2312" w:cs="Times New Roman"/>
          <w:color w:val="auto"/>
          <w:kern w:val="2"/>
          <w:sz w:val="32"/>
          <w:szCs w:val="32"/>
          <w:lang w:val="en-US" w:eastAsia="zh-CN" w:bidi="ar-SA"/>
        </w:rPr>
        <w:t>但是</w:t>
      </w:r>
      <w:r>
        <w:rPr>
          <w:rFonts w:hint="default" w:ascii="仿宋_GB2312" w:hAnsi="Times New Roman" w:eastAsia="仿宋_GB2312" w:cs="Times New Roman"/>
          <w:color w:val="auto"/>
          <w:kern w:val="2"/>
          <w:sz w:val="32"/>
          <w:szCs w:val="32"/>
          <w:lang w:val="en-US" w:eastAsia="zh-CN" w:bidi="ar-SA"/>
        </w:rPr>
        <w:t>离开岗位后未被国家机关、事业单位录用为编制内人员或国有企业录用为正式工作人员</w:t>
      </w:r>
      <w:r>
        <w:rPr>
          <w:rFonts w:hint="eastAsia" w:ascii="仿宋_GB2312" w:hAnsi="Times New Roman" w:eastAsia="仿宋_GB2312" w:cs="Times New Roman"/>
          <w:color w:val="auto"/>
          <w:kern w:val="2"/>
          <w:sz w:val="32"/>
          <w:szCs w:val="32"/>
          <w:lang w:val="en-US" w:eastAsia="zh-CN" w:bidi="ar-SA"/>
        </w:rPr>
        <w:t>的群体。其工作具有明显的公益性质，在岗期间为解决当地居民的生产生活问题带来便利。专项资金补助离岗基层老兽医的基本生活，一方面是对其多年基层工作的肯定和尊重，另一方面是对其合法权益的保障和社会公平正义的维护。通过项目的实施，大力弘扬和传递积极奉献的公益精神，提升基层工作者的社会地位，鼓舞和调动其他基层工作者建设社会的积极性，积蓄了更多的社会“正能量”。</w:t>
      </w:r>
    </w:p>
    <w:p>
      <w:pPr>
        <w:pStyle w:val="3"/>
        <w:pageBreakBefore w:val="0"/>
        <w:numPr>
          <w:ilvl w:val="0"/>
          <w:numId w:val="4"/>
        </w:numPr>
        <w:kinsoku/>
        <w:wordWrap/>
        <w:overflowPunct/>
        <w:topLinePunct w:val="0"/>
        <w:bidi w:val="0"/>
        <w:spacing w:before="0" w:after="0" w:line="360" w:lineRule="auto"/>
        <w:ind w:firstLine="642" w:firstLineChars="200"/>
        <w:rPr>
          <w:rFonts w:hint="eastAsia" w:ascii="Calibri" w:hAnsi="宋体"/>
          <w:color w:val="auto"/>
        </w:rPr>
      </w:pPr>
      <w:bookmarkStart w:id="53" w:name="_Toc42021449"/>
      <w:bookmarkStart w:id="54" w:name="_Toc2330"/>
      <w:r>
        <w:rPr>
          <w:rFonts w:hint="eastAsia" w:ascii="Calibri" w:hAnsi="宋体"/>
          <w:color w:val="auto"/>
        </w:rPr>
        <w:t>专项资金使用绩效存在的问题</w:t>
      </w:r>
      <w:bookmarkEnd w:id="53"/>
      <w:bookmarkEnd w:id="54"/>
    </w:p>
    <w:p>
      <w:pPr>
        <w:pageBreakBefore w:val="0"/>
        <w:widowControl/>
        <w:numPr>
          <w:ilvl w:val="0"/>
          <w:numId w:val="0"/>
        </w:numPr>
        <w:kinsoku/>
        <w:wordWrap/>
        <w:overflowPunct/>
        <w:topLinePunct w:val="0"/>
        <w:bidi w:val="0"/>
        <w:spacing w:before="0" w:after="0" w:line="360" w:lineRule="auto"/>
        <w:ind w:firstLine="640" w:firstLineChars="200"/>
        <w:jc w:val="left"/>
        <w:outlineLvl w:val="2"/>
        <w:rPr>
          <w:rFonts w:hint="eastAsia" w:ascii="仿宋_GB2312" w:hAnsi="Times New Roman" w:eastAsia="仿宋_GB2312" w:cs="Times New Roman"/>
          <w:b/>
          <w:bCs/>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1.</w:t>
      </w:r>
      <w:r>
        <w:rPr>
          <w:rFonts w:hint="eastAsia" w:ascii="仿宋_GB2312" w:hAnsi="Times New Roman" w:eastAsia="仿宋_GB2312" w:cs="Times New Roman"/>
          <w:b/>
          <w:bCs/>
          <w:color w:val="auto"/>
          <w:kern w:val="2"/>
          <w:sz w:val="32"/>
          <w:szCs w:val="32"/>
          <w:lang w:val="en-US" w:eastAsia="zh-CN" w:bidi="ar-SA"/>
        </w:rPr>
        <w:t>专项资金支出率有待提高。</w:t>
      </w:r>
    </w:p>
    <w:p>
      <w:pPr>
        <w:pageBreakBefore w:val="0"/>
        <w:widowControl/>
        <w:numPr>
          <w:ilvl w:val="0"/>
          <w:numId w:val="0"/>
        </w:numPr>
        <w:kinsoku/>
        <w:wordWrap/>
        <w:overflowPunct/>
        <w:topLinePunct w:val="0"/>
        <w:bidi w:val="0"/>
        <w:spacing w:before="0" w:after="0" w:line="360" w:lineRule="auto"/>
        <w:ind w:firstLine="640" w:firstLineChars="200"/>
        <w:jc w:val="left"/>
        <w:outlineLvl w:val="2"/>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省级财政厅专项资金下拨给相关地市后，各地市需要加快补助资金发放的完成进度。省财政厅2019年12月25日提前下达</w:t>
      </w:r>
      <w:r>
        <w:rPr>
          <w:rFonts w:hint="eastAsia" w:ascii="仿宋_GB2312" w:eastAsia="仿宋_GB2312" w:cs="Times New Roman"/>
          <w:color w:val="auto"/>
          <w:kern w:val="2"/>
          <w:sz w:val="32"/>
          <w:szCs w:val="32"/>
          <w:lang w:val="en-US" w:eastAsia="zh-CN" w:bidi="ar-SA"/>
        </w:rPr>
        <w:t>2020年度</w:t>
      </w:r>
      <w:r>
        <w:rPr>
          <w:rFonts w:hint="eastAsia" w:ascii="仿宋_GB2312" w:hAnsi="Times New Roman" w:eastAsia="仿宋_GB2312" w:cs="Times New Roman"/>
          <w:color w:val="auto"/>
          <w:kern w:val="2"/>
          <w:sz w:val="32"/>
          <w:szCs w:val="32"/>
          <w:lang w:val="en-US" w:eastAsia="zh-CN" w:bidi="ar-SA"/>
        </w:rPr>
        <w:t>专项资金，按计划预算资金应于2021年底前完成支出，但是2020年兽医补助省级专项资金支出率为88.72%。2020年申请发放补贴人数为16799，实际已发放人数14686，实际发放比率为87.42%，滞后于原计划。原因在于部分地市未按专项资金管理办法，在省级预算资金下达后30日内转分配下达到县（市、区），</w:t>
      </w:r>
      <w:r>
        <w:rPr>
          <w:rFonts w:hint="eastAsia" w:ascii="仿宋_GB2312" w:eastAsia="仿宋_GB2312" w:cs="Times New Roman"/>
          <w:color w:val="auto"/>
          <w:kern w:val="2"/>
          <w:sz w:val="32"/>
          <w:szCs w:val="32"/>
          <w:lang w:val="en-US" w:eastAsia="zh-CN" w:bidi="ar-SA"/>
        </w:rPr>
        <w:t>未及时</w:t>
      </w:r>
      <w:r>
        <w:rPr>
          <w:rFonts w:hint="eastAsia" w:ascii="仿宋_GB2312" w:hAnsi="Times New Roman" w:eastAsia="仿宋_GB2312" w:cs="Times New Roman"/>
          <w:color w:val="auto"/>
          <w:kern w:val="2"/>
          <w:sz w:val="32"/>
          <w:szCs w:val="32"/>
          <w:lang w:val="en-US" w:eastAsia="zh-CN" w:bidi="ar-SA"/>
        </w:rPr>
        <w:t>转分配下达</w:t>
      </w:r>
      <w:r>
        <w:rPr>
          <w:rFonts w:hint="eastAsia" w:ascii="仿宋_GB2312" w:eastAsia="仿宋_GB2312" w:cs="Times New Roman"/>
          <w:color w:val="auto"/>
          <w:kern w:val="2"/>
          <w:sz w:val="32"/>
          <w:szCs w:val="32"/>
          <w:lang w:val="en-US" w:eastAsia="zh-CN" w:bidi="ar-SA"/>
        </w:rPr>
        <w:t>专项</w:t>
      </w:r>
      <w:r>
        <w:rPr>
          <w:rFonts w:hint="eastAsia" w:ascii="仿宋_GB2312" w:hAnsi="Times New Roman" w:eastAsia="仿宋_GB2312" w:cs="Times New Roman"/>
          <w:color w:val="auto"/>
          <w:kern w:val="2"/>
          <w:sz w:val="32"/>
          <w:szCs w:val="32"/>
          <w:lang w:val="en-US" w:eastAsia="zh-CN" w:bidi="ar-SA"/>
        </w:rPr>
        <w:t>资金，影响了资金支出</w:t>
      </w:r>
      <w:r>
        <w:rPr>
          <w:rFonts w:hint="eastAsia" w:ascii="仿宋_GB2312" w:eastAsia="仿宋_GB2312" w:cs="Times New Roman"/>
          <w:color w:val="auto"/>
          <w:kern w:val="2"/>
          <w:sz w:val="32"/>
          <w:szCs w:val="32"/>
          <w:lang w:val="en-US" w:eastAsia="zh-CN" w:bidi="ar-SA"/>
        </w:rPr>
        <w:t>效率</w:t>
      </w:r>
      <w:r>
        <w:rPr>
          <w:rFonts w:hint="eastAsia" w:ascii="仿宋_GB2312" w:hAnsi="Times New Roman" w:eastAsia="仿宋_GB2312" w:cs="Times New Roman"/>
          <w:color w:val="auto"/>
          <w:kern w:val="2"/>
          <w:sz w:val="32"/>
          <w:szCs w:val="32"/>
          <w:lang w:val="en-US" w:eastAsia="zh-CN" w:bidi="ar-SA"/>
        </w:rPr>
        <w:t>和预期目标的实现。</w:t>
      </w:r>
    </w:p>
    <w:p>
      <w:pPr>
        <w:pStyle w:val="13"/>
        <w:ind w:left="0" w:leftChars="0" w:firstLine="642" w:firstLineChars="200"/>
        <w:rPr>
          <w:rFonts w:hint="eastAsia"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2.绩效目标设置缺少量化指标，实施成效的衡量标准较难统一。</w:t>
      </w:r>
    </w:p>
    <w:p>
      <w:pPr>
        <w:pStyle w:val="13"/>
        <w:ind w:left="0" w:leftChars="0" w:firstLine="640" w:firstLineChars="200"/>
        <w:rPr>
          <w:rFonts w:hint="eastAsia"/>
          <w:lang w:val="en-US" w:eastAsia="zh-CN"/>
        </w:rPr>
      </w:pPr>
      <w:r>
        <w:rPr>
          <w:rFonts w:hint="eastAsia" w:ascii="仿宋_GB2312" w:hAnsi="Times New Roman" w:eastAsia="仿宋_GB2312" w:cs="Times New Roman"/>
          <w:b w:val="0"/>
          <w:bCs w:val="0"/>
          <w:color w:val="auto"/>
          <w:kern w:val="2"/>
          <w:sz w:val="32"/>
          <w:szCs w:val="32"/>
          <w:lang w:val="en-US" w:eastAsia="zh-CN" w:bidi="ar-SA"/>
        </w:rPr>
        <w:t>绩效目标一方面对项目实施具有导向性作用，是项目实施绩效监控的重要依据。另一方面是项目实施结果的考核标准，欠缺明确的项目预算绩效目标，将导致难以准确衡量项目的实施成效。虽然专项资金有总体的绩效目标，但绩效目标定性成分较多，在“可衡量性”方面仍存在较大提升空间。且在产出数量、质量、成本指标、预期达到的效果性指标等方面，未做出明确要求，对专项资金实施成效的衡量，标准难以统一。</w:t>
      </w:r>
    </w:p>
    <w:p>
      <w:pPr>
        <w:pStyle w:val="14"/>
        <w:pageBreakBefore w:val="0"/>
        <w:widowControl w:val="0"/>
        <w:numPr>
          <w:ilvl w:val="0"/>
          <w:numId w:val="5"/>
        </w:numPr>
        <w:kinsoku/>
        <w:wordWrap/>
        <w:overflowPunct/>
        <w:topLinePunct w:val="0"/>
        <w:autoSpaceDE/>
        <w:autoSpaceDN/>
        <w:bidi w:val="0"/>
        <w:adjustRightInd/>
        <w:snapToGrid/>
        <w:spacing w:before="0" w:after="0" w:line="360" w:lineRule="auto"/>
        <w:ind w:firstLine="640" w:firstLineChars="200"/>
        <w:jc w:val="both"/>
        <w:textAlignment w:val="auto"/>
        <w:rPr>
          <w:rFonts w:hint="eastAsia" w:ascii="黑体" w:hAnsi="黑体"/>
          <w:bCs/>
          <w:color w:val="auto"/>
        </w:rPr>
      </w:pPr>
      <w:bookmarkStart w:id="55" w:name="_Toc19400"/>
      <w:bookmarkStart w:id="56" w:name="_Toc42021450"/>
      <w:r>
        <w:rPr>
          <w:rFonts w:hint="eastAsia" w:ascii="黑体" w:hAnsi="黑体"/>
          <w:bCs/>
          <w:color w:val="auto"/>
        </w:rPr>
        <w:t>改进意见</w:t>
      </w:r>
      <w:bookmarkEnd w:id="55"/>
      <w:bookmarkEnd w:id="56"/>
    </w:p>
    <w:p>
      <w:pPr>
        <w:spacing w:line="360" w:lineRule="auto"/>
        <w:ind w:firstLine="642" w:firstLineChars="200"/>
        <w:rPr>
          <w:rFonts w:hint="eastAsia" w:ascii="楷体_GB2312" w:eastAsia="楷体_GB2312"/>
          <w:b/>
          <w:bCs/>
          <w:color w:val="auto"/>
          <w:sz w:val="32"/>
          <w:szCs w:val="32"/>
          <w:highlight w:val="none"/>
          <w:lang w:eastAsia="zh-CN"/>
        </w:rPr>
      </w:pPr>
      <w:r>
        <w:rPr>
          <w:rFonts w:hint="eastAsia" w:ascii="楷体_GB2312" w:eastAsia="楷体_GB2312"/>
          <w:b/>
          <w:bCs/>
          <w:color w:val="auto"/>
          <w:sz w:val="32"/>
          <w:szCs w:val="32"/>
          <w:highlight w:val="none"/>
          <w:lang w:eastAsia="zh-CN"/>
        </w:rPr>
        <w:t>（</w:t>
      </w:r>
      <w:r>
        <w:rPr>
          <w:rFonts w:hint="eastAsia" w:ascii="楷体_GB2312" w:eastAsia="楷体_GB2312"/>
          <w:b/>
          <w:bCs/>
          <w:color w:val="auto"/>
          <w:sz w:val="32"/>
          <w:szCs w:val="32"/>
          <w:highlight w:val="none"/>
          <w:lang w:val="en-US" w:eastAsia="zh-CN"/>
        </w:rPr>
        <w:t>一</w:t>
      </w:r>
      <w:r>
        <w:rPr>
          <w:rFonts w:hint="eastAsia" w:ascii="楷体_GB2312" w:eastAsia="楷体_GB2312"/>
          <w:b/>
          <w:bCs/>
          <w:color w:val="auto"/>
          <w:sz w:val="32"/>
          <w:szCs w:val="32"/>
          <w:highlight w:val="none"/>
          <w:lang w:eastAsia="zh-CN"/>
        </w:rPr>
        <w:t>）认真做好项目实施监管，开展</w:t>
      </w:r>
      <w:r>
        <w:rPr>
          <w:rFonts w:hint="eastAsia" w:ascii="楷体_GB2312" w:eastAsia="楷体_GB2312"/>
          <w:b/>
          <w:bCs/>
          <w:color w:val="auto"/>
          <w:sz w:val="32"/>
          <w:szCs w:val="32"/>
          <w:highlight w:val="none"/>
          <w:lang w:val="en-US" w:eastAsia="zh-CN"/>
        </w:rPr>
        <w:t>绩效运行</w:t>
      </w:r>
      <w:r>
        <w:rPr>
          <w:rFonts w:hint="eastAsia" w:ascii="楷体_GB2312" w:eastAsia="楷体_GB2312"/>
          <w:b/>
          <w:bCs/>
          <w:color w:val="auto"/>
          <w:sz w:val="32"/>
          <w:szCs w:val="32"/>
          <w:highlight w:val="none"/>
          <w:lang w:eastAsia="zh-CN"/>
        </w:rPr>
        <w:t>监控，</w:t>
      </w:r>
      <w:r>
        <w:rPr>
          <w:rFonts w:hint="eastAsia" w:ascii="楷体_GB2312" w:eastAsia="楷体_GB2312"/>
          <w:b/>
          <w:bCs/>
          <w:color w:val="auto"/>
          <w:sz w:val="32"/>
          <w:szCs w:val="32"/>
          <w:highlight w:val="none"/>
          <w:lang w:val="en-US" w:eastAsia="zh-CN"/>
        </w:rPr>
        <w:t>强化预算执行进度管理</w:t>
      </w:r>
      <w:r>
        <w:rPr>
          <w:rFonts w:hint="eastAsia" w:ascii="楷体_GB2312" w:eastAsia="楷体_GB2312"/>
          <w:b/>
          <w:bCs/>
          <w:color w:val="auto"/>
          <w:sz w:val="32"/>
          <w:szCs w:val="32"/>
          <w:highlight w:val="none"/>
          <w:lang w:eastAsia="zh-CN"/>
        </w:rPr>
        <w:t>。</w:t>
      </w:r>
    </w:p>
    <w:p>
      <w:pPr>
        <w:pStyle w:val="13"/>
        <w:ind w:left="0" w:leftChars="0" w:firstLine="640" w:firstLineChars="200"/>
        <w:rPr>
          <w:rFonts w:hint="default"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明确预算支出执行进度总体要求。定时将财政支出进度进行统计分析，对预算执行情况进行分析研判，并以通报的形式下发项目实施单位，及时指导、督促有关单位加快预算执行工作。督促未达到支出序时进度的预算单位，分析支出进度缓慢原因，梳理查找执行中的问题，认真研究提出有针对性的对策和措施。</w:t>
      </w:r>
      <w:r>
        <w:rPr>
          <w:rFonts w:hint="eastAsia" w:ascii="仿宋_GB2312" w:hAnsi="仿宋_GB2312" w:eastAsia="仿宋_GB2312" w:cs="仿宋_GB2312"/>
          <w:color w:val="auto"/>
          <w:sz w:val="32"/>
          <w:highlight w:val="none"/>
          <w:lang w:eastAsia="zh-CN"/>
        </w:rPr>
        <w:t>组织</w:t>
      </w:r>
      <w:r>
        <w:rPr>
          <w:rFonts w:hint="eastAsia" w:ascii="仿宋_GB2312" w:hAnsi="仿宋_GB2312" w:eastAsia="仿宋_GB2312" w:cs="仿宋_GB2312"/>
          <w:color w:val="auto"/>
          <w:sz w:val="32"/>
          <w:highlight w:val="none"/>
          <w:lang w:val="en-US" w:eastAsia="zh-CN"/>
        </w:rPr>
        <w:t>有关市县主管单位</w:t>
      </w:r>
      <w:r>
        <w:rPr>
          <w:rFonts w:hint="eastAsia" w:ascii="仿宋_GB2312" w:hAnsi="仿宋_GB2312" w:eastAsia="仿宋_GB2312" w:cs="仿宋_GB2312"/>
          <w:color w:val="auto"/>
          <w:sz w:val="32"/>
          <w:highlight w:val="none"/>
          <w:lang w:eastAsia="zh-CN"/>
        </w:rPr>
        <w:t>对照项目既定绩效目标，开展绩效监控，全面掌握项目实施情况及存在的问题，及时解决绩效目标运行过程中出现的偏差，确保</w:t>
      </w:r>
      <w:r>
        <w:rPr>
          <w:rFonts w:hint="eastAsia" w:ascii="仿宋_GB2312" w:hAnsi="仿宋_GB2312" w:eastAsia="仿宋_GB2312" w:cs="仿宋_GB2312"/>
          <w:color w:val="auto"/>
          <w:sz w:val="32"/>
          <w:highlight w:val="none"/>
          <w:lang w:val="en-US" w:eastAsia="zh-CN"/>
        </w:rPr>
        <w:t>完成预算执行进度</w:t>
      </w:r>
      <w:r>
        <w:rPr>
          <w:rFonts w:hint="eastAsia" w:ascii="仿宋_GB2312" w:hAnsi="仿宋_GB2312" w:eastAsia="仿宋_GB2312" w:cs="仿宋_GB2312"/>
          <w:color w:val="auto"/>
          <w:sz w:val="32"/>
          <w:highlight w:val="none"/>
          <w:lang w:eastAsia="zh-CN"/>
        </w:rPr>
        <w:t>。</w:t>
      </w:r>
    </w:p>
    <w:p>
      <w:pPr>
        <w:spacing w:line="360" w:lineRule="auto"/>
        <w:ind w:firstLine="642" w:firstLineChars="200"/>
        <w:rPr>
          <w:rFonts w:ascii="楷体_GB2312" w:eastAsia="楷体_GB2312"/>
          <w:b/>
          <w:bCs/>
          <w:color w:val="auto"/>
          <w:sz w:val="32"/>
          <w:szCs w:val="32"/>
          <w:highlight w:val="none"/>
        </w:rPr>
      </w:pPr>
      <w:r>
        <w:rPr>
          <w:rFonts w:hint="eastAsia" w:ascii="楷体_GB2312" w:eastAsia="楷体_GB2312"/>
          <w:b/>
          <w:bCs/>
          <w:color w:val="auto"/>
          <w:sz w:val="32"/>
          <w:szCs w:val="32"/>
          <w:highlight w:val="none"/>
        </w:rPr>
        <w:t>（</w:t>
      </w:r>
      <w:r>
        <w:rPr>
          <w:rFonts w:hint="eastAsia" w:ascii="楷体_GB2312" w:eastAsia="楷体_GB2312"/>
          <w:b/>
          <w:bCs/>
          <w:color w:val="auto"/>
          <w:sz w:val="32"/>
          <w:szCs w:val="32"/>
          <w:highlight w:val="none"/>
          <w:lang w:val="en-US" w:eastAsia="zh-CN"/>
        </w:rPr>
        <w:t>二</w:t>
      </w:r>
      <w:r>
        <w:rPr>
          <w:rFonts w:hint="eastAsia" w:ascii="楷体_GB2312" w:eastAsia="楷体_GB2312"/>
          <w:b/>
          <w:bCs/>
          <w:color w:val="auto"/>
          <w:sz w:val="32"/>
          <w:szCs w:val="32"/>
          <w:highlight w:val="none"/>
        </w:rPr>
        <w:t>）完善绩效考核机制，建立完整合理可衡量的绩效指标体系</w:t>
      </w:r>
    </w:p>
    <w:p>
      <w:pPr>
        <w:spacing w:line="360" w:lineRule="auto"/>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积极探索和建立一套与预算管理相结合、多渠道应用评价结果的有效机制，着力提高绩效意识和财政资金使用效益。</w:t>
      </w:r>
      <w:r>
        <w:rPr>
          <w:rFonts w:hint="eastAsia" w:ascii="仿宋_GB2312" w:eastAsia="仿宋_GB2312"/>
          <w:color w:val="auto"/>
          <w:sz w:val="32"/>
          <w:szCs w:val="32"/>
          <w:highlight w:val="none"/>
          <w:lang w:eastAsia="zh-CN"/>
        </w:rPr>
        <w:t>按</w:t>
      </w:r>
      <w:r>
        <w:rPr>
          <w:rFonts w:hint="eastAsia" w:ascii="仿宋_GB2312" w:eastAsia="仿宋_GB2312"/>
          <w:color w:val="auto"/>
          <w:sz w:val="32"/>
          <w:szCs w:val="32"/>
          <w:highlight w:val="none"/>
        </w:rPr>
        <w:t>照《广东省省级财政预算绩效目标管理办法（试行）》（粤财绩〔</w:t>
      </w:r>
      <w:r>
        <w:rPr>
          <w:rFonts w:ascii="仿宋_GB2312" w:eastAsia="仿宋_GB2312"/>
          <w:color w:val="auto"/>
          <w:sz w:val="32"/>
          <w:szCs w:val="32"/>
          <w:highlight w:val="none"/>
        </w:rPr>
        <w:t>2019〕11号）有关规定设置</w:t>
      </w:r>
      <w:r>
        <w:rPr>
          <w:rFonts w:hint="eastAsia" w:ascii="仿宋_GB2312" w:eastAsia="仿宋_GB2312"/>
          <w:color w:val="auto"/>
          <w:sz w:val="32"/>
          <w:szCs w:val="32"/>
          <w:highlight w:val="none"/>
          <w:lang w:eastAsia="zh-CN"/>
        </w:rPr>
        <w:t>和完善</w:t>
      </w:r>
      <w:r>
        <w:rPr>
          <w:rFonts w:ascii="仿宋_GB2312" w:eastAsia="仿宋_GB2312"/>
          <w:color w:val="auto"/>
          <w:sz w:val="32"/>
          <w:szCs w:val="32"/>
          <w:highlight w:val="none"/>
        </w:rPr>
        <w:t>项目支出绩效目标。</w:t>
      </w:r>
      <w:r>
        <w:rPr>
          <w:rFonts w:hint="eastAsia" w:ascii="仿宋_GB2312" w:eastAsia="仿宋_GB2312"/>
          <w:color w:val="auto"/>
          <w:sz w:val="32"/>
          <w:szCs w:val="32"/>
          <w:highlight w:val="none"/>
          <w:lang w:val="en-US" w:eastAsia="zh-CN"/>
        </w:rPr>
        <w:t>设置可衡量的绩效指标，</w:t>
      </w:r>
      <w:r>
        <w:rPr>
          <w:rFonts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产出和效益</w:t>
      </w:r>
      <w:r>
        <w:rPr>
          <w:rFonts w:ascii="仿宋_GB2312" w:eastAsia="仿宋_GB2312"/>
          <w:color w:val="auto"/>
          <w:sz w:val="32"/>
          <w:szCs w:val="32"/>
          <w:highlight w:val="none"/>
        </w:rPr>
        <w:t>方面的量化指标，如</w:t>
      </w:r>
      <w:r>
        <w:rPr>
          <w:rFonts w:hint="eastAsia" w:ascii="仿宋_GB2312" w:eastAsia="仿宋_GB2312"/>
          <w:color w:val="auto"/>
          <w:sz w:val="32"/>
          <w:szCs w:val="32"/>
          <w:highlight w:val="none"/>
          <w:lang w:val="en-US" w:eastAsia="zh-CN"/>
        </w:rPr>
        <w:t>数量指标补助发放人数，质量指标补助发放准确率，时效指标补助发放完成时间等等。科学编报用款计划并严格执行，</w:t>
      </w:r>
      <w:r>
        <w:rPr>
          <w:rFonts w:hint="eastAsia" w:ascii="仿宋_GB2312" w:eastAsia="仿宋_GB2312"/>
          <w:color w:val="auto"/>
          <w:sz w:val="32"/>
          <w:szCs w:val="32"/>
          <w:highlight w:val="none"/>
        </w:rPr>
        <w:t>完善对专项资金使用绩效</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考</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评</w:t>
      </w:r>
      <w:r>
        <w:rPr>
          <w:rFonts w:hint="eastAsia" w:ascii="仿宋_GB2312" w:eastAsia="仿宋_GB2312"/>
          <w:color w:val="auto"/>
          <w:sz w:val="32"/>
          <w:szCs w:val="32"/>
          <w:highlight w:val="none"/>
          <w:lang w:eastAsia="zh-CN"/>
        </w:rPr>
        <w:t>估机制</w:t>
      </w:r>
      <w:r>
        <w:rPr>
          <w:rFonts w:hint="eastAsia" w:ascii="仿宋_GB2312" w:eastAsia="仿宋_GB2312"/>
          <w:color w:val="auto"/>
          <w:sz w:val="32"/>
          <w:szCs w:val="32"/>
          <w:highlight w:val="none"/>
        </w:rPr>
        <w:t>。</w:t>
      </w:r>
    </w:p>
    <w:p>
      <w:pPr>
        <w:rPr>
          <w:rFonts w:hint="default"/>
          <w:lang w:val="en-US" w:eastAsia="zh-CN"/>
        </w:rPr>
      </w:pPr>
    </w:p>
    <w:sectPr>
      <w:footerReference r:id="rId4" w:type="default"/>
      <w:pgSz w:w="11906" w:h="16838"/>
      <w:pgMar w:top="2041" w:right="1417" w:bottom="1417" w:left="153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汉仪中圆B5"/>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Liberation Serif">
    <w:panose1 w:val="02020603050405020304"/>
    <w:charset w:val="00"/>
    <w:family w:val="auto"/>
    <w:pitch w:val="default"/>
    <w:sig w:usb0="A00002AF" w:usb1="5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汉仪中圆B5">
    <w:panose1 w:val="02010600000101010101"/>
    <w:charset w:val="88"/>
    <w:family w:val="auto"/>
    <w:pitch w:val="default"/>
    <w:sig w:usb0="00000001" w:usb1="080E0800" w:usb2="00000002" w:usb3="00000000" w:csb0="00100000" w:csb1="00000000"/>
  </w:font>
  <w:font w:name="等线 Light">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F25B1"/>
    <w:multiLevelType w:val="singleLevel"/>
    <w:tmpl w:val="A46F25B1"/>
    <w:lvl w:ilvl="0" w:tentative="0">
      <w:start w:val="1"/>
      <w:numFmt w:val="decimal"/>
      <w:suff w:val="nothing"/>
      <w:lvlText w:val="%1．"/>
      <w:lvlJc w:val="left"/>
    </w:lvl>
  </w:abstractNum>
  <w:abstractNum w:abstractNumId="1">
    <w:nsid w:val="B65C8C64"/>
    <w:multiLevelType w:val="singleLevel"/>
    <w:tmpl w:val="B65C8C64"/>
    <w:lvl w:ilvl="0" w:tentative="0">
      <w:start w:val="3"/>
      <w:numFmt w:val="chineseCounting"/>
      <w:suff w:val="nothing"/>
      <w:lvlText w:val="（%1）"/>
      <w:lvlJc w:val="left"/>
      <w:rPr>
        <w:rFonts w:hint="eastAsia"/>
      </w:rPr>
    </w:lvl>
  </w:abstractNum>
  <w:abstractNum w:abstractNumId="2">
    <w:nsid w:val="C5251C6D"/>
    <w:multiLevelType w:val="singleLevel"/>
    <w:tmpl w:val="C5251C6D"/>
    <w:lvl w:ilvl="0" w:tentative="0">
      <w:start w:val="1"/>
      <w:numFmt w:val="decimal"/>
      <w:suff w:val="nothing"/>
      <w:lvlText w:val="（%1）"/>
      <w:lvlJc w:val="left"/>
    </w:lvl>
  </w:abstractNum>
  <w:abstractNum w:abstractNumId="3">
    <w:nsid w:val="61D4623D"/>
    <w:multiLevelType w:val="singleLevel"/>
    <w:tmpl w:val="61D4623D"/>
    <w:lvl w:ilvl="0" w:tentative="0">
      <w:start w:val="3"/>
      <w:numFmt w:val="chineseCounting"/>
      <w:suff w:val="nothing"/>
      <w:lvlText w:val="%1、"/>
      <w:lvlJc w:val="left"/>
      <w:rPr>
        <w:rFonts w:hint="eastAsia"/>
      </w:rPr>
    </w:lvl>
  </w:abstractNum>
  <w:abstractNum w:abstractNumId="4">
    <w:nsid w:val="626219FB"/>
    <w:multiLevelType w:val="singleLevel"/>
    <w:tmpl w:val="626219FB"/>
    <w:lvl w:ilvl="0" w:tentative="0">
      <w:start w:val="1"/>
      <w:numFmt w:val="chineseCounting"/>
      <w:suff w:val="nothing"/>
      <w:lvlText w:val="（%1）"/>
      <w:lvlJc w:val="left"/>
      <w:rPr>
        <w:rFonts w:hint="eastAsia"/>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3138A7"/>
    <w:rsid w:val="00316B5A"/>
    <w:rsid w:val="003221D0"/>
    <w:rsid w:val="003364A6"/>
    <w:rsid w:val="00345D75"/>
    <w:rsid w:val="0035018B"/>
    <w:rsid w:val="00357D7D"/>
    <w:rsid w:val="00362AEC"/>
    <w:rsid w:val="0039133F"/>
    <w:rsid w:val="003B748E"/>
    <w:rsid w:val="003D7939"/>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63A95"/>
    <w:rsid w:val="00975DE8"/>
    <w:rsid w:val="009A76BF"/>
    <w:rsid w:val="009B381C"/>
    <w:rsid w:val="009C185D"/>
    <w:rsid w:val="009D387C"/>
    <w:rsid w:val="009F365C"/>
    <w:rsid w:val="009F38E3"/>
    <w:rsid w:val="00A15BDD"/>
    <w:rsid w:val="00A42722"/>
    <w:rsid w:val="00A562D2"/>
    <w:rsid w:val="00AA6FD0"/>
    <w:rsid w:val="00AB42D9"/>
    <w:rsid w:val="00AC4792"/>
    <w:rsid w:val="00AE1C03"/>
    <w:rsid w:val="00AF2BA8"/>
    <w:rsid w:val="00B81707"/>
    <w:rsid w:val="00B97B3C"/>
    <w:rsid w:val="00BD2451"/>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F1E"/>
    <w:rsid w:val="00F01828"/>
    <w:rsid w:val="00F12244"/>
    <w:rsid w:val="00F67C07"/>
    <w:rsid w:val="00F801C8"/>
    <w:rsid w:val="00FB6015"/>
    <w:rsid w:val="00FC03E5"/>
    <w:rsid w:val="00FE7094"/>
    <w:rsid w:val="01627210"/>
    <w:rsid w:val="0171095C"/>
    <w:rsid w:val="017B2084"/>
    <w:rsid w:val="018D7851"/>
    <w:rsid w:val="01A21D74"/>
    <w:rsid w:val="01AB01A5"/>
    <w:rsid w:val="01F525CE"/>
    <w:rsid w:val="023F5CB3"/>
    <w:rsid w:val="02651338"/>
    <w:rsid w:val="02792BEA"/>
    <w:rsid w:val="027F7101"/>
    <w:rsid w:val="02877425"/>
    <w:rsid w:val="0293741E"/>
    <w:rsid w:val="02C46E62"/>
    <w:rsid w:val="02F4436E"/>
    <w:rsid w:val="0378149E"/>
    <w:rsid w:val="0397336C"/>
    <w:rsid w:val="04325BFC"/>
    <w:rsid w:val="043C5883"/>
    <w:rsid w:val="04742A5B"/>
    <w:rsid w:val="04896D7D"/>
    <w:rsid w:val="049411A1"/>
    <w:rsid w:val="04A81DBC"/>
    <w:rsid w:val="04AA161D"/>
    <w:rsid w:val="04D35F3E"/>
    <w:rsid w:val="04E1731F"/>
    <w:rsid w:val="04E51356"/>
    <w:rsid w:val="04F77FB2"/>
    <w:rsid w:val="051B26EE"/>
    <w:rsid w:val="057633A2"/>
    <w:rsid w:val="06345AE8"/>
    <w:rsid w:val="065A63C9"/>
    <w:rsid w:val="066D18B5"/>
    <w:rsid w:val="06825279"/>
    <w:rsid w:val="06AD336D"/>
    <w:rsid w:val="06B43FED"/>
    <w:rsid w:val="06D80798"/>
    <w:rsid w:val="06DD3DEA"/>
    <w:rsid w:val="06EE6530"/>
    <w:rsid w:val="06F43BCC"/>
    <w:rsid w:val="074B3A16"/>
    <w:rsid w:val="076F2ECD"/>
    <w:rsid w:val="07B246D1"/>
    <w:rsid w:val="07BC4290"/>
    <w:rsid w:val="07BD60E0"/>
    <w:rsid w:val="083A4841"/>
    <w:rsid w:val="08620CB8"/>
    <w:rsid w:val="08626312"/>
    <w:rsid w:val="088F1FB5"/>
    <w:rsid w:val="08D7729F"/>
    <w:rsid w:val="091D6427"/>
    <w:rsid w:val="09FC19D9"/>
    <w:rsid w:val="0B390286"/>
    <w:rsid w:val="0B411B58"/>
    <w:rsid w:val="0BD3517F"/>
    <w:rsid w:val="0BDB6102"/>
    <w:rsid w:val="0C2942B6"/>
    <w:rsid w:val="0C697BC1"/>
    <w:rsid w:val="0CA4455C"/>
    <w:rsid w:val="0CAA4F14"/>
    <w:rsid w:val="0CBC71FC"/>
    <w:rsid w:val="0CE551DA"/>
    <w:rsid w:val="0D535AC4"/>
    <w:rsid w:val="0D65079D"/>
    <w:rsid w:val="0DCA3E55"/>
    <w:rsid w:val="0DFC1627"/>
    <w:rsid w:val="0E515007"/>
    <w:rsid w:val="0E773AB4"/>
    <w:rsid w:val="0E987942"/>
    <w:rsid w:val="0EAC20A6"/>
    <w:rsid w:val="0EC10CAD"/>
    <w:rsid w:val="0F7A7C39"/>
    <w:rsid w:val="0F9A1334"/>
    <w:rsid w:val="0FC740E3"/>
    <w:rsid w:val="0FD41694"/>
    <w:rsid w:val="0FDB0895"/>
    <w:rsid w:val="1025078F"/>
    <w:rsid w:val="104F5DB3"/>
    <w:rsid w:val="105F083F"/>
    <w:rsid w:val="106E7C2F"/>
    <w:rsid w:val="10813B7B"/>
    <w:rsid w:val="10A57D1A"/>
    <w:rsid w:val="10FD05CA"/>
    <w:rsid w:val="1119786B"/>
    <w:rsid w:val="113A15B2"/>
    <w:rsid w:val="115D27D4"/>
    <w:rsid w:val="11D74F0A"/>
    <w:rsid w:val="11F50BAB"/>
    <w:rsid w:val="121D5ECA"/>
    <w:rsid w:val="12640487"/>
    <w:rsid w:val="12BF1CCA"/>
    <w:rsid w:val="12E1125E"/>
    <w:rsid w:val="12F82822"/>
    <w:rsid w:val="133D398F"/>
    <w:rsid w:val="13554D0D"/>
    <w:rsid w:val="13773B6E"/>
    <w:rsid w:val="13822027"/>
    <w:rsid w:val="13917638"/>
    <w:rsid w:val="13A10E7A"/>
    <w:rsid w:val="13A51F52"/>
    <w:rsid w:val="13B218A1"/>
    <w:rsid w:val="13C604CB"/>
    <w:rsid w:val="13F07F40"/>
    <w:rsid w:val="14180C5D"/>
    <w:rsid w:val="141A2D37"/>
    <w:rsid w:val="141F532D"/>
    <w:rsid w:val="142563D6"/>
    <w:rsid w:val="14636EE2"/>
    <w:rsid w:val="14B41373"/>
    <w:rsid w:val="14C86408"/>
    <w:rsid w:val="15123642"/>
    <w:rsid w:val="151C4D63"/>
    <w:rsid w:val="152D7AB0"/>
    <w:rsid w:val="1589255F"/>
    <w:rsid w:val="15A60BEE"/>
    <w:rsid w:val="15D92A75"/>
    <w:rsid w:val="161E32D2"/>
    <w:rsid w:val="16716FA4"/>
    <w:rsid w:val="16DF75C9"/>
    <w:rsid w:val="16FA2DF7"/>
    <w:rsid w:val="17072E0B"/>
    <w:rsid w:val="170A5BDD"/>
    <w:rsid w:val="17235D0D"/>
    <w:rsid w:val="172C6BCF"/>
    <w:rsid w:val="175D717B"/>
    <w:rsid w:val="1788578F"/>
    <w:rsid w:val="180C6EEA"/>
    <w:rsid w:val="18295A65"/>
    <w:rsid w:val="18357721"/>
    <w:rsid w:val="18AE757C"/>
    <w:rsid w:val="18B1753E"/>
    <w:rsid w:val="18BB66A4"/>
    <w:rsid w:val="19173FA3"/>
    <w:rsid w:val="1938714C"/>
    <w:rsid w:val="19421E45"/>
    <w:rsid w:val="198E23BD"/>
    <w:rsid w:val="19C64E27"/>
    <w:rsid w:val="1A0003E6"/>
    <w:rsid w:val="1A062B69"/>
    <w:rsid w:val="1A181932"/>
    <w:rsid w:val="1A1E464B"/>
    <w:rsid w:val="1A3721FE"/>
    <w:rsid w:val="1A4C3B8C"/>
    <w:rsid w:val="1A6311B0"/>
    <w:rsid w:val="1A757977"/>
    <w:rsid w:val="1A8515E3"/>
    <w:rsid w:val="1A932028"/>
    <w:rsid w:val="1A9349CF"/>
    <w:rsid w:val="1A98752E"/>
    <w:rsid w:val="1A9D29EF"/>
    <w:rsid w:val="1AA62EEA"/>
    <w:rsid w:val="1AAD4C44"/>
    <w:rsid w:val="1ABF03F9"/>
    <w:rsid w:val="1AC2509B"/>
    <w:rsid w:val="1AFF5A14"/>
    <w:rsid w:val="1B0B5181"/>
    <w:rsid w:val="1B886D96"/>
    <w:rsid w:val="1C026A0B"/>
    <w:rsid w:val="1C8F7C2B"/>
    <w:rsid w:val="1C9E4BCD"/>
    <w:rsid w:val="1CA11FF8"/>
    <w:rsid w:val="1CBC6798"/>
    <w:rsid w:val="1D277A67"/>
    <w:rsid w:val="1D505A3B"/>
    <w:rsid w:val="1D795CBF"/>
    <w:rsid w:val="1D8001CF"/>
    <w:rsid w:val="1D9D7856"/>
    <w:rsid w:val="1DA05FD2"/>
    <w:rsid w:val="1DD83BD6"/>
    <w:rsid w:val="1DEC768B"/>
    <w:rsid w:val="1DEF79DF"/>
    <w:rsid w:val="1DF970B3"/>
    <w:rsid w:val="1E006219"/>
    <w:rsid w:val="1E024C20"/>
    <w:rsid w:val="1E2B5FD7"/>
    <w:rsid w:val="1E377AF7"/>
    <w:rsid w:val="1E43742A"/>
    <w:rsid w:val="1E633573"/>
    <w:rsid w:val="1F08402C"/>
    <w:rsid w:val="1F0D0CB8"/>
    <w:rsid w:val="1F3F3924"/>
    <w:rsid w:val="1F647B16"/>
    <w:rsid w:val="1F705D0A"/>
    <w:rsid w:val="1F890903"/>
    <w:rsid w:val="1F974213"/>
    <w:rsid w:val="1FCE603E"/>
    <w:rsid w:val="202A39BE"/>
    <w:rsid w:val="206D1D81"/>
    <w:rsid w:val="20B6608C"/>
    <w:rsid w:val="20DF2DB0"/>
    <w:rsid w:val="20FD68B8"/>
    <w:rsid w:val="215F5BE1"/>
    <w:rsid w:val="21640C0A"/>
    <w:rsid w:val="2165149E"/>
    <w:rsid w:val="21725522"/>
    <w:rsid w:val="217B0B0F"/>
    <w:rsid w:val="217C78EF"/>
    <w:rsid w:val="21B40EDE"/>
    <w:rsid w:val="220E301C"/>
    <w:rsid w:val="22987546"/>
    <w:rsid w:val="22A653F8"/>
    <w:rsid w:val="22BE77E2"/>
    <w:rsid w:val="230C646B"/>
    <w:rsid w:val="235924C7"/>
    <w:rsid w:val="23853B19"/>
    <w:rsid w:val="238E5E2D"/>
    <w:rsid w:val="23E13761"/>
    <w:rsid w:val="242108ED"/>
    <w:rsid w:val="249C5B04"/>
    <w:rsid w:val="24A23D4C"/>
    <w:rsid w:val="24C55DA9"/>
    <w:rsid w:val="24CB0C86"/>
    <w:rsid w:val="24DA0B4C"/>
    <w:rsid w:val="24E50E2F"/>
    <w:rsid w:val="251A461B"/>
    <w:rsid w:val="25292C1B"/>
    <w:rsid w:val="257A0CB0"/>
    <w:rsid w:val="259B628F"/>
    <w:rsid w:val="25BF2E34"/>
    <w:rsid w:val="25F71E07"/>
    <w:rsid w:val="262D631C"/>
    <w:rsid w:val="26470278"/>
    <w:rsid w:val="265A16A0"/>
    <w:rsid w:val="2668128F"/>
    <w:rsid w:val="26982C97"/>
    <w:rsid w:val="26AB6AB9"/>
    <w:rsid w:val="270A6B48"/>
    <w:rsid w:val="276E0050"/>
    <w:rsid w:val="27B11977"/>
    <w:rsid w:val="283B2DC7"/>
    <w:rsid w:val="28574095"/>
    <w:rsid w:val="28615C27"/>
    <w:rsid w:val="2888071D"/>
    <w:rsid w:val="28A222F8"/>
    <w:rsid w:val="28ED019C"/>
    <w:rsid w:val="292306AD"/>
    <w:rsid w:val="29937C68"/>
    <w:rsid w:val="29943A04"/>
    <w:rsid w:val="29BB5E34"/>
    <w:rsid w:val="29E544E7"/>
    <w:rsid w:val="29E64A91"/>
    <w:rsid w:val="2A215464"/>
    <w:rsid w:val="2A735E13"/>
    <w:rsid w:val="2A8A1F00"/>
    <w:rsid w:val="2AA46808"/>
    <w:rsid w:val="2ADC699A"/>
    <w:rsid w:val="2B03110E"/>
    <w:rsid w:val="2B1D2653"/>
    <w:rsid w:val="2B364951"/>
    <w:rsid w:val="2B4E0F5E"/>
    <w:rsid w:val="2BA063FA"/>
    <w:rsid w:val="2BC44E2A"/>
    <w:rsid w:val="2C045177"/>
    <w:rsid w:val="2CC578D1"/>
    <w:rsid w:val="2CCC2AC0"/>
    <w:rsid w:val="2CF268CC"/>
    <w:rsid w:val="2CF34BD4"/>
    <w:rsid w:val="2CFD4C84"/>
    <w:rsid w:val="2D002E0C"/>
    <w:rsid w:val="2D191EBA"/>
    <w:rsid w:val="2D1C64E6"/>
    <w:rsid w:val="2D306B61"/>
    <w:rsid w:val="2D341991"/>
    <w:rsid w:val="2D61555D"/>
    <w:rsid w:val="2D8522DC"/>
    <w:rsid w:val="2DB6680D"/>
    <w:rsid w:val="2DC234A9"/>
    <w:rsid w:val="2E103E50"/>
    <w:rsid w:val="2E104919"/>
    <w:rsid w:val="2E5E5779"/>
    <w:rsid w:val="2E7F7EB2"/>
    <w:rsid w:val="2EC54FFE"/>
    <w:rsid w:val="2EDE33AB"/>
    <w:rsid w:val="2F0156EA"/>
    <w:rsid w:val="2F8B6E46"/>
    <w:rsid w:val="2FA637BB"/>
    <w:rsid w:val="2FE57AEC"/>
    <w:rsid w:val="307B7C54"/>
    <w:rsid w:val="30941AC4"/>
    <w:rsid w:val="309836C0"/>
    <w:rsid w:val="30E613D5"/>
    <w:rsid w:val="30FC7FB5"/>
    <w:rsid w:val="31066357"/>
    <w:rsid w:val="310D6A0C"/>
    <w:rsid w:val="312029D5"/>
    <w:rsid w:val="31266754"/>
    <w:rsid w:val="321A47AD"/>
    <w:rsid w:val="322D2025"/>
    <w:rsid w:val="323C737B"/>
    <w:rsid w:val="324A4BBD"/>
    <w:rsid w:val="32505226"/>
    <w:rsid w:val="328726C9"/>
    <w:rsid w:val="328F4B4C"/>
    <w:rsid w:val="329923AA"/>
    <w:rsid w:val="329B1B53"/>
    <w:rsid w:val="32B6153E"/>
    <w:rsid w:val="335D3069"/>
    <w:rsid w:val="33BA34F4"/>
    <w:rsid w:val="342A5062"/>
    <w:rsid w:val="34384578"/>
    <w:rsid w:val="34505616"/>
    <w:rsid w:val="3481653F"/>
    <w:rsid w:val="348A496E"/>
    <w:rsid w:val="34D273D8"/>
    <w:rsid w:val="34F313C3"/>
    <w:rsid w:val="350A2D39"/>
    <w:rsid w:val="352B3CEA"/>
    <w:rsid w:val="356979AE"/>
    <w:rsid w:val="356E0774"/>
    <w:rsid w:val="35B95099"/>
    <w:rsid w:val="35C61DC8"/>
    <w:rsid w:val="35E02176"/>
    <w:rsid w:val="35EB0C0B"/>
    <w:rsid w:val="36253076"/>
    <w:rsid w:val="362B66F7"/>
    <w:rsid w:val="365264A3"/>
    <w:rsid w:val="36633EA0"/>
    <w:rsid w:val="366505C0"/>
    <w:rsid w:val="36931F4E"/>
    <w:rsid w:val="36A47D9E"/>
    <w:rsid w:val="36D80B7F"/>
    <w:rsid w:val="36DB4345"/>
    <w:rsid w:val="36EC58E0"/>
    <w:rsid w:val="36F01248"/>
    <w:rsid w:val="37286BFC"/>
    <w:rsid w:val="373C710A"/>
    <w:rsid w:val="3741554F"/>
    <w:rsid w:val="37F3463A"/>
    <w:rsid w:val="381456D7"/>
    <w:rsid w:val="38263DA0"/>
    <w:rsid w:val="386C1915"/>
    <w:rsid w:val="38742402"/>
    <w:rsid w:val="38915C50"/>
    <w:rsid w:val="39055C49"/>
    <w:rsid w:val="39876C41"/>
    <w:rsid w:val="399D4DF5"/>
    <w:rsid w:val="39DC57EE"/>
    <w:rsid w:val="39F3116E"/>
    <w:rsid w:val="3A120531"/>
    <w:rsid w:val="3A2B180B"/>
    <w:rsid w:val="3A4A4F03"/>
    <w:rsid w:val="3A6406C3"/>
    <w:rsid w:val="3A672E20"/>
    <w:rsid w:val="3A976174"/>
    <w:rsid w:val="3ADA3776"/>
    <w:rsid w:val="3B055E84"/>
    <w:rsid w:val="3B4D5FE3"/>
    <w:rsid w:val="3B6E2583"/>
    <w:rsid w:val="3B825CC6"/>
    <w:rsid w:val="3B9552C2"/>
    <w:rsid w:val="3B97203E"/>
    <w:rsid w:val="3BDD6EFB"/>
    <w:rsid w:val="3BEB6F06"/>
    <w:rsid w:val="3BF34CA2"/>
    <w:rsid w:val="3C221152"/>
    <w:rsid w:val="3C3B7D69"/>
    <w:rsid w:val="3C906486"/>
    <w:rsid w:val="3CCB705B"/>
    <w:rsid w:val="3CCF7E76"/>
    <w:rsid w:val="3CE50D05"/>
    <w:rsid w:val="3D20116D"/>
    <w:rsid w:val="3D4536DB"/>
    <w:rsid w:val="3D544521"/>
    <w:rsid w:val="3D8375CF"/>
    <w:rsid w:val="3DB251DC"/>
    <w:rsid w:val="3DFC6F2A"/>
    <w:rsid w:val="3E65491C"/>
    <w:rsid w:val="3E9F214D"/>
    <w:rsid w:val="3EAB664F"/>
    <w:rsid w:val="3ECC3D62"/>
    <w:rsid w:val="3EDE5957"/>
    <w:rsid w:val="3F4C4AAC"/>
    <w:rsid w:val="3FA353D1"/>
    <w:rsid w:val="3FFC3EE0"/>
    <w:rsid w:val="40285734"/>
    <w:rsid w:val="404606C5"/>
    <w:rsid w:val="40C33E8C"/>
    <w:rsid w:val="40C50C06"/>
    <w:rsid w:val="40CF0E2E"/>
    <w:rsid w:val="40D375B3"/>
    <w:rsid w:val="40DC0547"/>
    <w:rsid w:val="40F22086"/>
    <w:rsid w:val="41063517"/>
    <w:rsid w:val="411A496E"/>
    <w:rsid w:val="413F682D"/>
    <w:rsid w:val="41845F4B"/>
    <w:rsid w:val="41985742"/>
    <w:rsid w:val="41A767BA"/>
    <w:rsid w:val="42030EFA"/>
    <w:rsid w:val="420600B5"/>
    <w:rsid w:val="42137E49"/>
    <w:rsid w:val="423B491C"/>
    <w:rsid w:val="423E34FC"/>
    <w:rsid w:val="425E31BC"/>
    <w:rsid w:val="427E23AB"/>
    <w:rsid w:val="42AD30F5"/>
    <w:rsid w:val="42FF280A"/>
    <w:rsid w:val="435D7F7A"/>
    <w:rsid w:val="436B059C"/>
    <w:rsid w:val="438117CF"/>
    <w:rsid w:val="43997839"/>
    <w:rsid w:val="44B10EE9"/>
    <w:rsid w:val="44C74BFE"/>
    <w:rsid w:val="45325EA8"/>
    <w:rsid w:val="456D228A"/>
    <w:rsid w:val="45B066F4"/>
    <w:rsid w:val="45D67A09"/>
    <w:rsid w:val="46692CE5"/>
    <w:rsid w:val="466A6B0C"/>
    <w:rsid w:val="46A67EFA"/>
    <w:rsid w:val="46BE4002"/>
    <w:rsid w:val="46C37154"/>
    <w:rsid w:val="470D05B5"/>
    <w:rsid w:val="475C5B96"/>
    <w:rsid w:val="476E292E"/>
    <w:rsid w:val="47B55C38"/>
    <w:rsid w:val="47E04B82"/>
    <w:rsid w:val="480B4E1D"/>
    <w:rsid w:val="4837659A"/>
    <w:rsid w:val="48912283"/>
    <w:rsid w:val="48F52AED"/>
    <w:rsid w:val="492B0560"/>
    <w:rsid w:val="496013F6"/>
    <w:rsid w:val="49891431"/>
    <w:rsid w:val="49924968"/>
    <w:rsid w:val="49A31940"/>
    <w:rsid w:val="49A54E81"/>
    <w:rsid w:val="49AA5DF0"/>
    <w:rsid w:val="49B72CF1"/>
    <w:rsid w:val="49C81723"/>
    <w:rsid w:val="49E51357"/>
    <w:rsid w:val="4A5E7304"/>
    <w:rsid w:val="4A600A85"/>
    <w:rsid w:val="4ACF253B"/>
    <w:rsid w:val="4AEE4E55"/>
    <w:rsid w:val="4B2E1F51"/>
    <w:rsid w:val="4B4675A6"/>
    <w:rsid w:val="4B655078"/>
    <w:rsid w:val="4B790B54"/>
    <w:rsid w:val="4B9750EA"/>
    <w:rsid w:val="4BB44E59"/>
    <w:rsid w:val="4BCD10AB"/>
    <w:rsid w:val="4BFC7E29"/>
    <w:rsid w:val="4C082092"/>
    <w:rsid w:val="4C1314B6"/>
    <w:rsid w:val="4C7873AB"/>
    <w:rsid w:val="4C7B348D"/>
    <w:rsid w:val="4C82561F"/>
    <w:rsid w:val="4D201969"/>
    <w:rsid w:val="4D433C85"/>
    <w:rsid w:val="4D4914C0"/>
    <w:rsid w:val="4D71452F"/>
    <w:rsid w:val="4D971D71"/>
    <w:rsid w:val="4DB4008D"/>
    <w:rsid w:val="4DC1358A"/>
    <w:rsid w:val="4DED3AAA"/>
    <w:rsid w:val="4E074DBD"/>
    <w:rsid w:val="4E3D13BA"/>
    <w:rsid w:val="4E5367FA"/>
    <w:rsid w:val="4F70137C"/>
    <w:rsid w:val="4F7218A2"/>
    <w:rsid w:val="500348AB"/>
    <w:rsid w:val="502D3DD0"/>
    <w:rsid w:val="504D4F4C"/>
    <w:rsid w:val="50666CEF"/>
    <w:rsid w:val="50962348"/>
    <w:rsid w:val="510A7086"/>
    <w:rsid w:val="511D1383"/>
    <w:rsid w:val="51686DE0"/>
    <w:rsid w:val="516E18F6"/>
    <w:rsid w:val="51813954"/>
    <w:rsid w:val="519A0115"/>
    <w:rsid w:val="51CB79AB"/>
    <w:rsid w:val="51CE7A1A"/>
    <w:rsid w:val="51D64A0D"/>
    <w:rsid w:val="51EE45F7"/>
    <w:rsid w:val="52A32873"/>
    <w:rsid w:val="52A4714D"/>
    <w:rsid w:val="52D5405B"/>
    <w:rsid w:val="5321197A"/>
    <w:rsid w:val="537C620E"/>
    <w:rsid w:val="53B353C4"/>
    <w:rsid w:val="53E12686"/>
    <w:rsid w:val="542E2387"/>
    <w:rsid w:val="54375765"/>
    <w:rsid w:val="544B590D"/>
    <w:rsid w:val="547D0220"/>
    <w:rsid w:val="54AE0E21"/>
    <w:rsid w:val="54B11BF7"/>
    <w:rsid w:val="54BA65ED"/>
    <w:rsid w:val="54BC6BC2"/>
    <w:rsid w:val="54E32795"/>
    <w:rsid w:val="552B495D"/>
    <w:rsid w:val="55521606"/>
    <w:rsid w:val="55632CF6"/>
    <w:rsid w:val="559C3B78"/>
    <w:rsid w:val="55B50024"/>
    <w:rsid w:val="55B9087C"/>
    <w:rsid w:val="562B6930"/>
    <w:rsid w:val="56604132"/>
    <w:rsid w:val="56631897"/>
    <w:rsid w:val="568825B9"/>
    <w:rsid w:val="56966DA2"/>
    <w:rsid w:val="56DB2751"/>
    <w:rsid w:val="571D7AD2"/>
    <w:rsid w:val="576E797B"/>
    <w:rsid w:val="57A42E69"/>
    <w:rsid w:val="57B761DB"/>
    <w:rsid w:val="57E74426"/>
    <w:rsid w:val="583527FE"/>
    <w:rsid w:val="58493639"/>
    <w:rsid w:val="584C6011"/>
    <w:rsid w:val="589301F4"/>
    <w:rsid w:val="589E5684"/>
    <w:rsid w:val="58B026DF"/>
    <w:rsid w:val="58BB1643"/>
    <w:rsid w:val="58F33447"/>
    <w:rsid w:val="595E7566"/>
    <w:rsid w:val="598C3A79"/>
    <w:rsid w:val="599812E5"/>
    <w:rsid w:val="59CC4EE0"/>
    <w:rsid w:val="5A337429"/>
    <w:rsid w:val="5A606BFC"/>
    <w:rsid w:val="5A7536F8"/>
    <w:rsid w:val="5A8F37A6"/>
    <w:rsid w:val="5A921A6F"/>
    <w:rsid w:val="5A9662B4"/>
    <w:rsid w:val="5AA14217"/>
    <w:rsid w:val="5AED246F"/>
    <w:rsid w:val="5B2C5C96"/>
    <w:rsid w:val="5B345F67"/>
    <w:rsid w:val="5BA86B79"/>
    <w:rsid w:val="5BAB57F8"/>
    <w:rsid w:val="5BE54158"/>
    <w:rsid w:val="5BF11894"/>
    <w:rsid w:val="5C6A0C6B"/>
    <w:rsid w:val="5C7240D4"/>
    <w:rsid w:val="5C8B2909"/>
    <w:rsid w:val="5CB82A29"/>
    <w:rsid w:val="5CBA6764"/>
    <w:rsid w:val="5CC0312F"/>
    <w:rsid w:val="5CCB2156"/>
    <w:rsid w:val="5CCF6F29"/>
    <w:rsid w:val="5CF90314"/>
    <w:rsid w:val="5D237AAA"/>
    <w:rsid w:val="5D396AF3"/>
    <w:rsid w:val="5D651C60"/>
    <w:rsid w:val="5D77084D"/>
    <w:rsid w:val="5D981475"/>
    <w:rsid w:val="5DB07601"/>
    <w:rsid w:val="5DF80830"/>
    <w:rsid w:val="5E2C47BA"/>
    <w:rsid w:val="5E3509FD"/>
    <w:rsid w:val="5E6205CA"/>
    <w:rsid w:val="5E666C1C"/>
    <w:rsid w:val="5E89337E"/>
    <w:rsid w:val="5E9F6F5D"/>
    <w:rsid w:val="5EDC74F1"/>
    <w:rsid w:val="5EF76AF1"/>
    <w:rsid w:val="5F0E466E"/>
    <w:rsid w:val="5F493F95"/>
    <w:rsid w:val="5F7712B3"/>
    <w:rsid w:val="5F891558"/>
    <w:rsid w:val="5F990C37"/>
    <w:rsid w:val="5F9E0AB5"/>
    <w:rsid w:val="6005415B"/>
    <w:rsid w:val="6035649E"/>
    <w:rsid w:val="603776DA"/>
    <w:rsid w:val="605129BE"/>
    <w:rsid w:val="60797ECD"/>
    <w:rsid w:val="609D6CD6"/>
    <w:rsid w:val="60A924A6"/>
    <w:rsid w:val="60D91B96"/>
    <w:rsid w:val="60F5036B"/>
    <w:rsid w:val="61106A90"/>
    <w:rsid w:val="612B548C"/>
    <w:rsid w:val="6133160F"/>
    <w:rsid w:val="61517923"/>
    <w:rsid w:val="617C6B62"/>
    <w:rsid w:val="619D34BB"/>
    <w:rsid w:val="619F6C50"/>
    <w:rsid w:val="61AB51D0"/>
    <w:rsid w:val="61AF19C8"/>
    <w:rsid w:val="61B25CAB"/>
    <w:rsid w:val="61DA138A"/>
    <w:rsid w:val="61E80FE9"/>
    <w:rsid w:val="6236544E"/>
    <w:rsid w:val="62661BC0"/>
    <w:rsid w:val="62904FB0"/>
    <w:rsid w:val="62B74455"/>
    <w:rsid w:val="633544AB"/>
    <w:rsid w:val="633767A9"/>
    <w:rsid w:val="63383688"/>
    <w:rsid w:val="63800F4A"/>
    <w:rsid w:val="64180CD3"/>
    <w:rsid w:val="64354802"/>
    <w:rsid w:val="643826C6"/>
    <w:rsid w:val="646A31B6"/>
    <w:rsid w:val="64CD28AC"/>
    <w:rsid w:val="64DF5A62"/>
    <w:rsid w:val="65416457"/>
    <w:rsid w:val="656C4491"/>
    <w:rsid w:val="65716BAE"/>
    <w:rsid w:val="65833513"/>
    <w:rsid w:val="65B2515C"/>
    <w:rsid w:val="65B7046E"/>
    <w:rsid w:val="65FF7928"/>
    <w:rsid w:val="66025E2A"/>
    <w:rsid w:val="660F47D1"/>
    <w:rsid w:val="662C1AAA"/>
    <w:rsid w:val="667B55C0"/>
    <w:rsid w:val="66822F5F"/>
    <w:rsid w:val="668E0DF8"/>
    <w:rsid w:val="669515BE"/>
    <w:rsid w:val="66A81885"/>
    <w:rsid w:val="670A0C0D"/>
    <w:rsid w:val="670B3AD6"/>
    <w:rsid w:val="670E24A3"/>
    <w:rsid w:val="67114B39"/>
    <w:rsid w:val="67254A0C"/>
    <w:rsid w:val="67815F3D"/>
    <w:rsid w:val="678D73DA"/>
    <w:rsid w:val="679D29F1"/>
    <w:rsid w:val="67B832CD"/>
    <w:rsid w:val="67BA4FAF"/>
    <w:rsid w:val="67D70D69"/>
    <w:rsid w:val="67D976D5"/>
    <w:rsid w:val="67F8351F"/>
    <w:rsid w:val="67F911EE"/>
    <w:rsid w:val="680F122E"/>
    <w:rsid w:val="6826548A"/>
    <w:rsid w:val="683F30FE"/>
    <w:rsid w:val="68683080"/>
    <w:rsid w:val="689C496B"/>
    <w:rsid w:val="68B42E16"/>
    <w:rsid w:val="69054E81"/>
    <w:rsid w:val="69313B09"/>
    <w:rsid w:val="6A0C1E3A"/>
    <w:rsid w:val="6A2477ED"/>
    <w:rsid w:val="6A496B74"/>
    <w:rsid w:val="6A897AAD"/>
    <w:rsid w:val="6ABE1033"/>
    <w:rsid w:val="6B695969"/>
    <w:rsid w:val="6B750D8C"/>
    <w:rsid w:val="6B975345"/>
    <w:rsid w:val="6BAE722A"/>
    <w:rsid w:val="6BE3540D"/>
    <w:rsid w:val="6C2D0970"/>
    <w:rsid w:val="6C3F7978"/>
    <w:rsid w:val="6C772A2C"/>
    <w:rsid w:val="6C797696"/>
    <w:rsid w:val="6CF45DAC"/>
    <w:rsid w:val="6CFE3411"/>
    <w:rsid w:val="6D963C05"/>
    <w:rsid w:val="6DAB3ED9"/>
    <w:rsid w:val="6DB34A63"/>
    <w:rsid w:val="6DC1145A"/>
    <w:rsid w:val="6DF84EE3"/>
    <w:rsid w:val="6E034E25"/>
    <w:rsid w:val="6E152A45"/>
    <w:rsid w:val="6E3A1CA5"/>
    <w:rsid w:val="6E8D61CD"/>
    <w:rsid w:val="6F102712"/>
    <w:rsid w:val="6F850CE8"/>
    <w:rsid w:val="6F8651C6"/>
    <w:rsid w:val="6FD03C8D"/>
    <w:rsid w:val="708745A7"/>
    <w:rsid w:val="70975C2C"/>
    <w:rsid w:val="70C42741"/>
    <w:rsid w:val="70C648F6"/>
    <w:rsid w:val="70F63163"/>
    <w:rsid w:val="70F92CD6"/>
    <w:rsid w:val="710B6121"/>
    <w:rsid w:val="713D372A"/>
    <w:rsid w:val="7144719B"/>
    <w:rsid w:val="71561E5E"/>
    <w:rsid w:val="71A105E4"/>
    <w:rsid w:val="71B72F62"/>
    <w:rsid w:val="724849E6"/>
    <w:rsid w:val="7271745F"/>
    <w:rsid w:val="728656FE"/>
    <w:rsid w:val="730F64FC"/>
    <w:rsid w:val="734E1139"/>
    <w:rsid w:val="73A33BD5"/>
    <w:rsid w:val="73BC07AA"/>
    <w:rsid w:val="73E96659"/>
    <w:rsid w:val="74471E9E"/>
    <w:rsid w:val="745A2085"/>
    <w:rsid w:val="74750647"/>
    <w:rsid w:val="748F15B9"/>
    <w:rsid w:val="74E03E87"/>
    <w:rsid w:val="755556EE"/>
    <w:rsid w:val="75D10B11"/>
    <w:rsid w:val="75EB5152"/>
    <w:rsid w:val="75FF5CAF"/>
    <w:rsid w:val="76461C08"/>
    <w:rsid w:val="76C62B85"/>
    <w:rsid w:val="76FE0E6C"/>
    <w:rsid w:val="77317359"/>
    <w:rsid w:val="77D342D3"/>
    <w:rsid w:val="781B4757"/>
    <w:rsid w:val="78282F82"/>
    <w:rsid w:val="78EA1606"/>
    <w:rsid w:val="79771051"/>
    <w:rsid w:val="79964D9E"/>
    <w:rsid w:val="79A23B15"/>
    <w:rsid w:val="79CC256C"/>
    <w:rsid w:val="79FC78F7"/>
    <w:rsid w:val="7A3D615B"/>
    <w:rsid w:val="7A447204"/>
    <w:rsid w:val="7A6F307E"/>
    <w:rsid w:val="7A721CF6"/>
    <w:rsid w:val="7A7C1790"/>
    <w:rsid w:val="7AAA6C2C"/>
    <w:rsid w:val="7ABE5DB5"/>
    <w:rsid w:val="7AD4602F"/>
    <w:rsid w:val="7AEA2D29"/>
    <w:rsid w:val="7B401B28"/>
    <w:rsid w:val="7B6F642B"/>
    <w:rsid w:val="7B86775B"/>
    <w:rsid w:val="7B8C25EA"/>
    <w:rsid w:val="7B8C2F50"/>
    <w:rsid w:val="7BD00AC7"/>
    <w:rsid w:val="7BD87F3B"/>
    <w:rsid w:val="7C315AAD"/>
    <w:rsid w:val="7C362596"/>
    <w:rsid w:val="7C8D009F"/>
    <w:rsid w:val="7C93480A"/>
    <w:rsid w:val="7C950A0B"/>
    <w:rsid w:val="7CEE2E9A"/>
    <w:rsid w:val="7D2A29F1"/>
    <w:rsid w:val="7D3E71B2"/>
    <w:rsid w:val="7D3F4E53"/>
    <w:rsid w:val="7D4520AD"/>
    <w:rsid w:val="7D7C4568"/>
    <w:rsid w:val="7D8B57B4"/>
    <w:rsid w:val="7D9C5C1D"/>
    <w:rsid w:val="7DB55EDE"/>
    <w:rsid w:val="7DCE7A21"/>
    <w:rsid w:val="7DD055D2"/>
    <w:rsid w:val="7DF67C77"/>
    <w:rsid w:val="7E4436DC"/>
    <w:rsid w:val="7E522C7B"/>
    <w:rsid w:val="7E725FD3"/>
    <w:rsid w:val="7E89234E"/>
    <w:rsid w:val="7E8C0973"/>
    <w:rsid w:val="7EFF5F5E"/>
    <w:rsid w:val="7F2A7062"/>
    <w:rsid w:val="7F4169A9"/>
    <w:rsid w:val="7F923D51"/>
    <w:rsid w:val="B7AFE16D"/>
    <w:rsid w:val="EF2D3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3"/>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4"/>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20"/>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6">
    <w:name w:val="annotation text"/>
    <w:basedOn w:val="1"/>
    <w:semiHidden/>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1"/>
    <w:semiHidden/>
    <w:unhideWhenUsed/>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2"/>
    <w:qFormat/>
    <w:uiPriority w:val="11"/>
    <w:pPr>
      <w:spacing w:before="240" w:after="60" w:line="312" w:lineRule="auto"/>
      <w:jc w:val="center"/>
      <w:outlineLvl w:val="1"/>
    </w:pPr>
    <w:rPr>
      <w:rFonts w:ascii="等线 Light" w:hAnsi="等线 Light"/>
      <w:b/>
      <w:bCs/>
      <w:kern w:val="28"/>
      <w:sz w:val="32"/>
      <w:szCs w:val="32"/>
    </w:rPr>
  </w:style>
  <w:style w:type="paragraph" w:styleId="13">
    <w:name w:val="toc 2"/>
    <w:basedOn w:val="1"/>
    <w:next w:val="1"/>
    <w:unhideWhenUsed/>
    <w:qFormat/>
    <w:uiPriority w:val="39"/>
    <w:pPr>
      <w:spacing w:line="360" w:lineRule="auto"/>
      <w:ind w:left="420" w:leftChars="200"/>
    </w:pPr>
    <w:rPr>
      <w:rFonts w:ascii="Calibri" w:hAnsi="Calibri"/>
      <w:kern w:val="0"/>
      <w:szCs w:val="32"/>
    </w:rPr>
  </w:style>
  <w:style w:type="paragraph" w:styleId="14">
    <w:name w:val="Title"/>
    <w:basedOn w:val="3"/>
    <w:next w:val="1"/>
    <w:link w:val="25"/>
    <w:qFormat/>
    <w:uiPriority w:val="0"/>
    <w:pPr>
      <w:spacing w:line="360" w:lineRule="auto"/>
      <w:ind w:firstLine="880" w:firstLineChars="200"/>
      <w:jc w:val="left"/>
    </w:pPr>
    <w:rPr>
      <w:rFonts w:ascii="Cambria" w:hAnsi="Cambria" w:eastAsia="黑体"/>
      <w:b w:val="0"/>
      <w:bCs w:val="0"/>
      <w:kern w:val="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paragraph" w:customStyle="1" w:styleId="19">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20">
    <w:name w:val="标题 3 字符"/>
    <w:basedOn w:val="16"/>
    <w:link w:val="5"/>
    <w:qFormat/>
    <w:uiPriority w:val="9"/>
    <w:rPr>
      <w:rFonts w:eastAsia="仿宋_GB2312"/>
      <w:b/>
      <w:bCs/>
      <w:kern w:val="2"/>
      <w:sz w:val="32"/>
      <w:szCs w:val="32"/>
    </w:rPr>
  </w:style>
  <w:style w:type="character" w:customStyle="1" w:styleId="21">
    <w:name w:val="批注框文本 字符"/>
    <w:basedOn w:val="16"/>
    <w:link w:val="8"/>
    <w:semiHidden/>
    <w:qFormat/>
    <w:uiPriority w:val="99"/>
    <w:rPr>
      <w:rFonts w:ascii="Times New Roman" w:hAnsi="Times New Roman" w:eastAsia="宋体" w:cs="Times New Roman"/>
      <w:sz w:val="18"/>
      <w:szCs w:val="18"/>
    </w:rPr>
  </w:style>
  <w:style w:type="character" w:customStyle="1" w:styleId="22">
    <w:name w:val="副标题 字符"/>
    <w:basedOn w:val="16"/>
    <w:link w:val="12"/>
    <w:qFormat/>
    <w:uiPriority w:val="11"/>
    <w:rPr>
      <w:rFonts w:ascii="等线 Light" w:hAnsi="等线 Light" w:eastAsia="宋体" w:cs="Times New Roman"/>
      <w:b/>
      <w:bCs/>
      <w:kern w:val="28"/>
      <w:sz w:val="32"/>
      <w:szCs w:val="32"/>
    </w:rPr>
  </w:style>
  <w:style w:type="paragraph" w:customStyle="1" w:styleId="23">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4">
    <w:name w:val="标题 2 字符"/>
    <w:basedOn w:val="16"/>
    <w:link w:val="4"/>
    <w:qFormat/>
    <w:uiPriority w:val="9"/>
    <w:rPr>
      <w:rFonts w:ascii="等线 Light" w:hAnsi="等线 Light" w:eastAsia="楷体_GB2312"/>
      <w:b/>
      <w:bCs/>
      <w:sz w:val="32"/>
      <w:szCs w:val="32"/>
    </w:rPr>
  </w:style>
  <w:style w:type="character" w:customStyle="1" w:styleId="25">
    <w:name w:val="标题 字符"/>
    <w:basedOn w:val="16"/>
    <w:link w:val="14"/>
    <w:qFormat/>
    <w:uiPriority w:val="0"/>
    <w:rPr>
      <w:rFonts w:ascii="Cambria" w:hAnsi="Cambria" w:eastAsia="黑体" w:cs="Times New Roman"/>
      <w:sz w:val="32"/>
      <w:szCs w:val="44"/>
    </w:rPr>
  </w:style>
  <w:style w:type="character" w:customStyle="1" w:styleId="26">
    <w:name w:val="标题 1 字符"/>
    <w:basedOn w:val="16"/>
    <w:link w:val="3"/>
    <w:qFormat/>
    <w:uiPriority w:val="9"/>
    <w:rPr>
      <w:rFonts w:eastAsia="楷体_GB2312"/>
      <w:b/>
      <w:bCs/>
      <w:kern w:val="44"/>
      <w:sz w:val="32"/>
      <w:szCs w:val="44"/>
    </w:rPr>
  </w:style>
  <w:style w:type="paragraph" w:customStyle="1" w:styleId="2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8">
    <w:name w:val="页眉 字符"/>
    <w:basedOn w:val="16"/>
    <w:link w:val="10"/>
    <w:qFormat/>
    <w:uiPriority w:val="99"/>
    <w:rPr>
      <w:rFonts w:ascii="Times New Roman" w:hAnsi="Times New Roman" w:eastAsia="宋体" w:cs="Times New Roman"/>
      <w:sz w:val="18"/>
      <w:szCs w:val="18"/>
    </w:rPr>
  </w:style>
  <w:style w:type="character" w:customStyle="1" w:styleId="29">
    <w:name w:val="页脚 字符"/>
    <w:basedOn w:val="16"/>
    <w:link w:val="9"/>
    <w:qFormat/>
    <w:uiPriority w:val="99"/>
    <w:rPr>
      <w:rFonts w:ascii="Times New Roman" w:hAnsi="Times New Roman" w:eastAsia="宋体" w:cs="Times New Roman"/>
      <w:sz w:val="18"/>
      <w:szCs w:val="18"/>
    </w:rPr>
  </w:style>
  <w:style w:type="paragraph" w:customStyle="1" w:styleId="30">
    <w:name w:val="（一）"/>
    <w:basedOn w:val="4"/>
    <w:next w:val="1"/>
    <w:qFormat/>
    <w:uiPriority w:val="0"/>
    <w:pPr>
      <w:spacing w:line="360" w:lineRule="auto"/>
    </w:pPr>
    <w:rPr>
      <w:rFonts w:eastAsia="楷体_GB2312"/>
      <w:b w:val="0"/>
    </w:rPr>
  </w:style>
  <w:style w:type="paragraph" w:customStyle="1" w:styleId="31">
    <w:name w:val="_Style 1"/>
    <w:basedOn w:val="1"/>
    <w:qFormat/>
    <w:uiPriority w:val="0"/>
    <w:pPr>
      <w:ind w:firstLine="420"/>
    </w:pPr>
  </w:style>
  <w:style w:type="character" w:customStyle="1" w:styleId="32">
    <w:name w:val="font51"/>
    <w:basedOn w:val="16"/>
    <w:qFormat/>
    <w:uiPriority w:val="0"/>
    <w:rPr>
      <w:rFonts w:ascii="宋体" w:hAnsi="宋体" w:eastAsia="宋体" w:cs="宋体"/>
      <w:b/>
      <w:color w:val="000000"/>
      <w:sz w:val="24"/>
      <w:szCs w:val="24"/>
      <w:u w:val="none"/>
    </w:rPr>
  </w:style>
  <w:style w:type="character" w:customStyle="1" w:styleId="33">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3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0</TotalTime>
  <ScaleCrop>false</ScaleCrop>
  <LinksUpToDate>false</LinksUpToDate>
  <CharactersWithSpaces>11626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2020-05-22T16:44:00Z</dcterms:created>
  <dc:creator>XIE XIN</dc:creator>
  <cp:lastModifiedBy>user</cp:lastModifiedBy>
  <cp:lastPrinted>2020-06-24T14:33:00Z</cp:lastPrinted>
  <dcterms:modified xsi:type="dcterms:W3CDTF">2021-10-18T09:53:02Z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11DB9F9B24FC46F09371DFF239DA6939</vt:lpwstr>
  </property>
</Properties>
</file>