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numPr>
          <w:ilvl w:val="0"/>
          <w:numId w:val="0"/>
        </w:numPr>
        <w:adjustRightInd w:val="0"/>
        <w:snapToGrid w:val="0"/>
        <w:spacing w:afterLines="0" w:line="590" w:lineRule="exact"/>
        <w:ind w:left="0" w:firstLine="0" w:firstLineChars="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sz w:val="44"/>
          <w:szCs w:val="44"/>
          <w:lang w:bidi="ar-SA"/>
        </w:rPr>
        <w:t>广东农技服务</w:t>
      </w:r>
      <w:r>
        <w:rPr>
          <w:rFonts w:hint="eastAsia" w:ascii="方正小标宋简体" w:hAnsi="方正小标宋简体" w:eastAsia="方正小标宋简体" w:cs="方正小标宋简体"/>
          <w:b w:val="0"/>
          <w:bCs w:val="0"/>
          <w:sz w:val="44"/>
          <w:szCs w:val="44"/>
          <w:lang w:eastAsia="zh-CN" w:bidi="ar-SA"/>
        </w:rPr>
        <w:t>“轻骑兵”</w:t>
      </w:r>
      <w:r>
        <w:rPr>
          <w:rFonts w:hint="eastAsia" w:ascii="方正小标宋简体" w:hAnsi="方正小标宋简体" w:eastAsia="方正小标宋简体" w:cs="方正小标宋简体"/>
          <w:b w:val="0"/>
          <w:bCs w:val="0"/>
          <w:sz w:val="44"/>
          <w:szCs w:val="44"/>
          <w:lang w:bidi="ar-SA"/>
        </w:rPr>
        <w:t>乡村行工作方案</w:t>
      </w:r>
    </w:p>
    <w:p>
      <w:pPr>
        <w:widowControl w:val="0"/>
        <w:adjustRightInd w:val="0"/>
        <w:snapToGrid w:val="0"/>
        <w:spacing w:afterLines="0" w:line="59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bidi="ar-SA"/>
        </w:rPr>
        <w:t>为</w:t>
      </w:r>
      <w:r>
        <w:rPr>
          <w:rFonts w:hint="eastAsia" w:ascii="仿宋_GB2312" w:hAnsi="仿宋_GB2312" w:eastAsia="仿宋_GB2312" w:cs="仿宋_GB2312"/>
          <w:color w:val="000000"/>
          <w:sz w:val="32"/>
          <w:szCs w:val="32"/>
          <w:lang w:eastAsia="zh-CN" w:bidi="ar-SA"/>
        </w:rPr>
        <w:t>深入贯彻落实省委、省政府关于实施乡村振兴战略工作部署，创新农技推广服务方式，支撑</w:t>
      </w:r>
      <w:r>
        <w:rPr>
          <w:rFonts w:hint="eastAsia" w:ascii="仿宋_GB2312" w:hAnsi="仿宋_GB2312" w:eastAsia="仿宋_GB2312" w:cs="仿宋_GB2312"/>
          <w:b w:val="0"/>
          <w:bCs w:val="0"/>
          <w:color w:val="000000"/>
          <w:sz w:val="32"/>
          <w:szCs w:val="32"/>
          <w:shd w:val="clear" w:color="auto" w:fill="auto"/>
          <w:lang w:bidi="ar-SA"/>
        </w:rPr>
        <w:t>发展精细农业、建设精美农村、培养精勤农民</w:t>
      </w:r>
      <w:r>
        <w:rPr>
          <w:rFonts w:hint="eastAsia" w:ascii="仿宋_GB2312" w:hAnsi="仿宋_GB2312" w:eastAsia="仿宋_GB2312" w:cs="仿宋_GB2312"/>
          <w:color w:val="000000"/>
          <w:sz w:val="32"/>
          <w:szCs w:val="32"/>
          <w:shd w:val="clear" w:color="auto" w:fill="auto"/>
          <w:lang w:bidi="ar-SA"/>
        </w:rPr>
        <w:t>，</w:t>
      </w:r>
      <w:r>
        <w:rPr>
          <w:rFonts w:hint="eastAsia" w:ascii="仿宋_GB2312" w:hAnsi="仿宋_GB2312" w:eastAsia="仿宋_GB2312" w:cs="仿宋_GB2312"/>
          <w:color w:val="000000"/>
          <w:spacing w:val="0"/>
          <w:sz w:val="32"/>
          <w:szCs w:val="32"/>
          <w:shd w:val="clear" w:color="auto" w:fill="auto"/>
          <w:lang w:bidi="ar-SA"/>
        </w:rPr>
        <w:t>助力</w:t>
      </w:r>
      <w:r>
        <w:rPr>
          <w:rFonts w:hint="eastAsia" w:ascii="仿宋_GB2312" w:hAnsi="仿宋_GB2312" w:eastAsia="仿宋_GB2312" w:cs="仿宋_GB2312"/>
          <w:color w:val="000000"/>
          <w:sz w:val="32"/>
          <w:szCs w:val="32"/>
          <w:lang w:bidi="ar-SA"/>
        </w:rPr>
        <w:t>乡村全面振兴</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shd w:val="clear" w:color="auto" w:fill="auto"/>
          <w:lang w:eastAsia="zh-CN" w:bidi="ar-SA"/>
        </w:rPr>
        <w:t>结合我省实际，</w:t>
      </w:r>
      <w:r>
        <w:rPr>
          <w:rFonts w:hint="eastAsia" w:ascii="仿宋_GB2312" w:hAnsi="仿宋_GB2312" w:eastAsia="仿宋_GB2312" w:cs="仿宋_GB2312"/>
          <w:color w:val="000000"/>
          <w:sz w:val="32"/>
          <w:szCs w:val="32"/>
          <w:lang w:eastAsia="zh-CN" w:bidi="ar-SA"/>
        </w:rPr>
        <w:t>特制定本工作方案。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textAlignment w:val="auto"/>
        <w:outlineLvl w:val="9"/>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一、指导思想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以习近平</w:t>
      </w:r>
      <w:r>
        <w:rPr>
          <w:rFonts w:hint="eastAsia" w:ascii="仿宋_GB2312" w:hAnsi="仿宋_GB2312" w:eastAsia="仿宋_GB2312" w:cs="仿宋_GB2312"/>
          <w:sz w:val="32"/>
          <w:szCs w:val="32"/>
        </w:rPr>
        <w:t>新时代中国特色社会主义思想为指导，深入贯彻</w:t>
      </w:r>
      <w:r>
        <w:rPr>
          <w:rFonts w:hint="eastAsia" w:ascii="仿宋_GB2312" w:hAnsi="仿宋_GB2312" w:eastAsia="仿宋_GB2312" w:cs="仿宋_GB2312"/>
          <w:color w:val="000000"/>
          <w:sz w:val="32"/>
          <w:szCs w:val="32"/>
        </w:rPr>
        <w:t>习近平总书记对广东</w:t>
      </w:r>
      <w:r>
        <w:rPr>
          <w:rFonts w:hint="eastAsia" w:ascii="仿宋_GB2312" w:hAnsi="仿宋_GB2312" w:eastAsia="仿宋_GB2312" w:cs="仿宋_GB2312"/>
          <w:color w:val="000000"/>
          <w:sz w:val="32"/>
          <w:szCs w:val="32"/>
          <w:lang w:eastAsia="zh-CN"/>
        </w:rPr>
        <w:t>系列</w:t>
      </w:r>
      <w:r>
        <w:rPr>
          <w:rFonts w:hint="eastAsia" w:ascii="仿宋_GB2312" w:hAnsi="仿宋_GB2312" w:eastAsia="仿宋_GB2312" w:cs="仿宋_GB2312"/>
          <w:color w:val="000000"/>
          <w:sz w:val="32"/>
          <w:szCs w:val="32"/>
        </w:rPr>
        <w:t>重要讲话和重要指示批示精神，落实省委、省政府关于</w:t>
      </w:r>
      <w:r>
        <w:rPr>
          <w:rFonts w:hint="eastAsia" w:ascii="仿宋_GB2312" w:hAnsi="仿宋_GB2312" w:eastAsia="仿宋_GB2312" w:cs="仿宋_GB2312"/>
          <w:color w:val="000000"/>
          <w:sz w:val="32"/>
          <w:szCs w:val="32"/>
          <w:lang w:eastAsia="zh-CN"/>
        </w:rPr>
        <w:t>“三农”</w:t>
      </w:r>
      <w:r>
        <w:rPr>
          <w:rFonts w:hint="eastAsia" w:ascii="仿宋_GB2312" w:hAnsi="仿宋_GB2312" w:eastAsia="仿宋_GB2312" w:cs="仿宋_GB2312"/>
          <w:color w:val="000000"/>
          <w:sz w:val="32"/>
          <w:szCs w:val="32"/>
        </w:rPr>
        <w:t>工作部署，</w:t>
      </w:r>
      <w:r>
        <w:rPr>
          <w:rFonts w:hint="eastAsia" w:ascii="仿宋_GB2312" w:hAnsi="仿宋_GB2312" w:eastAsia="仿宋_GB2312" w:cs="仿宋_GB2312"/>
          <w:color w:val="000000"/>
          <w:sz w:val="32"/>
          <w:szCs w:val="32"/>
          <w:lang w:eastAsia="zh-CN"/>
        </w:rPr>
        <w:t>深入推进科技兴农，实施农技服务“轻骑兵”乡村行，推动人才下沉、科技下乡、服务“三农”，践行“学党史，办实事”。</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二、工作目标</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根据全省各地产业发展和技术需求，组织省直和中央驻粤科研院校专家、各级农技推广人员、乡土专家等力量，积极吸纳在校涉农大学生，</w:t>
      </w:r>
      <w:r>
        <w:rPr>
          <w:rFonts w:hint="eastAsia" w:ascii="仿宋_GB2312" w:hAnsi="仿宋_GB2312" w:eastAsia="仿宋_GB2312" w:cs="仿宋_GB2312"/>
          <w:color w:val="000000"/>
          <w:sz w:val="32"/>
          <w:szCs w:val="32"/>
          <w:lang w:eastAsia="zh-CN"/>
        </w:rPr>
        <w:t>按照“政府引导、市场驱动”原则，</w:t>
      </w:r>
      <w:r>
        <w:rPr>
          <w:rFonts w:hint="eastAsia" w:ascii="仿宋_GB2312" w:hAnsi="仿宋_GB2312" w:eastAsia="仿宋_GB2312" w:cs="仿宋_GB2312"/>
          <w:color w:val="000000"/>
          <w:sz w:val="32"/>
          <w:szCs w:val="32"/>
          <w:lang w:val="en-US" w:eastAsia="zh-CN"/>
        </w:rPr>
        <w:t>共同</w:t>
      </w:r>
      <w:r>
        <w:rPr>
          <w:rFonts w:hint="eastAsia" w:ascii="仿宋_GB2312" w:hAnsi="仿宋_GB2312" w:eastAsia="仿宋_GB2312" w:cs="仿宋_GB2312"/>
          <w:color w:val="000000"/>
          <w:sz w:val="32"/>
          <w:szCs w:val="32"/>
          <w:lang w:eastAsia="zh-CN"/>
        </w:rPr>
        <w:t>组建农技服务“轻骑兵”，以小分队形式深入生产一线，开展全产业链、全方位的农技服务，</w:t>
      </w:r>
      <w:r>
        <w:rPr>
          <w:rFonts w:hint="eastAsia" w:ascii="仿宋_GB2312" w:hAnsi="仿宋_GB2312" w:eastAsia="仿宋_GB2312" w:cs="仿宋_GB2312"/>
          <w:color w:val="000000"/>
          <w:sz w:val="32"/>
          <w:szCs w:val="32"/>
        </w:rPr>
        <w:t>着力品种培优、品质提升、品牌打造和标准化生产，</w:t>
      </w:r>
      <w:r>
        <w:rPr>
          <w:rFonts w:hint="eastAsia" w:ascii="仿宋_GB2312" w:hAnsi="仿宋_GB2312" w:eastAsia="仿宋_GB2312" w:cs="仿宋_GB2312"/>
          <w:color w:val="000000"/>
          <w:sz w:val="32"/>
          <w:szCs w:val="32"/>
          <w:lang w:eastAsia="zh-CN"/>
        </w:rPr>
        <w:t>高效解决农技推广“最后一公里”和农产品上行“最先一公里”问题，实现农业增效、农民增收，助力我省农业产业高质量发展</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三、工作原则</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（一）坚持需求导向，精准施策</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农民群众反映强烈的突出问题和生产实际的技术需求，集中力量破解农业生产的“痛点”“堵点”和“难点”；并根据问题难易、急缓、普遍性与特殊性，以及事情突发性与常发性，将“轻骑兵”农技服务分为常态化服务、应急性服务、技术攻关性服务，切实做到关键时节及时下乡、抗灾减灾随时下乡、咨询服务主动下乡，联合攻关集体下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（二）坚持就近服务，快速响应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发挥</w:t>
      </w:r>
      <w:r>
        <w:rPr>
          <w:rFonts w:hint="eastAsia" w:ascii="仿宋_GB2312" w:hAnsi="仿宋_GB2312" w:eastAsia="仿宋_GB2312" w:cs="仿宋_GB2312"/>
          <w:b w:val="0"/>
          <w:bCs w:val="0"/>
          <w:color w:val="000000"/>
          <w:sz w:val="32"/>
          <w:szCs w:val="32"/>
          <w:lang w:eastAsia="zh-CN"/>
        </w:rPr>
        <w:t>科研院所专家“传帮带”作用，培育提升基层农技推广人员与乡土专家服务能力，利用</w:t>
      </w:r>
      <w:r>
        <w:rPr>
          <w:rFonts w:hint="eastAsia" w:ascii="仿宋_GB2312" w:hAnsi="仿宋_GB2312" w:eastAsia="仿宋_GB2312" w:cs="仿宋_GB2312"/>
          <w:color w:val="000000"/>
          <w:sz w:val="32"/>
          <w:szCs w:val="32"/>
          <w:lang w:eastAsia="zh-CN"/>
        </w:rPr>
        <w:t>“一主多元”的制度优势，调动基层农技人员和乡土专家积极性，就近服务，</w:t>
      </w:r>
      <w:r>
        <w:rPr>
          <w:rFonts w:hint="eastAsia" w:ascii="仿宋_GB2312" w:hAnsi="仿宋_GB2312" w:eastAsia="仿宋_GB2312" w:cs="仿宋_GB2312"/>
          <w:color w:val="000000"/>
          <w:sz w:val="32"/>
          <w:szCs w:val="32"/>
          <w:lang w:val="en-US" w:eastAsia="zh-CN"/>
        </w:rPr>
        <w:t>快速响应，及时解决。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（三）坚持双轮驱动，全链服务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政府引导、市场驱动，积极</w:t>
      </w:r>
      <w:r>
        <w:rPr>
          <w:rFonts w:hint="eastAsia" w:ascii="仿宋_GB2312" w:hAnsi="仿宋_GB2312" w:eastAsia="仿宋_GB2312" w:cs="仿宋_GB2312"/>
          <w:color w:val="000000"/>
          <w:sz w:val="32"/>
          <w:szCs w:val="32"/>
        </w:rPr>
        <w:t>盘活农技公共服务资源</w:t>
      </w:r>
      <w:r>
        <w:rPr>
          <w:rFonts w:hint="eastAsia" w:ascii="仿宋_GB2312" w:hAnsi="仿宋_GB2312" w:eastAsia="仿宋_GB2312" w:cs="仿宋_GB2312"/>
          <w:color w:val="000000"/>
          <w:sz w:val="32"/>
          <w:szCs w:val="32"/>
          <w:lang w:eastAsia="zh-CN"/>
        </w:rPr>
        <w:t>，充分调动公共服务积极性，多措并举推进</w:t>
      </w:r>
      <w:r>
        <w:rPr>
          <w:rFonts w:hint="eastAsia" w:ascii="仿宋_GB2312" w:hAnsi="仿宋_GB2312" w:eastAsia="仿宋_GB2312" w:cs="仿宋_GB2312"/>
          <w:color w:val="000000"/>
          <w:sz w:val="32"/>
          <w:szCs w:val="32"/>
        </w:rPr>
        <w:t>农技推广公共服务和社会化服务</w:t>
      </w:r>
      <w:r>
        <w:rPr>
          <w:rFonts w:hint="eastAsia" w:ascii="仿宋_GB2312" w:hAnsi="仿宋_GB2312" w:eastAsia="仿宋_GB2312" w:cs="仿宋_GB2312"/>
          <w:color w:val="000000"/>
          <w:sz w:val="32"/>
          <w:szCs w:val="32"/>
          <w:lang w:eastAsia="zh-CN"/>
        </w:rPr>
        <w:t>；构建农技服务“轻骑兵”全产业链服务格局，推动产业要素有效嫁接、共生融合，促进技术服务向研发、生产、加工、检测、流通、销售等全产业链条延伸覆盖。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left="0" w:leftChars="0" w:firstLine="640" w:firstLineChars="200"/>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（四）坚持线上线下，质量优先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充分发</w:t>
      </w:r>
      <w:r>
        <w:rPr>
          <w:rFonts w:hint="eastAsia" w:ascii="仿宋_GB2312" w:hAnsi="仿宋_GB2312" w:eastAsia="仿宋_GB2312" w:cs="仿宋_GB2312"/>
          <w:color w:val="000000"/>
          <w:sz w:val="32"/>
          <w:szCs w:val="32"/>
        </w:rPr>
        <w:t>挥互联网+优势，整合农业技术服务</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平台数据资源，</w:t>
      </w:r>
      <w:r>
        <w:rPr>
          <w:rFonts w:hint="eastAsia" w:ascii="仿宋_GB2312" w:hAnsi="仿宋_GB2312" w:eastAsia="仿宋_GB2312" w:cs="仿宋_GB2312"/>
          <w:color w:val="000000"/>
          <w:sz w:val="32"/>
          <w:szCs w:val="32"/>
          <w:lang w:val="en-US" w:eastAsia="zh-CN"/>
        </w:rPr>
        <w:t>利用数字化工具开展技术服务和农民培训，突破地域限制，提升服务质量、范围和效率。</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四、运行机制</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（一）组织</w:t>
      </w:r>
      <w:r>
        <w:rPr>
          <w:rFonts w:hint="eastAsia" w:ascii="楷体_GB2312" w:hAnsi="楷体_GB2312" w:eastAsia="楷体_GB2312" w:cs="楷体_GB2312"/>
          <w:b w:val="0"/>
          <w:bCs w:val="0"/>
          <w:color w:val="000000"/>
          <w:sz w:val="32"/>
          <w:szCs w:val="32"/>
        </w:rPr>
        <w:t>创建</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1.运营架构。</w:t>
      </w:r>
      <w:r>
        <w:rPr>
          <w:rFonts w:hint="eastAsia" w:ascii="仿宋_GB2312" w:hAnsi="仿宋_GB2312" w:eastAsia="仿宋_GB2312" w:cs="仿宋_GB2312"/>
          <w:color w:val="000000"/>
          <w:sz w:val="32"/>
          <w:szCs w:val="32"/>
          <w:lang w:val="en-US" w:eastAsia="zh-CN"/>
        </w:rPr>
        <w:t>按照产业技术需求，</w:t>
      </w:r>
      <w:r>
        <w:rPr>
          <w:rFonts w:hint="eastAsia" w:ascii="仿宋_GB2312" w:hAnsi="仿宋_GB2312" w:eastAsia="仿宋_GB2312" w:cs="仿宋_GB2312"/>
          <w:color w:val="000000"/>
          <w:sz w:val="32"/>
          <w:szCs w:val="32"/>
        </w:rPr>
        <w:t>省农</w:t>
      </w:r>
      <w:r>
        <w:rPr>
          <w:rFonts w:hint="eastAsia" w:ascii="仿宋_GB2312" w:hAnsi="仿宋_GB2312" w:eastAsia="仿宋_GB2312" w:cs="仿宋_GB2312"/>
          <w:color w:val="000000"/>
          <w:sz w:val="32"/>
          <w:szCs w:val="32"/>
          <w:lang w:eastAsia="zh-CN"/>
        </w:rPr>
        <w:t>业</w:t>
      </w:r>
      <w:r>
        <w:rPr>
          <w:rFonts w:hint="eastAsia" w:ascii="仿宋_GB2312" w:hAnsi="仿宋_GB2312" w:eastAsia="仿宋_GB2312" w:cs="仿宋_GB2312"/>
          <w:color w:val="000000"/>
          <w:sz w:val="32"/>
          <w:szCs w:val="32"/>
        </w:rPr>
        <w:t>技</w:t>
      </w:r>
      <w:r>
        <w:rPr>
          <w:rFonts w:hint="eastAsia" w:ascii="仿宋_GB2312" w:hAnsi="仿宋_GB2312" w:eastAsia="仿宋_GB2312" w:cs="仿宋_GB2312"/>
          <w:color w:val="000000"/>
          <w:sz w:val="32"/>
          <w:szCs w:val="32"/>
          <w:lang w:eastAsia="zh-CN"/>
        </w:rPr>
        <w:t>术</w:t>
      </w:r>
      <w:r>
        <w:rPr>
          <w:rFonts w:hint="eastAsia" w:ascii="仿宋_GB2312" w:hAnsi="仿宋_GB2312" w:eastAsia="仿宋_GB2312" w:cs="仿宋_GB2312"/>
          <w:color w:val="000000"/>
          <w:sz w:val="32"/>
          <w:szCs w:val="32"/>
        </w:rPr>
        <w:t>推广中心</w:t>
      </w:r>
      <w:r>
        <w:rPr>
          <w:rFonts w:hint="eastAsia" w:ascii="仿宋_GB2312" w:hAnsi="仿宋_GB2312" w:eastAsia="仿宋_GB2312" w:cs="仿宋_GB2312"/>
          <w:color w:val="000000"/>
          <w:sz w:val="32"/>
          <w:szCs w:val="32"/>
          <w:lang w:eastAsia="zh-CN"/>
        </w:rPr>
        <w:t>为召集人单位，联合华南农业大学、广东省农科院、仲恺农业工程学院、广东省科学院等高校院所成立广东省农技服务“轻骑兵”</w:t>
      </w:r>
      <w:r>
        <w:rPr>
          <w:rFonts w:hint="eastAsia" w:ascii="仿宋_GB2312" w:hAnsi="仿宋_GB2312" w:eastAsia="仿宋_GB2312" w:cs="仿宋_GB2312"/>
          <w:color w:val="000000"/>
          <w:sz w:val="32"/>
          <w:szCs w:val="32"/>
          <w:lang w:val="en-US" w:eastAsia="zh-CN"/>
        </w:rPr>
        <w:t>联席会议委员会，</w:t>
      </w:r>
      <w:r>
        <w:rPr>
          <w:rFonts w:hint="eastAsia" w:ascii="仿宋_GB2312" w:hAnsi="仿宋_GB2312" w:eastAsia="仿宋_GB2312" w:cs="仿宋_GB2312"/>
          <w:color w:val="000000"/>
          <w:sz w:val="32"/>
          <w:szCs w:val="32"/>
          <w:lang w:eastAsia="zh-CN"/>
        </w:rPr>
        <w:t>负责组建各类产业技术农技服务“轻骑兵”；各地市县镇农技推广部门为联络员单位，负责组织动员与联络工作，实现“轻骑兵”行政村全覆盖，构建“</w:t>
      </w:r>
      <w:r>
        <w:rPr>
          <w:rFonts w:hint="eastAsia" w:ascii="仿宋_GB2312" w:hAnsi="仿宋_GB2312" w:eastAsia="仿宋_GB2312" w:cs="仿宋_GB2312"/>
          <w:color w:val="000000"/>
          <w:sz w:val="32"/>
          <w:szCs w:val="32"/>
          <w:lang w:val="en-US" w:eastAsia="zh-CN"/>
        </w:rPr>
        <w:t>1+20+100+1000</w:t>
      </w:r>
      <w:r>
        <w:rPr>
          <w:rFonts w:hint="eastAsia" w:ascii="仿宋_GB2312" w:hAnsi="仿宋_GB2312" w:eastAsia="仿宋_GB2312" w:cs="仿宋_GB2312"/>
          <w:color w:val="000000"/>
          <w:sz w:val="32"/>
          <w:szCs w:val="32"/>
          <w:lang w:eastAsia="zh-CN"/>
        </w:rPr>
        <w:t>”运营架构。内设“轻骑兵”专家指导小组，负责拟订行业技术标准、组织全省应急技术服务与联合技术攻关等。广泛动员、组织遴选，通过信息化手段，构建全省农技服务“轻骑兵”人才储备库。</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2.能力建设。</w:t>
      </w:r>
      <w:r>
        <w:rPr>
          <w:rFonts w:hint="eastAsia" w:ascii="仿宋_GB2312" w:hAnsi="仿宋_GB2312" w:eastAsia="仿宋_GB2312" w:cs="仿宋_GB2312"/>
          <w:color w:val="000000"/>
          <w:sz w:val="32"/>
          <w:szCs w:val="32"/>
          <w:lang w:val="en-US" w:eastAsia="zh-CN"/>
        </w:rPr>
        <w:t>人才是事业发展的基石，要提升“轻骑兵”内部干事创业能力。一是培育“师傅带徒弟”学习机制，</w:t>
      </w:r>
      <w:r>
        <w:rPr>
          <w:rFonts w:hint="eastAsia" w:ascii="仿宋_GB2312" w:hAnsi="仿宋_GB2312" w:eastAsia="仿宋_GB2312" w:cs="仿宋_GB2312"/>
          <w:color w:val="000000"/>
          <w:sz w:val="32"/>
          <w:szCs w:val="32"/>
        </w:rPr>
        <w:t>“传帮带”</w:t>
      </w:r>
      <w:r>
        <w:rPr>
          <w:rFonts w:hint="eastAsia" w:ascii="仿宋_GB2312" w:hAnsi="仿宋_GB2312" w:eastAsia="仿宋_GB2312" w:cs="仿宋_GB2312"/>
          <w:color w:val="000000"/>
          <w:sz w:val="32"/>
          <w:szCs w:val="32"/>
          <w:lang w:eastAsia="zh-CN"/>
        </w:rPr>
        <w:t>“手把手”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在干事中育人</w:t>
      </w:r>
      <w:r>
        <w:rPr>
          <w:rFonts w:hint="eastAsia" w:ascii="仿宋_GB2312" w:hAnsi="仿宋_GB2312" w:eastAsia="仿宋_GB2312" w:cs="仿宋_GB2312"/>
          <w:color w:val="000000"/>
          <w:sz w:val="32"/>
          <w:szCs w:val="32"/>
          <w:lang w:eastAsia="zh-CN"/>
        </w:rPr>
        <w:t>；二是组织</w:t>
      </w:r>
      <w:r>
        <w:rPr>
          <w:rFonts w:hint="eastAsia" w:ascii="仿宋_GB2312" w:hAnsi="仿宋_GB2312" w:eastAsia="仿宋_GB2312" w:cs="仿宋_GB2312"/>
          <w:color w:val="000000"/>
          <w:sz w:val="32"/>
          <w:szCs w:val="32"/>
          <w:lang w:val="en-US" w:eastAsia="zh-CN"/>
        </w:rPr>
        <w:t>“轻骑兵”</w:t>
      </w:r>
      <w:r>
        <w:rPr>
          <w:rFonts w:hint="eastAsia" w:ascii="仿宋_GB2312" w:hAnsi="仿宋_GB2312" w:eastAsia="仿宋_GB2312" w:cs="仿宋_GB2312"/>
          <w:color w:val="000000"/>
          <w:sz w:val="32"/>
          <w:szCs w:val="32"/>
          <w:lang w:eastAsia="zh-CN"/>
        </w:rPr>
        <w:t>培训，加强技术和技能更新，在育人中干事，提升干事能力；三是规范乡土专家、农技服务企业等社会化服务标准，进行素质提升教育，加强对镇村本土人才培养，树立“轻骑兵”最基层形象代表。</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3.条件建设。</w:t>
      </w: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highlight w:val="yellow"/>
          <w:lang w:val="en-US" w:eastAsia="zh-CN"/>
        </w:rPr>
        <w:t>建设“农技推广机构+农技推广服务驿站”公益性双驱农业技术推广服务体系，</w:t>
      </w:r>
      <w:r>
        <w:rPr>
          <w:rFonts w:hint="eastAsia" w:ascii="仿宋_GB2312" w:hAnsi="仿宋_GB2312" w:eastAsia="仿宋_GB2312" w:cs="仿宋_GB2312"/>
          <w:color w:val="000000"/>
          <w:sz w:val="32"/>
          <w:szCs w:val="32"/>
          <w:lang w:val="en-US" w:eastAsia="zh-CN"/>
        </w:rPr>
        <w:t>开展“轻骑兵”培训与人才、技术、资源镇村对接；二是</w:t>
      </w:r>
      <w:r>
        <w:rPr>
          <w:rFonts w:hint="eastAsia" w:ascii="仿宋_GB2312" w:hAnsi="仿宋_GB2312" w:eastAsia="仿宋_GB2312" w:cs="仿宋_GB2312"/>
          <w:color w:val="000000"/>
          <w:sz w:val="32"/>
          <w:szCs w:val="32"/>
          <w:highlight w:val="yellow"/>
          <w:lang w:val="en-US" w:eastAsia="zh-CN"/>
        </w:rPr>
        <w:t>依托“全国基层农技推广体系改革与建设补助项目农业科技示范基地”，</w:t>
      </w:r>
      <w:r>
        <w:rPr>
          <w:rFonts w:hint="eastAsia" w:ascii="仿宋_GB2312" w:hAnsi="仿宋_GB2312" w:eastAsia="仿宋_GB2312" w:cs="仿宋_GB2312"/>
          <w:color w:val="000000"/>
          <w:sz w:val="32"/>
          <w:szCs w:val="32"/>
          <w:lang w:val="en-US" w:eastAsia="zh-CN"/>
        </w:rPr>
        <w:t>共建“轻骑兵”镇级技术示范基地，</w:t>
      </w:r>
      <w:r>
        <w:rPr>
          <w:rFonts w:hint="eastAsia" w:ascii="仿宋_GB2312" w:hAnsi="仿宋_GB2312" w:eastAsia="仿宋_GB2312" w:cs="仿宋_GB2312"/>
          <w:color w:val="000000"/>
          <w:sz w:val="32"/>
          <w:szCs w:val="32"/>
          <w:highlight w:val="yellow"/>
          <w:lang w:val="en-US" w:eastAsia="zh-CN"/>
        </w:rPr>
        <w:t>打造“样板田”，</w:t>
      </w:r>
      <w:r>
        <w:rPr>
          <w:rFonts w:hint="default" w:ascii="仿宋_GB2312" w:hAnsi="仿宋_GB2312" w:eastAsia="仿宋_GB2312" w:cs="仿宋_GB2312"/>
          <w:color w:val="000000"/>
          <w:sz w:val="32"/>
          <w:szCs w:val="32"/>
          <w:lang w:val="en-US" w:eastAsia="zh-CN"/>
        </w:rPr>
        <w:t>做给老百姓看,带着老百姓干</w:t>
      </w:r>
      <w:r>
        <w:rPr>
          <w:rFonts w:hint="eastAsia" w:ascii="仿宋_GB2312" w:hAnsi="仿宋_GB2312" w:eastAsia="仿宋_GB2312" w:cs="仿宋_GB2312"/>
          <w:color w:val="000000"/>
          <w:sz w:val="32"/>
          <w:szCs w:val="32"/>
          <w:lang w:val="en-US" w:eastAsia="zh-CN"/>
        </w:rPr>
        <w:t>；三是优选镇村农资店、兽(鱼）药饲料店、农机店等社会化服务组织，纳入</w:t>
      </w:r>
      <w:r>
        <w:rPr>
          <w:rFonts w:hint="eastAsia" w:ascii="仿宋_GB2312" w:hAnsi="仿宋_GB2312" w:eastAsia="仿宋_GB2312" w:cs="仿宋_GB2312"/>
          <w:color w:val="000000"/>
          <w:sz w:val="32"/>
          <w:szCs w:val="32"/>
          <w:highlight w:val="yellow"/>
          <w:lang w:val="en-US" w:eastAsia="zh-CN"/>
        </w:rPr>
        <w:t>公益性双驱农业技术推广服务体系平台管理，</w:t>
      </w:r>
      <w:r>
        <w:rPr>
          <w:rFonts w:hint="eastAsia" w:ascii="仿宋_GB2312" w:hAnsi="仿宋_GB2312" w:eastAsia="仿宋_GB2312" w:cs="仿宋_GB2312"/>
          <w:color w:val="000000"/>
          <w:sz w:val="32"/>
          <w:szCs w:val="32"/>
          <w:lang w:eastAsia="zh-CN"/>
        </w:rPr>
        <w:t>督导提升，</w:t>
      </w:r>
      <w:r>
        <w:rPr>
          <w:rFonts w:hint="eastAsia" w:ascii="仿宋_GB2312" w:hAnsi="仿宋_GB2312" w:eastAsia="仿宋_GB2312" w:cs="仿宋_GB2312"/>
          <w:color w:val="000000"/>
          <w:szCs w:val="32"/>
        </w:rPr>
        <w:t>优化成为农技服务乡村行“排头兵”。</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（二）工作形式</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1.入户指导。</w:t>
      </w:r>
      <w:r>
        <w:rPr>
          <w:rFonts w:hint="default" w:ascii="仿宋_GB2312" w:hAnsi="仿宋_GB2312" w:eastAsia="仿宋_GB2312" w:cs="仿宋_GB2312"/>
          <w:color w:val="000000"/>
          <w:sz w:val="32"/>
          <w:szCs w:val="32"/>
          <w:lang w:val="en-US" w:eastAsia="zh-CN"/>
        </w:rPr>
        <w:t>深入农业园区、乡镇村组和田间地头，进行面对面、手把手的技术指导服务，帮助农民解决生产实际难题，为农业企业排忧解难。</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b/>
          <w:bCs/>
          <w:color w:val="000000"/>
          <w:sz w:val="32"/>
          <w:szCs w:val="32"/>
          <w:lang w:val="en-US" w:eastAsia="zh-CN"/>
        </w:rPr>
        <w:t>2.现场咨询。</w:t>
      </w:r>
      <w:r>
        <w:rPr>
          <w:rFonts w:hint="default" w:ascii="仿宋_GB2312" w:hAnsi="仿宋_GB2312" w:eastAsia="仿宋_GB2312" w:cs="仿宋_GB2312"/>
          <w:color w:val="000000"/>
          <w:sz w:val="32"/>
          <w:szCs w:val="32"/>
          <w:lang w:val="en-US" w:eastAsia="zh-CN"/>
        </w:rPr>
        <w:t>围绕现代农业发展，开展现场集中技术咨询和服务，宣讲党的强农惠农富农政策和农业法规，推介主导品种和主推技术,推广良种良法，普及气象科普知识和防灾减灾知识。</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val="en-US" w:eastAsia="zh-CN"/>
        </w:rPr>
        <w:t>线上推广</w:t>
      </w:r>
      <w:r>
        <w:rPr>
          <w:rFonts w:hint="default"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rPr>
        <w:t>通过互联网平台传播实用农技知识和课程，</w:t>
      </w:r>
      <w:r>
        <w:rPr>
          <w:rFonts w:hint="default" w:ascii="仿宋_GB2312" w:hAnsi="仿宋_GB2312" w:eastAsia="仿宋_GB2312" w:cs="仿宋_GB2312"/>
          <w:color w:val="000000"/>
          <w:sz w:val="32"/>
          <w:szCs w:val="32"/>
          <w:lang w:val="en-US" w:eastAsia="zh-CN"/>
        </w:rPr>
        <w:t>展示种子、农（兽）药、化肥、饲料、农机等农业新品种和实用先进生产资料。</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4</w:t>
      </w:r>
      <w:r>
        <w:rPr>
          <w:rFonts w:hint="default" w:ascii="仿宋_GB2312" w:hAnsi="仿宋_GB2312" w:eastAsia="仿宋_GB2312" w:cs="仿宋_GB2312"/>
          <w:b/>
          <w:bCs/>
          <w:color w:val="000000"/>
          <w:sz w:val="32"/>
          <w:szCs w:val="32"/>
          <w:lang w:val="en-US" w:eastAsia="zh-CN"/>
        </w:rPr>
        <w:t>.技术培训。</w:t>
      </w:r>
      <w:r>
        <w:rPr>
          <w:rFonts w:hint="default" w:ascii="仿宋_GB2312" w:hAnsi="仿宋_GB2312" w:eastAsia="仿宋_GB2312" w:cs="仿宋_GB2312"/>
          <w:color w:val="000000"/>
          <w:sz w:val="32"/>
          <w:szCs w:val="32"/>
          <w:lang w:val="en-US" w:eastAsia="zh-CN"/>
        </w:rPr>
        <w:t>立足当地产业发展，针对农民生产经营、产业发展的实际需求，对经营主体进行农业生产技术、科技信息服务技术系统培训，对基层农技推广人员开展示范性培训。</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（三）工作机制</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1.订单对接机制。</w:t>
      </w:r>
      <w:r>
        <w:rPr>
          <w:rFonts w:hint="eastAsia" w:ascii="仿宋_GB2312" w:hAnsi="仿宋_GB2312" w:eastAsia="仿宋_GB2312" w:cs="仿宋_GB2312"/>
          <w:color w:val="000000"/>
          <w:sz w:val="32"/>
          <w:szCs w:val="32"/>
        </w:rPr>
        <w:t>发挥互联网+在需求与服务精准对接的优势，</w:t>
      </w:r>
      <w:r>
        <w:rPr>
          <w:rFonts w:hint="eastAsia" w:ascii="仿宋_GB2312" w:hAnsi="仿宋_GB2312" w:eastAsia="仿宋_GB2312" w:cs="仿宋_GB2312"/>
          <w:color w:val="000000"/>
          <w:sz w:val="32"/>
          <w:szCs w:val="32"/>
          <w:lang w:eastAsia="zh-CN"/>
        </w:rPr>
        <w:t>利用</w:t>
      </w:r>
      <w:r>
        <w:rPr>
          <w:rFonts w:hint="eastAsia" w:ascii="仿宋_GB2312" w:hAnsi="仿宋_GB2312" w:eastAsia="仿宋_GB2312" w:cs="仿宋_GB2312"/>
          <w:color w:val="000000"/>
          <w:sz w:val="32"/>
          <w:szCs w:val="32"/>
        </w:rPr>
        <w:t>农业技术服务平台，</w:t>
      </w:r>
      <w:r>
        <w:rPr>
          <w:rFonts w:hint="eastAsia" w:ascii="仿宋_GB2312" w:hAnsi="仿宋_GB2312" w:eastAsia="仿宋_GB2312" w:cs="仿宋_GB2312"/>
          <w:color w:val="000000"/>
          <w:sz w:val="32"/>
          <w:szCs w:val="32"/>
          <w:lang w:eastAsia="zh-CN"/>
        </w:rPr>
        <w:t>满足农户快捷</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sz w:val="32"/>
          <w:szCs w:val="32"/>
          <w:lang w:eastAsia="zh-CN"/>
        </w:rPr>
        <w:t>（订单）</w:t>
      </w:r>
      <w:r>
        <w:rPr>
          <w:rFonts w:hint="eastAsia" w:ascii="仿宋_GB2312" w:hAnsi="仿宋_GB2312" w:eastAsia="仿宋_GB2312" w:cs="仿宋_GB2312"/>
          <w:color w:val="000000"/>
          <w:sz w:val="32"/>
          <w:szCs w:val="32"/>
        </w:rPr>
        <w:t>需求。</w:t>
      </w:r>
      <w:r>
        <w:rPr>
          <w:rFonts w:hint="eastAsia" w:ascii="仿宋_GB2312" w:hAnsi="仿宋_GB2312" w:eastAsia="仿宋_GB2312" w:cs="仿宋_GB2312"/>
          <w:color w:val="000000"/>
          <w:sz w:val="32"/>
          <w:szCs w:val="32"/>
          <w:lang w:val="en-US" w:eastAsia="zh-CN"/>
        </w:rPr>
        <w:t>农业技术服务平台能够实现逐条核对，精准找到服务轻骑兵，轻骑兵能在第一时间收到服务需求及位置，精准实施服务。</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2.菜单服务机制。</w:t>
      </w:r>
      <w:r>
        <w:rPr>
          <w:rFonts w:hint="eastAsia" w:ascii="仿宋_GB2312" w:hAnsi="仿宋_GB2312" w:eastAsia="仿宋_GB2312" w:cs="仿宋_GB2312"/>
          <w:color w:val="000000"/>
          <w:sz w:val="32"/>
          <w:szCs w:val="32"/>
          <w:lang w:val="en-US" w:eastAsia="zh-CN"/>
        </w:rPr>
        <w:t>利用大数据，通过广东省农技推广管理平台及时发布优良品种、高优种养技术、农产品加工技术等科技成果，以及人才、市场等方面信息，采用自上而下的方式，为农民和经济实体提供“菜单式”服务，增强服务供给的有效性和精准度。</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成效通报机制</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梳理综合</w:t>
      </w:r>
      <w:r>
        <w:rPr>
          <w:rFonts w:hint="eastAsia" w:ascii="仿宋_GB2312" w:hAnsi="仿宋_GB2312" w:eastAsia="仿宋_GB2312" w:cs="仿宋_GB2312"/>
          <w:color w:val="000000"/>
          <w:sz w:val="32"/>
          <w:szCs w:val="32"/>
        </w:rPr>
        <w:t>服务台账，形成分类别、分区域、分层级的多维度汇总统计，分析农技服务形势、产业需求特点、服务标杆经验，每月编制</w:t>
      </w:r>
      <w:r>
        <w:rPr>
          <w:rFonts w:hint="eastAsia" w:ascii="仿宋_GB2312" w:hAnsi="仿宋_GB2312" w:eastAsia="仿宋_GB2312" w:cs="仿宋_GB2312"/>
          <w:color w:val="000000"/>
          <w:sz w:val="32"/>
          <w:szCs w:val="32"/>
          <w:lang w:eastAsia="zh-CN"/>
        </w:rPr>
        <w:t>印发</w:t>
      </w:r>
      <w:r>
        <w:rPr>
          <w:rFonts w:hint="eastAsia" w:ascii="仿宋_GB2312" w:hAnsi="仿宋_GB2312" w:eastAsia="仿宋_GB2312" w:cs="仿宋_GB2312"/>
          <w:color w:val="000000"/>
          <w:sz w:val="32"/>
          <w:szCs w:val="32"/>
        </w:rPr>
        <w:t>《广东农技推广简报》</w:t>
      </w:r>
      <w:r>
        <w:rPr>
          <w:rFonts w:hint="eastAsia" w:ascii="仿宋_GB2312" w:hAnsi="仿宋_GB2312" w:eastAsia="仿宋_GB2312" w:cs="仿宋_GB2312"/>
          <w:color w:val="000000"/>
          <w:sz w:val="32"/>
          <w:szCs w:val="32"/>
          <w:lang w:eastAsia="zh-CN"/>
        </w:rPr>
        <w:t>至各地市、县（市、区）农业农村部门</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媒体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通报</w:t>
      </w:r>
      <w:r>
        <w:rPr>
          <w:rFonts w:hint="eastAsia" w:ascii="仿宋_GB2312" w:hAnsi="仿宋_GB2312" w:eastAsia="仿宋_GB2312" w:cs="仿宋_GB2312"/>
          <w:color w:val="000000"/>
          <w:sz w:val="32"/>
          <w:szCs w:val="32"/>
          <w:lang w:eastAsia="zh-CN"/>
        </w:rPr>
        <w:t>工作开展有关情况</w:t>
      </w:r>
      <w:r>
        <w:rPr>
          <w:rFonts w:hint="eastAsia" w:ascii="仿宋_GB2312" w:hAnsi="仿宋_GB2312" w:eastAsia="仿宋_GB2312" w:cs="仿宋_GB2312"/>
          <w:color w:val="000000"/>
          <w:sz w:val="32"/>
          <w:szCs w:val="32"/>
        </w:rPr>
        <w:t>，督促各地主管部门加强监督管理，对辖区内的服务机构进行指导。</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eastAsia="zh-CN"/>
        </w:rPr>
        <w:t>交通补助机制。</w:t>
      </w:r>
      <w:r>
        <w:rPr>
          <w:rFonts w:hint="eastAsia" w:ascii="仿宋_GB2312" w:hAnsi="仿宋_GB2312" w:eastAsia="仿宋_GB2312" w:cs="仿宋_GB2312"/>
          <w:b w:val="0"/>
          <w:bCs w:val="0"/>
          <w:color w:val="000000"/>
          <w:sz w:val="32"/>
          <w:szCs w:val="32"/>
          <w:lang w:eastAsia="zh-CN"/>
        </w:rPr>
        <w:t>创建轻骑兵科技下乡交通补助机制，对</w:t>
      </w:r>
      <w:r>
        <w:rPr>
          <w:rFonts w:hint="eastAsia" w:ascii="仿宋_GB2312" w:hAnsi="仿宋_GB2312" w:eastAsia="仿宋_GB2312" w:cs="仿宋_GB2312"/>
          <w:color w:val="000000"/>
          <w:sz w:val="32"/>
          <w:szCs w:val="32"/>
        </w:rPr>
        <w:t>获得需求方确认的</w:t>
      </w:r>
      <w:r>
        <w:rPr>
          <w:rFonts w:hint="eastAsia" w:ascii="仿宋_GB2312" w:hAnsi="仿宋_GB2312" w:eastAsia="仿宋_GB2312" w:cs="仿宋_GB2312"/>
          <w:color w:val="000000"/>
          <w:sz w:val="32"/>
          <w:szCs w:val="32"/>
          <w:lang w:eastAsia="zh-CN"/>
        </w:rPr>
        <w:t>“轻骑兵”</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b w:val="0"/>
          <w:bCs w:val="0"/>
          <w:color w:val="000000"/>
          <w:sz w:val="32"/>
          <w:szCs w:val="32"/>
          <w:lang w:eastAsia="zh-CN"/>
        </w:rPr>
        <w:t>给予</w:t>
      </w:r>
      <w:r>
        <w:rPr>
          <w:rFonts w:hint="eastAsia" w:ascii="仿宋_GB2312" w:hAnsi="仿宋_GB2312" w:eastAsia="仿宋_GB2312" w:cs="仿宋_GB2312"/>
          <w:color w:val="000000"/>
          <w:sz w:val="32"/>
          <w:szCs w:val="32"/>
        </w:rPr>
        <w:t>交通补助。全省每半年统计一次服务补助，直接发放至轻骑兵专家个人，提升服务团队积极性。按照轻骑兵服务队伍的属性，三类农技服务专家采取差异化补助起点：省级科技特派员专家从第六次需求对接服务起给予补助；基层农技推广体系农技员每月从第三次需求对接服务起给予补助；乡土专家从第一次需求对接服务起给予补助。</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五、工作任务</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以新品种、新技术、新装备、新模式、新营销、新农人“六新”为抓手，服务</w:t>
      </w:r>
      <w:r>
        <w:rPr>
          <w:rFonts w:hint="eastAsia" w:ascii="仿宋_GB2312" w:hAnsi="仿宋_GB2312" w:eastAsia="仿宋_GB2312" w:cs="仿宋_GB2312"/>
          <w:color w:val="000000"/>
          <w:sz w:val="32"/>
          <w:szCs w:val="32"/>
          <w:lang w:eastAsia="zh-CN"/>
        </w:rPr>
        <w:t>富民兴村</w:t>
      </w:r>
      <w:r>
        <w:rPr>
          <w:rFonts w:hint="eastAsia"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lang w:eastAsia="zh-CN"/>
        </w:rPr>
        <w:t>全产业链，</w:t>
      </w:r>
      <w:r>
        <w:rPr>
          <w:rFonts w:hint="eastAsia" w:ascii="仿宋_GB2312" w:hAnsi="仿宋_GB2312" w:eastAsia="仿宋_GB2312" w:cs="仿宋_GB2312"/>
          <w:color w:val="000000"/>
          <w:sz w:val="32"/>
          <w:szCs w:val="32"/>
        </w:rPr>
        <w:t>着力品种培优、品质提升、品牌打造和标准化生产。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培育一支新农人队伍。</w:t>
      </w:r>
      <w:r>
        <w:rPr>
          <w:rFonts w:hint="eastAsia" w:ascii="仿宋_GB2312" w:hAnsi="仿宋_GB2312" w:eastAsia="仿宋_GB2312" w:cs="仿宋_GB2312"/>
          <w:color w:val="000000"/>
          <w:sz w:val="32"/>
          <w:szCs w:val="32"/>
        </w:rPr>
        <w:t>对接广东精勤农民网络培训学院</w:t>
      </w:r>
      <w:r>
        <w:rPr>
          <w:rFonts w:hint="eastAsia" w:ascii="仿宋_GB2312" w:hAnsi="仿宋_GB2312" w:eastAsia="仿宋_GB2312" w:cs="仿宋_GB2312"/>
          <w:color w:val="000000"/>
          <w:sz w:val="32"/>
          <w:szCs w:val="32"/>
          <w:lang w:eastAsia="zh-CN"/>
        </w:rPr>
        <w:t>、粤农技线上培训网院</w:t>
      </w:r>
      <w:r>
        <w:rPr>
          <w:rFonts w:hint="eastAsia" w:ascii="仿宋_GB2312" w:hAnsi="仿宋_GB2312" w:eastAsia="仿宋_GB2312" w:cs="仿宋_GB2312"/>
          <w:color w:val="000000"/>
          <w:sz w:val="32"/>
          <w:szCs w:val="32"/>
        </w:rPr>
        <w:t>和100个省级高素质农民培育示范基地，在师资力量、精品课程遴选以及在田间地头做技术讲解和示范，且根据农时需要，结合数字农技，实现“培训个性化、时间碎片化、课件视频化、技术点位化”，培育百万精勤农民，充实新农人队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（二）认定一批乡土专家。</w:t>
      </w:r>
      <w:r>
        <w:rPr>
          <w:rFonts w:hint="eastAsia" w:ascii="仿宋_GB2312" w:hAnsi="仿宋_GB2312" w:eastAsia="仿宋_GB2312" w:cs="仿宋_GB2312"/>
          <w:color w:val="000000"/>
          <w:sz w:val="32"/>
          <w:szCs w:val="32"/>
          <w:lang w:val="en-US" w:eastAsia="zh-CN"/>
        </w:rPr>
        <w:t>通过“轻骑兵”乡村行，培育和挖掘乡村巧工能匠，组织动员加入乡土专家行列，为“轻骑兵”队伍储备人才。</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（三）培养储备一批农技服务人才。</w:t>
      </w:r>
      <w:r>
        <w:rPr>
          <w:rFonts w:hint="eastAsia" w:ascii="仿宋_GB2312" w:hAnsi="仿宋_GB2312" w:eastAsia="仿宋_GB2312" w:cs="仿宋_GB2312"/>
          <w:b w:val="0"/>
          <w:bCs w:val="0"/>
          <w:color w:val="000000"/>
          <w:sz w:val="32"/>
          <w:szCs w:val="32"/>
          <w:lang w:val="en-US" w:eastAsia="zh-CN"/>
        </w:rPr>
        <w:t>鼓励</w:t>
      </w:r>
      <w:r>
        <w:rPr>
          <w:rFonts w:hint="eastAsia" w:ascii="仿宋_GB2312" w:hAnsi="仿宋_GB2312" w:eastAsia="仿宋_GB2312" w:cs="仿宋_GB2312"/>
          <w:color w:val="000000"/>
          <w:sz w:val="32"/>
          <w:szCs w:val="32"/>
          <w:lang w:val="en-US" w:eastAsia="zh-CN"/>
        </w:rPr>
        <w:t>在校大学生参加“轻骑兵”乡村行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特别是在</w:t>
      </w:r>
      <w:r>
        <w:rPr>
          <w:rFonts w:hint="eastAsia" w:ascii="仿宋_GB2312" w:hAnsi="仿宋_GB2312" w:eastAsia="仿宋_GB2312" w:cs="仿宋_GB2312"/>
          <w:color w:val="000000"/>
          <w:sz w:val="32"/>
          <w:szCs w:val="32"/>
        </w:rPr>
        <w:t>“轻骑兵”</w:t>
      </w:r>
      <w:r>
        <w:rPr>
          <w:rFonts w:hint="eastAsia" w:ascii="仿宋_GB2312" w:hAnsi="仿宋_GB2312" w:eastAsia="仿宋_GB2312" w:cs="仿宋_GB2312"/>
          <w:color w:val="000000"/>
          <w:sz w:val="32"/>
          <w:szCs w:val="32"/>
          <w:lang w:eastAsia="zh-CN"/>
        </w:rPr>
        <w:t>镇级</w:t>
      </w:r>
      <w:r>
        <w:rPr>
          <w:rFonts w:hint="eastAsia" w:ascii="仿宋_GB2312" w:hAnsi="仿宋_GB2312" w:eastAsia="仿宋_GB2312" w:cs="仿宋_GB2312"/>
          <w:color w:val="000000"/>
          <w:sz w:val="32"/>
          <w:szCs w:val="32"/>
        </w:rPr>
        <w:t>产业技术示范基地</w:t>
      </w:r>
      <w:r>
        <w:rPr>
          <w:rFonts w:hint="eastAsia" w:ascii="仿宋_GB2312" w:hAnsi="仿宋_GB2312" w:eastAsia="仿宋_GB2312" w:cs="仿宋_GB2312"/>
          <w:color w:val="000000"/>
          <w:sz w:val="32"/>
          <w:szCs w:val="32"/>
          <w:lang w:eastAsia="zh-CN"/>
        </w:rPr>
        <w:t>实践学习</w:t>
      </w:r>
      <w:r>
        <w:rPr>
          <w:rFonts w:hint="eastAsia" w:ascii="仿宋_GB2312" w:hAnsi="仿宋_GB2312" w:eastAsia="仿宋_GB2312" w:cs="仿宋_GB2312"/>
          <w:color w:val="000000"/>
          <w:sz w:val="32"/>
          <w:szCs w:val="32"/>
        </w:rPr>
        <w:t>，既为基层补充新鲜血液，</w:t>
      </w:r>
      <w:r>
        <w:rPr>
          <w:rFonts w:hint="eastAsia" w:ascii="仿宋_GB2312" w:hAnsi="仿宋_GB2312" w:eastAsia="仿宋_GB2312" w:cs="仿宋_GB2312"/>
          <w:color w:val="000000"/>
          <w:sz w:val="32"/>
          <w:szCs w:val="32"/>
          <w:lang w:eastAsia="zh-CN"/>
        </w:rPr>
        <w:t>增添活力，</w:t>
      </w:r>
      <w:r>
        <w:rPr>
          <w:rFonts w:hint="eastAsia" w:ascii="仿宋_GB2312" w:hAnsi="仿宋_GB2312" w:eastAsia="仿宋_GB2312" w:cs="仿宋_GB2312"/>
          <w:color w:val="000000"/>
          <w:sz w:val="32"/>
          <w:szCs w:val="32"/>
        </w:rPr>
        <w:t>更为农技推广储备技术人才。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（四）打造一批优秀农技推广服务驿站。</w:t>
      </w:r>
      <w:r>
        <w:rPr>
          <w:rFonts w:hint="eastAsia" w:ascii="仿宋_GB2312" w:hAnsi="仿宋_GB2312" w:eastAsia="仿宋_GB2312" w:cs="仿宋_GB2312"/>
          <w:color w:val="000000"/>
          <w:sz w:val="32"/>
          <w:szCs w:val="32"/>
        </w:rPr>
        <w:t>以全省100个县级农技推广服务驿站为“大本营”，</w:t>
      </w:r>
      <w:r>
        <w:rPr>
          <w:rFonts w:hint="eastAsia" w:ascii="仿宋_GB2312" w:hAnsi="仿宋_GB2312" w:eastAsia="仿宋_GB2312" w:cs="仿宋_GB2312"/>
          <w:color w:val="000000"/>
          <w:sz w:val="32"/>
          <w:szCs w:val="32"/>
          <w:lang w:eastAsia="zh-CN"/>
        </w:rPr>
        <w:t>优化资源配置，加强挂点、驻点指导，创新驿站市场运行和联农利农机制，创建一</w:t>
      </w:r>
      <w:r>
        <w:rPr>
          <w:rFonts w:hint="eastAsia" w:ascii="仿宋_GB2312" w:hAnsi="仿宋_GB2312" w:eastAsia="仿宋_GB2312" w:cs="仿宋_GB2312"/>
          <w:color w:val="000000"/>
          <w:sz w:val="32"/>
          <w:szCs w:val="32"/>
        </w:rPr>
        <w:t>批</w:t>
      </w:r>
      <w:r>
        <w:rPr>
          <w:rFonts w:hint="eastAsia" w:ascii="仿宋_GB2312" w:hAnsi="仿宋_GB2312" w:eastAsia="仿宋_GB2312" w:cs="仿宋_GB2312"/>
          <w:color w:val="000000"/>
          <w:sz w:val="32"/>
          <w:szCs w:val="32"/>
          <w:lang w:eastAsia="zh-CN"/>
        </w:rPr>
        <w:t>优秀驿站典型，科技</w:t>
      </w:r>
      <w:r>
        <w:rPr>
          <w:rFonts w:hint="eastAsia" w:ascii="仿宋_GB2312" w:hAnsi="仿宋_GB2312" w:eastAsia="仿宋_GB2312" w:cs="仿宋_GB2312"/>
          <w:color w:val="000000"/>
          <w:sz w:val="32"/>
          <w:szCs w:val="32"/>
        </w:rPr>
        <w:t>支撑</w:t>
      </w:r>
      <w:r>
        <w:rPr>
          <w:rFonts w:hint="eastAsia" w:ascii="仿宋_GB2312" w:hAnsi="仿宋_GB2312" w:eastAsia="仿宋_GB2312" w:cs="仿宋_GB2312"/>
          <w:color w:val="000000"/>
          <w:sz w:val="32"/>
          <w:szCs w:val="32"/>
          <w:lang w:eastAsia="zh-CN"/>
        </w:rPr>
        <w:t>省级</w:t>
      </w:r>
      <w:r>
        <w:rPr>
          <w:rFonts w:hint="eastAsia" w:ascii="仿宋_GB2312" w:hAnsi="仿宋_GB2312" w:eastAsia="仿宋_GB2312" w:cs="仿宋_GB2312"/>
          <w:color w:val="000000"/>
          <w:sz w:val="32"/>
          <w:szCs w:val="32"/>
        </w:rPr>
        <w:t>产业园高质量建设。</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（五）助推一批富民兴村产业发展。</w:t>
      </w:r>
      <w:r>
        <w:rPr>
          <w:rFonts w:hint="eastAsia" w:ascii="仿宋_GB2312" w:hAnsi="仿宋_GB2312" w:eastAsia="仿宋_GB2312" w:cs="仿宋_GB2312"/>
          <w:b w:val="0"/>
          <w:bCs w:val="0"/>
          <w:color w:val="000000"/>
          <w:sz w:val="32"/>
          <w:szCs w:val="32"/>
          <w:lang w:eastAsia="zh-CN"/>
        </w:rPr>
        <w:t>围绕全省“跨县集群、一县一园、一镇一业、一村一品”产业发展，</w:t>
      </w:r>
      <w:r>
        <w:rPr>
          <w:rFonts w:hint="eastAsia" w:ascii="仿宋_GB2312" w:hAnsi="仿宋_GB2312" w:eastAsia="仿宋_GB2312" w:cs="仿宋_GB2312"/>
          <w:color w:val="000000"/>
          <w:sz w:val="32"/>
          <w:szCs w:val="32"/>
        </w:rPr>
        <w:t>主动对接1127个驻镇帮镇扶村工作</w:t>
      </w:r>
      <w:r>
        <w:rPr>
          <w:rFonts w:hint="eastAsia" w:ascii="仿宋_GB2312" w:hAnsi="仿宋_GB2312" w:eastAsia="仿宋_GB2312" w:cs="仿宋_GB2312"/>
          <w:color w:val="000000"/>
          <w:sz w:val="32"/>
          <w:szCs w:val="32"/>
          <w:lang w:eastAsia="zh-CN"/>
        </w:rPr>
        <w:t>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指导</w:t>
      </w:r>
      <w:r>
        <w:rPr>
          <w:rFonts w:hint="eastAsia" w:ascii="仿宋_GB2312" w:hAnsi="仿宋_GB2312" w:eastAsia="仿宋_GB2312" w:cs="仿宋_GB2312"/>
          <w:color w:val="000000"/>
          <w:sz w:val="32"/>
          <w:szCs w:val="32"/>
        </w:rPr>
        <w:t>帮扶农民群众立足本地资源发展特色农业</w:t>
      </w:r>
      <w:r>
        <w:rPr>
          <w:rFonts w:hint="eastAsia" w:ascii="仿宋_GB2312" w:hAnsi="仿宋_GB2312" w:eastAsia="仿宋_GB2312" w:cs="仿宋_GB2312"/>
          <w:color w:val="000000"/>
          <w:sz w:val="32"/>
          <w:szCs w:val="32"/>
          <w:lang w:eastAsia="zh-CN"/>
        </w:rPr>
        <w:t>产业</w:t>
      </w:r>
      <w:r>
        <w:rPr>
          <w:rFonts w:hint="eastAsia" w:ascii="仿宋_GB2312" w:hAnsi="仿宋_GB2312" w:eastAsia="仿宋_GB2312" w:cs="仿宋_GB2312"/>
          <w:color w:val="000000"/>
          <w:sz w:val="32"/>
          <w:szCs w:val="32"/>
        </w:rPr>
        <w:t>，从产前发展规划、产中技术服务、产后市场营销</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一系列农技服务，</w:t>
      </w:r>
      <w:r>
        <w:rPr>
          <w:rFonts w:hint="eastAsia" w:ascii="仿宋_GB2312" w:hAnsi="仿宋_GB2312" w:eastAsia="仿宋_GB2312" w:cs="仿宋_GB2312"/>
          <w:color w:val="000000"/>
          <w:sz w:val="32"/>
          <w:szCs w:val="32"/>
          <w:lang w:eastAsia="zh-CN"/>
        </w:rPr>
        <w:t>促进乡村</w:t>
      </w:r>
      <w:r>
        <w:rPr>
          <w:rFonts w:hint="eastAsia" w:ascii="仿宋_GB2312" w:hAnsi="仿宋_GB2312" w:eastAsia="仿宋_GB2312" w:cs="仿宋_GB2312"/>
          <w:color w:val="000000"/>
          <w:sz w:val="32"/>
          <w:szCs w:val="32"/>
        </w:rPr>
        <w:t>产业发展。</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（六）集成推广一批主导品种和主推技术。</w:t>
      </w:r>
      <w:r>
        <w:rPr>
          <w:rFonts w:hint="eastAsia" w:ascii="仿宋_GB2312" w:hAnsi="仿宋_GB2312" w:eastAsia="仿宋_GB2312" w:cs="仿宋_GB2312"/>
          <w:color w:val="000000"/>
          <w:sz w:val="32"/>
          <w:szCs w:val="32"/>
        </w:rPr>
        <w:t>深入一线</w:t>
      </w:r>
      <w:r>
        <w:rPr>
          <w:rFonts w:hint="eastAsia" w:ascii="仿宋_GB2312" w:hAnsi="仿宋_GB2312" w:eastAsia="仿宋_GB2312" w:cs="仿宋_GB2312"/>
          <w:color w:val="000000"/>
          <w:sz w:val="32"/>
          <w:szCs w:val="32"/>
          <w:lang w:eastAsia="zh-CN"/>
        </w:rPr>
        <w:t>指导服务、</w:t>
      </w:r>
      <w:r>
        <w:rPr>
          <w:rFonts w:hint="eastAsia" w:ascii="仿宋_GB2312" w:hAnsi="仿宋_GB2312" w:eastAsia="仿宋_GB2312" w:cs="仿宋_GB2312"/>
          <w:color w:val="000000"/>
          <w:sz w:val="32"/>
          <w:szCs w:val="32"/>
        </w:rPr>
        <w:t>了解需求，</w:t>
      </w:r>
      <w:r>
        <w:rPr>
          <w:rFonts w:hint="eastAsia" w:ascii="仿宋_GB2312" w:hAnsi="仿宋_GB2312" w:eastAsia="仿宋_GB2312" w:cs="仿宋_GB2312"/>
          <w:color w:val="000000"/>
          <w:sz w:val="32"/>
          <w:szCs w:val="32"/>
          <w:lang w:eastAsia="zh-CN"/>
        </w:rPr>
        <w:t>联合攻关，</w:t>
      </w:r>
      <w:r>
        <w:rPr>
          <w:rFonts w:hint="eastAsia" w:ascii="仿宋_GB2312" w:hAnsi="仿宋_GB2312" w:eastAsia="仿宋_GB2312" w:cs="仿宋_GB2312"/>
          <w:color w:val="000000"/>
          <w:sz w:val="32"/>
          <w:szCs w:val="32"/>
        </w:rPr>
        <w:t>共同集成推选一批主导品种和主推技</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术，通过农业科技示范基地推广到广大农村，</w:t>
      </w:r>
      <w:r>
        <w:rPr>
          <w:rFonts w:hint="eastAsia" w:ascii="仿宋_GB2312" w:hAnsi="仿宋_GB2312" w:eastAsia="仿宋_GB2312" w:cs="仿宋_GB2312"/>
          <w:color w:val="000000"/>
          <w:sz w:val="32"/>
          <w:szCs w:val="32"/>
          <w:lang w:eastAsia="zh-CN"/>
        </w:rPr>
        <w:t>提高农业科技到位率，</w:t>
      </w:r>
      <w:r>
        <w:rPr>
          <w:rFonts w:hint="eastAsia" w:ascii="仿宋_GB2312" w:hAnsi="仿宋_GB2312" w:eastAsia="仿宋_GB2312" w:cs="仿宋_GB2312"/>
          <w:color w:val="000000"/>
          <w:sz w:val="32"/>
          <w:szCs w:val="32"/>
        </w:rPr>
        <w:t>提升农业竞争力。</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（七）开展一系列乡村行活动。</w:t>
      </w:r>
      <w:r>
        <w:rPr>
          <w:rFonts w:hint="eastAsia" w:ascii="仿宋_GB2312" w:hAnsi="仿宋_GB2312" w:eastAsia="仿宋_GB2312" w:cs="仿宋_GB2312"/>
          <w:color w:val="000000"/>
          <w:sz w:val="32"/>
          <w:szCs w:val="32"/>
        </w:rPr>
        <w:t>结合重点季节、重点环节、重点品种、重点区域等因素，以绿色增产、节本降耗、提质增效、生态环保和质量安全为导向，组织一系列开展示范推广和宣传培训</w:t>
      </w:r>
      <w:r>
        <w:rPr>
          <w:rFonts w:hint="eastAsia" w:ascii="仿宋_GB2312" w:hAnsi="仿宋_GB2312" w:eastAsia="仿宋_GB2312" w:cs="仿宋_GB2312"/>
          <w:color w:val="000000"/>
          <w:sz w:val="32"/>
          <w:szCs w:val="32"/>
          <w:lang w:eastAsia="zh-CN"/>
        </w:rPr>
        <w:t>等乡村行</w:t>
      </w:r>
      <w:r>
        <w:rPr>
          <w:rFonts w:hint="eastAsia" w:ascii="仿宋_GB2312" w:hAnsi="仿宋_GB2312" w:eastAsia="仿宋_GB2312" w:cs="仿宋_GB2312"/>
          <w:color w:val="000000"/>
          <w:sz w:val="32"/>
          <w:szCs w:val="32"/>
        </w:rPr>
        <w:t>活动。</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 xml:space="preserve">    （八）建设一批“轻骑兵”产业技术示范基地。</w:t>
      </w:r>
      <w:r>
        <w:rPr>
          <w:rFonts w:hint="eastAsia" w:ascii="仿宋_GB2312" w:hAnsi="仿宋_GB2312" w:eastAsia="仿宋_GB2312" w:cs="仿宋_GB2312"/>
          <w:color w:val="000000"/>
          <w:sz w:val="32"/>
          <w:szCs w:val="32"/>
          <w:lang w:val="en-US" w:eastAsia="zh-CN"/>
        </w:rPr>
        <w:t>遴选主体，结合基层推广体系建设与改革补助项目扶持，共建</w:t>
      </w:r>
      <w:r>
        <w:rPr>
          <w:rFonts w:hint="eastAsia" w:ascii="仿宋_GB2312" w:hAnsi="仿宋_GB2312" w:eastAsia="仿宋_GB2312" w:cs="仿宋_GB2312"/>
          <w:color w:val="000000"/>
          <w:sz w:val="32"/>
          <w:szCs w:val="32"/>
          <w:lang w:eastAsia="zh-CN"/>
        </w:rPr>
        <w:t>“轻骑兵”乡村行</w:t>
      </w:r>
      <w:r>
        <w:rPr>
          <w:rFonts w:hint="eastAsia" w:ascii="仿宋_GB2312" w:hAnsi="仿宋_GB2312" w:eastAsia="仿宋_GB2312" w:cs="仿宋_GB2312"/>
          <w:color w:val="000000"/>
          <w:sz w:val="32"/>
          <w:szCs w:val="32"/>
          <w:lang w:val="en-US" w:eastAsia="zh-CN"/>
        </w:rPr>
        <w:t>镇级示范基地；既是乡村行的根据地、落脚点，也是练兵台，</w:t>
      </w:r>
      <w:r>
        <w:rPr>
          <w:rFonts w:hint="default" w:ascii="仿宋_GB2312" w:hAnsi="仿宋_GB2312" w:eastAsia="仿宋_GB2312" w:cs="仿宋_GB2312"/>
          <w:color w:val="000000"/>
          <w:sz w:val="32"/>
          <w:szCs w:val="32"/>
          <w:lang w:val="en-US" w:eastAsia="zh-CN"/>
        </w:rPr>
        <w:t>做给老百姓看</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带着老百姓干</w:t>
      </w:r>
      <w:r>
        <w:rPr>
          <w:rFonts w:hint="eastAsia" w:ascii="仿宋_GB2312" w:hAnsi="仿宋_GB2312" w:eastAsia="仿宋_GB2312" w:cs="仿宋_GB2312"/>
          <w:color w:val="000000"/>
          <w:sz w:val="32"/>
          <w:szCs w:val="32"/>
          <w:lang w:val="en-US" w:eastAsia="zh-CN"/>
        </w:rPr>
        <w:t>，打造“样板田”。</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（九）发展一批农技服务超市。</w:t>
      </w:r>
      <w:r>
        <w:rPr>
          <w:rFonts w:hint="eastAsia" w:ascii="仿宋_GB2312" w:hAnsi="仿宋_GB2312" w:eastAsia="仿宋_GB2312" w:cs="仿宋_GB2312"/>
          <w:color w:val="000000"/>
          <w:sz w:val="32"/>
          <w:szCs w:val="32"/>
        </w:rPr>
        <w:t>以乡镇为单位</w:t>
      </w:r>
      <w:r>
        <w:rPr>
          <w:rFonts w:hint="eastAsia" w:ascii="仿宋_GB2312" w:hAnsi="仿宋_GB2312" w:eastAsia="仿宋_GB2312" w:cs="仿宋_GB2312"/>
          <w:color w:val="000000"/>
          <w:sz w:val="32"/>
          <w:szCs w:val="32"/>
          <w:lang w:eastAsia="zh-CN"/>
        </w:rPr>
        <w:t>，整合现有</w:t>
      </w:r>
      <w:r>
        <w:rPr>
          <w:rFonts w:hint="eastAsia" w:ascii="仿宋_GB2312" w:hAnsi="仿宋_GB2312" w:eastAsia="仿宋_GB2312" w:cs="仿宋_GB2312"/>
          <w:color w:val="000000"/>
          <w:sz w:val="32"/>
          <w:szCs w:val="32"/>
          <w:lang w:val="en-US" w:eastAsia="zh-CN"/>
        </w:rPr>
        <w:t>农资店、兽药饲料店、农机店等社会化服务组织，创建</w:t>
      </w:r>
      <w:r>
        <w:rPr>
          <w:rFonts w:hint="eastAsia" w:ascii="仿宋_GB2312" w:hAnsi="仿宋_GB2312" w:eastAsia="仿宋_GB2312" w:cs="仿宋_GB2312"/>
          <w:color w:val="000000"/>
          <w:sz w:val="32"/>
          <w:szCs w:val="32"/>
        </w:rPr>
        <w:t>一批农技服务超市，</w:t>
      </w:r>
      <w:r>
        <w:rPr>
          <w:rFonts w:hint="eastAsia" w:ascii="仿宋_GB2312" w:hAnsi="仿宋_GB2312" w:eastAsia="仿宋_GB2312" w:cs="仿宋_GB2312"/>
          <w:color w:val="000000"/>
          <w:sz w:val="32"/>
          <w:szCs w:val="32"/>
          <w:lang w:val="en-US" w:eastAsia="zh-CN"/>
        </w:rPr>
        <w:t>纳入“轻骑兵”平台管理，</w:t>
      </w:r>
      <w:r>
        <w:rPr>
          <w:rFonts w:hint="eastAsia" w:ascii="仿宋_GB2312" w:hAnsi="仿宋_GB2312" w:eastAsia="仿宋_GB2312" w:cs="仿宋_GB2312"/>
          <w:color w:val="000000"/>
          <w:sz w:val="32"/>
          <w:szCs w:val="32"/>
          <w:lang w:eastAsia="zh-CN"/>
        </w:rPr>
        <w:t>督导提升，优化成为农技服务乡村</w:t>
      </w:r>
      <w:r>
        <w:rPr>
          <w:rFonts w:hint="eastAsia" w:ascii="仿宋_GB2312" w:hAnsi="仿宋_GB2312" w:eastAsia="仿宋_GB2312" w:cs="仿宋_GB2312"/>
          <w:color w:val="000000"/>
          <w:sz w:val="32"/>
          <w:szCs w:val="32"/>
          <w:highlight w:val="yellow"/>
          <w:lang w:eastAsia="zh-CN"/>
        </w:rPr>
        <w:t>行“排头兵”</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（十）形成一批创新创业模式。</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rPr>
        <w:t>带动新型农业经营主体、促进乡村特色产业发展、壮大村</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集体经济等方面，及时凝练总结一批可复制、可推广的</w:t>
      </w:r>
      <w:r>
        <w:rPr>
          <w:rFonts w:hint="eastAsia" w:ascii="仿宋_GB2312" w:hAnsi="仿宋_GB2312" w:eastAsia="仿宋_GB2312" w:cs="仿宋_GB2312"/>
          <w:color w:val="000000"/>
          <w:sz w:val="32"/>
          <w:szCs w:val="32"/>
          <w:lang w:val="en-US" w:eastAsia="zh-CN"/>
        </w:rPr>
        <w:t>农技服务</w:t>
      </w:r>
      <w:r>
        <w:rPr>
          <w:rFonts w:hint="eastAsia" w:ascii="仿宋_GB2312" w:hAnsi="仿宋_GB2312" w:eastAsia="仿宋_GB2312" w:cs="仿宋_GB2312"/>
          <w:color w:val="000000"/>
          <w:sz w:val="32"/>
          <w:szCs w:val="32"/>
        </w:rPr>
        <w:t>驱动乡村振兴发展模式。</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六、重点工作</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（一）组建一批产业技术服务轻骑兵。</w:t>
      </w:r>
      <w:r>
        <w:rPr>
          <w:rFonts w:hint="eastAsia" w:ascii="仿宋_GB2312" w:hAnsi="仿宋_GB2312" w:eastAsia="仿宋_GB2312" w:cs="仿宋_GB2312"/>
          <w:color w:val="000000"/>
          <w:sz w:val="32"/>
          <w:szCs w:val="32"/>
          <w:lang w:eastAsia="zh-CN"/>
        </w:rPr>
        <w:t>先行先试，根据我省重点产业及技术需求，率先组建水稻、荔枝、柑橘、蔬菜、南药、甘薯、畜牧、渔业、农机作业等</w:t>
      </w:r>
      <w:r>
        <w:rPr>
          <w:rFonts w:hint="eastAsia" w:ascii="仿宋_GB2312" w:hAnsi="仿宋_GB2312" w:eastAsia="仿宋_GB2312" w:cs="仿宋_GB2312"/>
          <w:color w:val="000000"/>
          <w:sz w:val="32"/>
          <w:szCs w:val="32"/>
          <w:lang w:val="en-US" w:eastAsia="zh-CN"/>
        </w:rPr>
        <w:t>24个产业技术服务“轻骑兵”（详见附表1）。</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 xml:space="preserve">  （二）构建一个农技推广数据管理平台。</w:t>
      </w:r>
      <w:r>
        <w:rPr>
          <w:rFonts w:hint="eastAsia" w:ascii="仿宋_GB2312" w:hAnsi="仿宋_GB2312" w:eastAsia="仿宋_GB2312" w:cs="仿宋_GB2312"/>
          <w:color w:val="000000"/>
          <w:sz w:val="32"/>
          <w:szCs w:val="32"/>
        </w:rPr>
        <w:t>建立全省统一的农技</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数据资源库</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农技服务精准对接</w:t>
      </w:r>
      <w:r>
        <w:rPr>
          <w:rFonts w:hint="eastAsia" w:ascii="仿宋_GB2312" w:hAnsi="仿宋_GB2312" w:eastAsia="仿宋_GB2312" w:cs="仿宋_GB2312"/>
          <w:color w:val="000000"/>
          <w:sz w:val="32"/>
          <w:szCs w:val="32"/>
          <w:lang w:eastAsia="zh-CN"/>
        </w:rPr>
        <w:t>平</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eastAsia="zh-CN"/>
        </w:rPr>
        <w:t>（详见附表</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color w:val="000000"/>
          <w:sz w:val="32"/>
          <w:szCs w:val="32"/>
          <w:lang w:eastAsia="zh-CN"/>
        </w:rPr>
        <w:t>“轻骑兵”依托机构和人员数据化管理，二是轻骑兵农技服务精准对接，三是自动生成</w:t>
      </w:r>
      <w:r>
        <w:rPr>
          <w:rFonts w:hint="eastAsia" w:ascii="仿宋_GB2312" w:hAnsi="仿宋_GB2312" w:eastAsia="仿宋_GB2312" w:cs="仿宋_GB2312"/>
          <w:color w:val="000000"/>
          <w:sz w:val="32"/>
          <w:szCs w:val="32"/>
          <w:lang w:val="en-US" w:eastAsia="zh-CN"/>
        </w:rPr>
        <w:t>1套农技服务台账。实施“轻骑兵”乡村行量化、精准管理。</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 xml:space="preserve">    （三）开展一系列轻骑兵信息服务培训。</w:t>
      </w:r>
      <w:r>
        <w:rPr>
          <w:rFonts w:hint="eastAsia" w:ascii="仿宋_GB2312" w:hAnsi="仿宋_GB2312" w:eastAsia="仿宋_GB2312" w:cs="仿宋_GB2312"/>
          <w:color w:val="000000"/>
          <w:sz w:val="32"/>
          <w:szCs w:val="32"/>
        </w:rPr>
        <w:t>组织全省涉农科研院校和各地级市的乡土专家、基层农技推广体系农技员，进行农技推广轻骑兵信息服务大轮训。围绕准入机制、服务流程、补助机制、提升能力等方面进行培训，促使全省上下统一思想争当轻骑兵，优化各级农技推广服务资源配置，促进农技服务产业链延伸。</w:t>
      </w:r>
    </w:p>
    <w:p>
      <w:pPr>
        <w:keepNext w:val="0"/>
        <w:keepLines w:val="0"/>
        <w:pageBreakBefore w:val="0"/>
        <w:widowControl w:val="0"/>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（四）开展一系列农技推广轻骑兵宣传。</w:t>
      </w:r>
      <w:r>
        <w:rPr>
          <w:rFonts w:hint="eastAsia" w:ascii="仿宋_GB2312" w:hAnsi="仿宋_GB2312" w:eastAsia="仿宋_GB2312" w:cs="仿宋_GB2312"/>
          <w:color w:val="000000"/>
          <w:sz w:val="32"/>
          <w:szCs w:val="32"/>
        </w:rPr>
        <w:t>每周对一组农技推广轻骑兵优秀标杆进行服务成效宣传，突出围绕优势特色产业的发展需求，体现积极响应快速行动的特点，将新品种和实用技术落地应用，实现提质增效为民办实事，推动现代农业高质量发展。</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（五）表彰一批农技服务标杆轻骑兵。</w:t>
      </w:r>
      <w:r>
        <w:rPr>
          <w:rFonts w:hint="eastAsia" w:ascii="仿宋_GB2312" w:hAnsi="仿宋_GB2312" w:eastAsia="仿宋_GB2312" w:cs="仿宋_GB2312"/>
          <w:color w:val="000000"/>
          <w:sz w:val="32"/>
          <w:szCs w:val="32"/>
          <w:lang w:eastAsia="zh-CN"/>
        </w:rPr>
        <w:t>选树典型，</w:t>
      </w:r>
      <w:r>
        <w:rPr>
          <w:rFonts w:hint="eastAsia" w:ascii="仿宋_GB2312" w:hAnsi="仿宋_GB2312" w:eastAsia="仿宋_GB2312" w:cs="仿宋_GB2312"/>
          <w:color w:val="000000"/>
          <w:sz w:val="32"/>
          <w:szCs w:val="32"/>
        </w:rPr>
        <w:t>每年定期组织召开表彰大会，总结全省轻骑兵服务成效，树立全省先进标杆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对服务成效好、农民满意度高的轻骑兵和服务机构进行表彰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扩大轻骑兵服务影响力。</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（六）遴选一批轻骑兵乡村行合作企业。</w:t>
      </w:r>
      <w:r>
        <w:rPr>
          <w:rFonts w:hint="eastAsia" w:ascii="仿宋_GB2312" w:hAnsi="仿宋_GB2312" w:eastAsia="仿宋_GB2312" w:cs="仿宋_GB2312"/>
          <w:color w:val="000000"/>
          <w:sz w:val="32"/>
          <w:szCs w:val="32"/>
          <w:lang w:eastAsia="zh-CN"/>
        </w:rPr>
        <w:t>制定遴选标准，整合市场力量，</w:t>
      </w:r>
      <w:r>
        <w:rPr>
          <w:rFonts w:hint="eastAsia" w:ascii="仿宋_GB2312" w:hAnsi="仿宋_GB2312" w:eastAsia="仿宋_GB2312" w:cs="仿宋_GB2312"/>
          <w:color w:val="000000"/>
          <w:sz w:val="32"/>
          <w:szCs w:val="32"/>
          <w:lang w:val="en-US" w:eastAsia="zh-CN"/>
        </w:rPr>
        <w:t>通过试验示范、规范提升，</w:t>
      </w:r>
      <w:r>
        <w:rPr>
          <w:rFonts w:hint="eastAsia" w:ascii="仿宋_GB2312" w:hAnsi="仿宋_GB2312" w:eastAsia="仿宋_GB2312" w:cs="仿宋_GB2312"/>
          <w:color w:val="000000"/>
          <w:sz w:val="32"/>
          <w:szCs w:val="32"/>
          <w:lang w:eastAsia="zh-CN"/>
        </w:rPr>
        <w:t>吸收农业投入品服务企业、农机跨区作业、生产托管以及基层</w:t>
      </w:r>
      <w:r>
        <w:rPr>
          <w:rFonts w:hint="eastAsia" w:ascii="仿宋_GB2312" w:hAnsi="仿宋_GB2312" w:eastAsia="仿宋_GB2312" w:cs="仿宋_GB2312"/>
          <w:color w:val="000000"/>
          <w:sz w:val="32"/>
          <w:szCs w:val="32"/>
          <w:lang w:val="en-US" w:eastAsia="zh-CN"/>
        </w:rPr>
        <w:t>农资店、兽（鱼）药饲料店等服务组织加入“轻骑兵”乡村行，为农技服务乡村行赋予内生动力，促进可持续性健康发展。</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黑体" w:hAnsi="黑体" w:eastAsia="黑体" w:cs="黑体"/>
          <w:b w:val="0"/>
          <w:bCs w:val="0"/>
          <w:color w:val="000000"/>
          <w:sz w:val="32"/>
          <w:szCs w:val="32"/>
          <w:highlight w:val="yellow"/>
        </w:rPr>
      </w:pPr>
      <w:r>
        <w:rPr>
          <w:rFonts w:hint="eastAsia" w:ascii="黑体" w:hAnsi="黑体" w:eastAsia="黑体" w:cs="黑体"/>
          <w:b w:val="0"/>
          <w:bCs w:val="0"/>
          <w:color w:val="000000"/>
          <w:sz w:val="32"/>
          <w:szCs w:val="32"/>
          <w:highlight w:val="yellow"/>
          <w:lang w:eastAsia="zh-CN"/>
        </w:rPr>
        <w:t>七、组织架构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90" w:lineRule="exact"/>
        <w:textAlignment w:val="auto"/>
        <w:outlineLvl w:val="9"/>
        <w:rPr>
          <w:rFonts w:hint="eastAsia" w:ascii="仿宋_GB2312" w:hAnsi="仿宋_GB2312" w:eastAsia="仿宋_GB2312" w:cs="仿宋_GB2312"/>
          <w:b/>
          <w:bCs/>
          <w:color w:val="000000"/>
          <w:sz w:val="32"/>
          <w:szCs w:val="32"/>
          <w:highlight w:val="yellow"/>
          <w:lang w:eastAsia="zh-CN"/>
        </w:rPr>
      </w:pPr>
      <w:r>
        <w:rPr>
          <w:rFonts w:hint="eastAsia" w:ascii="楷体_GB2312" w:hAnsi="楷体_GB2312" w:eastAsia="楷体_GB2312" w:cs="楷体_GB2312"/>
          <w:b w:val="0"/>
          <w:bCs w:val="0"/>
          <w:color w:val="000000"/>
          <w:sz w:val="32"/>
          <w:szCs w:val="32"/>
          <w:highlight w:val="yellow"/>
          <w:lang w:val="en-US" w:eastAsia="zh-CN"/>
        </w:rPr>
        <w:t xml:space="preserve">    </w:t>
      </w:r>
      <w:r>
        <w:rPr>
          <w:rFonts w:hint="eastAsia" w:ascii="楷体_GB2312" w:hAnsi="楷体_GB2312" w:eastAsia="楷体_GB2312" w:cs="楷体_GB2312"/>
          <w:b w:val="0"/>
          <w:bCs w:val="0"/>
          <w:color w:val="000000"/>
          <w:sz w:val="32"/>
          <w:szCs w:val="32"/>
          <w:highlight w:val="yellow"/>
          <w:lang w:eastAsia="zh-CN"/>
        </w:rPr>
        <w:t>（</w:t>
      </w:r>
      <w:r>
        <w:rPr>
          <w:rFonts w:hint="eastAsia" w:ascii="楷体_GB2312" w:hAnsi="楷体_GB2312" w:eastAsia="楷体_GB2312" w:cs="楷体_GB2312"/>
          <w:b w:val="0"/>
          <w:bCs w:val="0"/>
          <w:color w:val="000000"/>
          <w:sz w:val="32"/>
          <w:szCs w:val="32"/>
          <w:highlight w:val="yellow"/>
          <w:lang w:val="en-US" w:eastAsia="zh-CN"/>
        </w:rPr>
        <w:t>一</w:t>
      </w:r>
      <w:r>
        <w:rPr>
          <w:rFonts w:hint="eastAsia" w:ascii="楷体_GB2312" w:hAnsi="楷体_GB2312" w:eastAsia="楷体_GB2312" w:cs="楷体_GB2312"/>
          <w:b w:val="0"/>
          <w:bCs w:val="0"/>
          <w:color w:val="000000"/>
          <w:sz w:val="32"/>
          <w:szCs w:val="32"/>
          <w:highlight w:val="yellow"/>
          <w:lang w:eastAsia="zh-CN"/>
        </w:rPr>
        <w:t>）成立广东省农技服务“轻骑兵”乡村行领导小组。</w:t>
      </w:r>
      <w:r>
        <w:rPr>
          <w:rFonts w:hint="eastAsia" w:ascii="仿宋_GB2312" w:hAnsi="仿宋_GB2312" w:eastAsia="仿宋_GB2312" w:cs="仿宋_GB2312"/>
          <w:b w:val="0"/>
          <w:bCs w:val="0"/>
          <w:color w:val="000000"/>
          <w:sz w:val="32"/>
          <w:szCs w:val="32"/>
          <w:highlight w:val="yellow"/>
          <w:lang w:eastAsia="zh-CN"/>
        </w:rPr>
        <w:t>设组长1名，副组长2名，厅有关处室主要领导任小组成员</w:t>
      </w:r>
      <w:r>
        <w:rPr>
          <w:rFonts w:hint="eastAsia" w:ascii="仿宋_GB2312" w:hAnsi="仿宋_GB2312" w:eastAsia="仿宋_GB2312" w:cs="仿宋_GB2312"/>
          <w:b/>
          <w:bCs/>
          <w:color w:val="000000"/>
          <w:sz w:val="32"/>
          <w:szCs w:val="32"/>
          <w:highlight w:val="yellow"/>
          <w:lang w:eastAsia="zh-CN"/>
        </w:rPr>
        <w:t>。</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ind w:firstLine="640" w:firstLineChars="200"/>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组  长：顾幸伟</w:t>
      </w:r>
      <w:bookmarkStart w:id="0" w:name="_GoBack"/>
      <w:bookmarkEnd w:id="0"/>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副组长：陈  东、林  绿</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ind w:firstLine="640" w:firstLineChars="200"/>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成  员：胡学冬  政策法规与改革处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梁国新  发展规划处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毛朝晖  计划财务处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郑志雄  乡村产业发展处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朱学荣  农村合作经济指导处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林主伟  帮扶工作指导处（老区建设处）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何  霞  市场与信息化处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刘晚治  农产品质量安全监管处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蔡  立  种植业管理处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罗一心  畜牧与饲料处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于培松  渔业发展处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刘中国  种业管理处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陈楚楷  农业机械化管理处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刘亚平  科技教育处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default"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曾思坚  人事处</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val="0"/>
          <w:bCs w:val="0"/>
          <w:color w:val="000000"/>
          <w:sz w:val="32"/>
          <w:szCs w:val="32"/>
          <w:highlight w:val="yellow"/>
          <w:lang w:val="en-US" w:eastAsia="zh-CN"/>
        </w:rPr>
      </w:pPr>
      <w:r>
        <w:rPr>
          <w:rFonts w:hint="eastAsia" w:ascii="仿宋_GB2312" w:hAnsi="仿宋_GB2312" w:cs="仿宋_GB2312"/>
          <w:b w:val="0"/>
          <w:bCs w:val="0"/>
          <w:color w:val="000000"/>
          <w:sz w:val="32"/>
          <w:szCs w:val="32"/>
          <w:highlight w:val="yellow"/>
          <w:lang w:val="en-US" w:eastAsia="zh-CN"/>
        </w:rPr>
        <w:t xml:space="preserve">            刘玉涛  广州国家现代农业产业科技创新中心</w:t>
      </w:r>
    </w:p>
    <w:p>
      <w:pPr>
        <w:pStyle w:val="4"/>
        <w:keepNext w:val="0"/>
        <w:keepLines w:val="0"/>
        <w:pageBreakBefore w:val="0"/>
        <w:numPr>
          <w:ilvl w:val="0"/>
          <w:numId w:val="0"/>
        </w:numPr>
        <w:kinsoku/>
        <w:wordWrap/>
        <w:overflowPunct/>
        <w:topLinePunct w:val="0"/>
        <w:autoSpaceDE/>
        <w:autoSpaceDN/>
        <w:bidi w:val="0"/>
        <w:adjustRightInd w:val="0"/>
        <w:snapToGrid w:val="0"/>
        <w:spacing w:after="0" w:line="590" w:lineRule="exact"/>
        <w:ind w:firstLine="640" w:firstLineChars="200"/>
        <w:textAlignment w:val="auto"/>
        <w:outlineLvl w:val="9"/>
        <w:rPr>
          <w:rFonts w:hint="eastAsia"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下设办公室，省农业技术推广中心罗国武副主任兼任办公室主任。</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b/>
          <w:bCs/>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）建立“轻骑兵”联席会议制度。</w:t>
      </w:r>
      <w:r>
        <w:rPr>
          <w:rFonts w:hint="eastAsia" w:ascii="仿宋_GB2312" w:hAnsi="仿宋_GB2312" w:eastAsia="仿宋_GB2312" w:cs="仿宋_GB2312"/>
          <w:color w:val="000000"/>
          <w:sz w:val="32"/>
          <w:szCs w:val="32"/>
          <w:lang w:eastAsia="zh-CN"/>
        </w:rPr>
        <w:t>由广东省农业技术推广中心牵头，联合华南农业大学、广东省农科院、仲恺农业工程学院、广东省科学院等组成广东省“轻骑兵”</w:t>
      </w:r>
      <w:r>
        <w:rPr>
          <w:rFonts w:hint="eastAsia" w:ascii="仿宋_GB2312" w:hAnsi="仿宋_GB2312" w:eastAsia="仿宋_GB2312" w:cs="仿宋_GB2312"/>
          <w:b w:val="0"/>
          <w:bCs w:val="0"/>
          <w:color w:val="000000"/>
          <w:sz w:val="32"/>
          <w:szCs w:val="32"/>
          <w:lang w:eastAsia="zh-CN"/>
        </w:rPr>
        <w:t>联席会议委员会；实行联席会议制度，对“轻骑兵”乡村行重大事项负责。</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、保障措施</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（一）强化组织协调。</w:t>
      </w:r>
      <w:r>
        <w:rPr>
          <w:rFonts w:hint="eastAsia" w:ascii="仿宋_GB2312" w:hAnsi="仿宋_GB2312" w:eastAsia="仿宋_GB2312" w:cs="仿宋_GB2312"/>
          <w:color w:val="000000"/>
          <w:sz w:val="32"/>
          <w:szCs w:val="32"/>
          <w:lang w:val="en-US" w:eastAsia="zh-CN"/>
        </w:rPr>
        <w:t>各级农业农村主管部门负主体责任，形成“主要领导统筹、分管领导主抓”和“部门协同、上下联动”的工作机制。省农技服务“轻骑兵”联席会议成员单位起发挥协调作用；各市、县（区）农业农村主管部门要明确承担“轻骑兵”管理工作的机构和人员，确保工作有人抓、问题有人管、责任有人担。</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（二）强化财政投入。</w:t>
      </w:r>
      <w:r>
        <w:rPr>
          <w:rFonts w:hint="eastAsia" w:ascii="仿宋_GB2312" w:hAnsi="仿宋_GB2312" w:eastAsia="仿宋_GB2312" w:cs="仿宋_GB2312"/>
          <w:color w:val="000000"/>
          <w:sz w:val="32"/>
          <w:szCs w:val="32"/>
          <w:lang w:eastAsia="zh-CN"/>
        </w:rPr>
        <w:t>各地要制定结合实际制定</w:t>
      </w:r>
      <w:r>
        <w:rPr>
          <w:rFonts w:hint="eastAsia" w:ascii="仿宋_GB2312" w:hAnsi="仿宋_GB2312" w:eastAsia="仿宋_GB2312" w:cs="仿宋_GB2312"/>
          <w:color w:val="000000"/>
          <w:sz w:val="32"/>
          <w:szCs w:val="32"/>
        </w:rPr>
        <w:t>财政扶持标准和规范，适度拓宽公共服务</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交通和技术服务的补助标准</w:t>
      </w:r>
      <w:r>
        <w:rPr>
          <w:rFonts w:hint="eastAsia" w:ascii="仿宋_GB2312" w:hAnsi="仿宋_GB2312" w:eastAsia="仿宋_GB2312" w:cs="仿宋_GB2312"/>
          <w:color w:val="000000"/>
          <w:sz w:val="32"/>
          <w:szCs w:val="32"/>
          <w:lang w:eastAsia="zh-CN"/>
        </w:rPr>
        <w:t>、范围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创新社会化服务公共财政补贴机制</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（三）强化宣传推广。</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广东</w:t>
      </w:r>
      <w:r>
        <w:rPr>
          <w:rFonts w:hint="eastAsia" w:ascii="仿宋_GB2312" w:hAnsi="仿宋_GB2312" w:eastAsia="仿宋_GB2312" w:cs="仿宋_GB2312"/>
          <w:color w:val="000000"/>
          <w:sz w:val="32"/>
          <w:szCs w:val="32"/>
        </w:rPr>
        <w:t>数字</w:t>
      </w:r>
      <w:r>
        <w:rPr>
          <w:rFonts w:hint="eastAsia" w:ascii="仿宋_GB2312" w:hAnsi="仿宋_GB2312" w:eastAsia="仿宋_GB2312" w:cs="仿宋_GB2312"/>
          <w:color w:val="000000"/>
          <w:sz w:val="32"/>
          <w:szCs w:val="32"/>
          <w:lang w:eastAsia="zh-CN"/>
        </w:rPr>
        <w:t>农业</w:t>
      </w:r>
      <w:r>
        <w:rPr>
          <w:rFonts w:hint="eastAsia" w:ascii="仿宋_GB2312" w:hAnsi="仿宋_GB2312" w:eastAsia="仿宋_GB2312" w:cs="仿宋_GB2312"/>
          <w:color w:val="000000"/>
          <w:sz w:val="32"/>
          <w:szCs w:val="32"/>
        </w:rPr>
        <w:t>建设，完善</w:t>
      </w:r>
      <w:r>
        <w:rPr>
          <w:rFonts w:hint="eastAsia" w:ascii="仿宋_GB2312" w:hAnsi="仿宋_GB2312" w:eastAsia="仿宋_GB2312" w:cs="仿宋_GB2312"/>
          <w:color w:val="000000"/>
          <w:sz w:val="32"/>
          <w:szCs w:val="32"/>
          <w:lang w:eastAsia="zh-CN"/>
        </w:rPr>
        <w:t>农技推</w:t>
      </w:r>
      <w:r>
        <w:rPr>
          <w:rFonts w:hint="eastAsia" w:ascii="仿宋_GB2312" w:hAnsi="仿宋_GB2312" w:eastAsia="仿宋_GB2312" w:cs="仿宋_GB2312"/>
          <w:color w:val="000000"/>
          <w:sz w:val="32"/>
          <w:szCs w:val="32"/>
          <w:lang w:val="en-US" w:eastAsia="zh-CN"/>
        </w:rPr>
        <w:t>广服务平台功能建设，为“轻骑兵”乡村行开展精准服务、远程服务、动态服务提供信息化支撑。选树标杆，从典型中总结经验，上升到理论高度，形成可复制可推广模式。</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（四）强化激励奖励。</w:t>
      </w:r>
      <w:r>
        <w:rPr>
          <w:rFonts w:hint="eastAsia" w:ascii="仿宋_GB2312" w:hAnsi="仿宋_GB2312" w:eastAsia="仿宋_GB2312" w:cs="仿宋_GB2312"/>
          <w:color w:val="000000"/>
          <w:sz w:val="32"/>
          <w:szCs w:val="32"/>
          <w:lang w:val="en-US" w:eastAsia="zh-CN"/>
        </w:rPr>
        <w:t>根据“轻骑兵”服务台账，制定量化表彰规则，表彰优秀“轻骑兵”，广泛宣传，并在省农业技术推广奖、星级推广机构、十佳最美农技员、推广标兵、最美乡土专家等评选上，给予政策倾斜；特别是最美乡土专家优先聘为特聘农技员；通过系列举措，营造“重基层、重推广”的社会氛围。</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九、其他要求</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（一）运营架构组建。</w:t>
      </w:r>
      <w:r>
        <w:rPr>
          <w:rFonts w:hint="eastAsia" w:ascii="仿宋_GB2312" w:hAnsi="仿宋_GB2312" w:eastAsia="仿宋_GB2312" w:cs="仿宋_GB2312"/>
          <w:b w:val="0"/>
          <w:bCs w:val="0"/>
          <w:color w:val="000000"/>
          <w:sz w:val="32"/>
          <w:szCs w:val="32"/>
          <w:lang w:val="en-US" w:eastAsia="zh-CN"/>
        </w:rPr>
        <w:t>请</w:t>
      </w:r>
      <w:r>
        <w:rPr>
          <w:rFonts w:hint="eastAsia" w:ascii="仿宋_GB2312" w:hAnsi="仿宋_GB2312" w:eastAsia="仿宋_GB2312" w:cs="仿宋_GB2312"/>
          <w:color w:val="000000"/>
          <w:sz w:val="32"/>
          <w:szCs w:val="32"/>
        </w:rPr>
        <w:t>各地级</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市农业农村</w:t>
      </w:r>
      <w:r>
        <w:rPr>
          <w:rFonts w:hint="eastAsia" w:ascii="仿宋_GB2312" w:hAnsi="仿宋_GB2312" w:eastAsia="仿宋_GB2312" w:cs="仿宋_GB2312"/>
          <w:color w:val="000000"/>
          <w:sz w:val="32"/>
          <w:szCs w:val="32"/>
          <w:lang w:eastAsia="zh-CN"/>
        </w:rPr>
        <w:t>部门尽快确定各地市</w:t>
      </w:r>
      <w:r>
        <w:rPr>
          <w:rFonts w:hint="eastAsia" w:ascii="仿宋_GB2312" w:hAnsi="仿宋_GB2312" w:eastAsia="仿宋_GB2312" w:cs="仿宋_GB2312"/>
          <w:color w:val="000000"/>
          <w:sz w:val="32"/>
          <w:szCs w:val="32"/>
        </w:rPr>
        <w:t>农技</w:t>
      </w:r>
      <w:r>
        <w:rPr>
          <w:rFonts w:hint="eastAsia" w:ascii="仿宋_GB2312" w:hAnsi="仿宋_GB2312" w:eastAsia="仿宋_GB2312" w:cs="仿宋_GB2312"/>
          <w:color w:val="000000"/>
          <w:sz w:val="32"/>
          <w:szCs w:val="32"/>
          <w:lang w:eastAsia="zh-CN"/>
        </w:rPr>
        <w:t>服务“轻骑兵”</w:t>
      </w:r>
      <w:r>
        <w:rPr>
          <w:rFonts w:hint="eastAsia" w:ascii="仿宋_GB2312" w:hAnsi="仿宋_GB2312" w:eastAsia="仿宋_GB2312" w:cs="仿宋_GB2312"/>
          <w:color w:val="000000"/>
          <w:sz w:val="32"/>
          <w:szCs w:val="32"/>
        </w:rPr>
        <w:t>乡村行</w:t>
      </w:r>
      <w:r>
        <w:rPr>
          <w:rFonts w:hint="eastAsia" w:ascii="仿宋_GB2312" w:hAnsi="仿宋_GB2312" w:eastAsia="仿宋_GB2312" w:cs="仿宋_GB2312"/>
          <w:color w:val="000000"/>
          <w:sz w:val="32"/>
          <w:szCs w:val="32"/>
          <w:lang w:eastAsia="zh-CN"/>
        </w:rPr>
        <w:t>联络机构与联络人以及所辖区内县（区、市）</w:t>
      </w:r>
      <w:r>
        <w:rPr>
          <w:rFonts w:hint="eastAsia" w:ascii="仿宋_GB2312" w:hAnsi="仿宋_GB2312" w:eastAsia="仿宋_GB2312" w:cs="仿宋_GB2312"/>
          <w:color w:val="000000"/>
          <w:sz w:val="32"/>
          <w:szCs w:val="32"/>
        </w:rPr>
        <w:t>农技</w:t>
      </w:r>
      <w:r>
        <w:rPr>
          <w:rFonts w:hint="eastAsia" w:ascii="仿宋_GB2312" w:hAnsi="仿宋_GB2312" w:eastAsia="仿宋_GB2312" w:cs="仿宋_GB2312"/>
          <w:color w:val="000000"/>
          <w:sz w:val="32"/>
          <w:szCs w:val="32"/>
          <w:lang w:eastAsia="zh-CN"/>
        </w:rPr>
        <w:t>服务“轻骑兵”</w:t>
      </w:r>
      <w:r>
        <w:rPr>
          <w:rFonts w:hint="eastAsia" w:ascii="仿宋_GB2312" w:hAnsi="仿宋_GB2312" w:eastAsia="仿宋_GB2312" w:cs="仿宋_GB2312"/>
          <w:color w:val="000000"/>
          <w:sz w:val="32"/>
          <w:szCs w:val="32"/>
        </w:rPr>
        <w:t>乡村行</w:t>
      </w:r>
      <w:r>
        <w:rPr>
          <w:rFonts w:hint="eastAsia" w:ascii="仿宋_GB2312" w:hAnsi="仿宋_GB2312" w:eastAsia="仿宋_GB2312" w:cs="仿宋_GB2312"/>
          <w:color w:val="000000"/>
          <w:sz w:val="32"/>
          <w:szCs w:val="32"/>
          <w:lang w:eastAsia="zh-CN"/>
        </w:rPr>
        <w:t>联络机构与联络人（附表</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）汇总上报，并组织动员基层农技人员和乡土专家积极申报加入农技服务“轻骑兵”队伍。</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（二）技术需求上报。</w:t>
      </w:r>
      <w:r>
        <w:rPr>
          <w:rFonts w:hint="eastAsia" w:ascii="仿宋_GB2312" w:hAnsi="仿宋_GB2312" w:eastAsia="仿宋_GB2312" w:cs="仿宋_GB2312"/>
          <w:b w:val="0"/>
          <w:bCs w:val="0"/>
          <w:color w:val="000000"/>
          <w:sz w:val="32"/>
          <w:szCs w:val="32"/>
          <w:lang w:val="en-US" w:eastAsia="zh-CN"/>
        </w:rPr>
        <w:t>请</w:t>
      </w:r>
      <w:r>
        <w:rPr>
          <w:rFonts w:hint="eastAsia" w:ascii="仿宋_GB2312" w:hAnsi="仿宋_GB2312" w:eastAsia="仿宋_GB2312" w:cs="仿宋_GB2312"/>
          <w:color w:val="000000"/>
          <w:sz w:val="32"/>
          <w:szCs w:val="32"/>
        </w:rPr>
        <w:t>各地级</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市农业农村</w:t>
      </w:r>
      <w:r>
        <w:rPr>
          <w:rFonts w:hint="eastAsia" w:ascii="仿宋_GB2312" w:hAnsi="仿宋_GB2312" w:eastAsia="仿宋_GB2312" w:cs="仿宋_GB2312"/>
          <w:color w:val="000000"/>
          <w:sz w:val="32"/>
          <w:szCs w:val="32"/>
          <w:lang w:eastAsia="zh-CN"/>
        </w:rPr>
        <w:t>部门组织收集汇总各驻镇帮镇扶村工作队所在镇产业发展规划与技术需求（附表</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9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（三）科研专家申报。</w:t>
      </w:r>
      <w:r>
        <w:rPr>
          <w:rFonts w:hint="eastAsia" w:ascii="仿宋_GB2312" w:hAnsi="仿宋_GB2312" w:eastAsia="仿宋_GB2312" w:cs="仿宋_GB2312"/>
          <w:b w:val="0"/>
          <w:bCs w:val="0"/>
          <w:color w:val="000000"/>
          <w:sz w:val="32"/>
          <w:szCs w:val="32"/>
          <w:lang w:val="en-US" w:eastAsia="zh-CN"/>
        </w:rPr>
        <w:t>请</w:t>
      </w:r>
      <w:r>
        <w:rPr>
          <w:rFonts w:hint="eastAsia" w:ascii="仿宋_GB2312" w:hAnsi="仿宋_GB2312" w:eastAsia="仿宋_GB2312" w:cs="仿宋_GB2312"/>
          <w:color w:val="000000"/>
          <w:sz w:val="32"/>
          <w:szCs w:val="32"/>
          <w:lang w:val="en-US" w:eastAsia="zh-CN"/>
        </w:rPr>
        <w:t>各涉农科研院校组织动员所在单位专家参加广东农技服务“轻骑兵”，并填报汇总表（附表5）。</w:t>
      </w:r>
    </w:p>
    <w:p>
      <w:pPr>
        <w:pStyle w:val="4"/>
        <w:keepNext w:val="0"/>
        <w:keepLines w:val="0"/>
        <w:pageBreakBefore w:val="0"/>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bCs/>
          <w:color w:val="auto"/>
          <w:sz w:val="32"/>
          <w:szCs w:val="32"/>
          <w:highlight w:val="none"/>
          <w:u w:val="none" w:color="auto"/>
          <w:lang w:val="en-US" w:eastAsia="zh-CN"/>
        </w:rPr>
      </w:pPr>
      <w:r>
        <w:rPr>
          <w:rFonts w:hint="eastAsia" w:ascii="仿宋_GB2312" w:hAnsi="仿宋_GB2312" w:cs="仿宋_GB2312"/>
          <w:b/>
          <w:bCs/>
          <w:color w:val="000000"/>
          <w:sz w:val="32"/>
          <w:szCs w:val="32"/>
          <w:lang w:val="en-US" w:eastAsia="zh-CN"/>
        </w:rPr>
        <w:t xml:space="preserve">  </w:t>
      </w:r>
      <w:r>
        <w:rPr>
          <w:rFonts w:hint="eastAsia" w:ascii="仿宋_GB2312" w:hAnsi="仿宋_GB2312" w:cs="仿宋_GB2312"/>
          <w:b/>
          <w:bCs/>
          <w:color w:val="auto"/>
          <w:sz w:val="32"/>
          <w:szCs w:val="32"/>
          <w:highlight w:val="none"/>
          <w:lang w:val="en-US" w:eastAsia="zh-CN"/>
        </w:rPr>
        <w:t xml:space="preserve"> </w:t>
      </w:r>
      <w:r>
        <w:rPr>
          <w:rFonts w:hint="eastAsia" w:ascii="仿宋_GB2312" w:hAnsi="仿宋_GB2312" w:cs="仿宋_GB2312"/>
          <w:b/>
          <w:bCs/>
          <w:color w:val="auto"/>
          <w:sz w:val="32"/>
          <w:szCs w:val="32"/>
          <w:highlight w:val="none"/>
          <w:u w:val="none" w:color="auto"/>
          <w:lang w:val="en-US" w:eastAsia="zh-CN"/>
        </w:rPr>
        <w:t xml:space="preserve"> </w:t>
      </w:r>
      <w:r>
        <w:rPr>
          <w:rFonts w:hint="eastAsia" w:ascii="仿宋_GB2312" w:hAnsi="仿宋_GB2312" w:cs="仿宋_GB2312"/>
          <w:b/>
          <w:bCs/>
          <w:color w:val="auto"/>
          <w:sz w:val="32"/>
          <w:szCs w:val="32"/>
          <w:highlight w:val="none"/>
          <w:u w:val="none" w:color="auto"/>
          <w:lang w:val="en-US" w:eastAsia="zh-CN"/>
        </w:rPr>
        <w:fldChar w:fldCharType="begin"/>
      </w:r>
      <w:r>
        <w:rPr>
          <w:rFonts w:hint="eastAsia" w:ascii="仿宋_GB2312" w:hAnsi="仿宋_GB2312" w:cs="仿宋_GB2312"/>
          <w:b/>
          <w:bCs/>
          <w:color w:val="auto"/>
          <w:sz w:val="32"/>
          <w:szCs w:val="32"/>
          <w:highlight w:val="none"/>
          <w:u w:val="none" w:color="auto"/>
          <w:lang w:val="en-US" w:eastAsia="zh-CN"/>
        </w:rPr>
        <w:instrText xml:space="preserve"> HYPERLINK "mailto:4.信息收集邮箱。请汇总发至nynct-tgzx@gd.gov.cn。" </w:instrText>
      </w:r>
      <w:r>
        <w:rPr>
          <w:rFonts w:hint="eastAsia" w:ascii="仿宋_GB2312" w:hAnsi="仿宋_GB2312" w:cs="仿宋_GB2312"/>
          <w:b/>
          <w:bCs/>
          <w:color w:val="auto"/>
          <w:sz w:val="32"/>
          <w:szCs w:val="32"/>
          <w:highlight w:val="none"/>
          <w:u w:val="none" w:color="auto"/>
          <w:lang w:val="en-US" w:eastAsia="zh-CN"/>
        </w:rPr>
        <w:fldChar w:fldCharType="separate"/>
      </w:r>
      <w:r>
        <w:rPr>
          <w:rFonts w:hint="eastAsia" w:ascii="楷体_GB2312" w:hAnsi="楷体_GB2312" w:eastAsia="楷体_GB2312" w:cs="楷体_GB2312"/>
          <w:b w:val="0"/>
          <w:bCs w:val="0"/>
          <w:color w:val="000000"/>
          <w:kern w:val="2"/>
          <w:sz w:val="32"/>
          <w:szCs w:val="32"/>
          <w:lang w:val="en-US" w:eastAsia="zh-CN"/>
        </w:rPr>
        <w:t>（四）信息收集邮箱。</w:t>
      </w:r>
      <w:r>
        <w:rPr>
          <w:rStyle w:val="7"/>
          <w:rFonts w:hint="eastAsia" w:ascii="仿宋_GB2312" w:hAnsi="仿宋_GB2312" w:eastAsia="仿宋_GB2312" w:cs="仿宋_GB2312"/>
          <w:color w:val="auto"/>
          <w:sz w:val="32"/>
          <w:szCs w:val="32"/>
          <w:highlight w:val="none"/>
          <w:u w:val="none" w:color="auto"/>
          <w:lang w:val="en-US" w:eastAsia="zh-CN"/>
        </w:rPr>
        <w:t>请汇总发至</w:t>
      </w:r>
      <w:r>
        <w:rPr>
          <w:rStyle w:val="7"/>
          <w:rFonts w:hint="default" w:ascii="仿宋_GB2312" w:hAnsi="仿宋_GB2312" w:eastAsia="仿宋_GB2312" w:cs="仿宋_GB2312"/>
          <w:color w:val="auto"/>
          <w:sz w:val="32"/>
          <w:szCs w:val="32"/>
          <w:highlight w:val="none"/>
          <w:u w:val="none" w:color="auto"/>
          <w:lang w:val="en-US" w:eastAsia="zh-CN"/>
        </w:rPr>
        <w:t>nynct-tgzx</w:t>
      </w:r>
      <w:r>
        <w:rPr>
          <w:rStyle w:val="7"/>
          <w:rFonts w:hint="eastAsia" w:ascii="方正小标宋简体" w:hAnsi="方正小标宋简体" w:eastAsia="方正小标宋简体" w:cs="方正小标宋简体"/>
          <w:color w:val="auto"/>
          <w:sz w:val="32"/>
          <w:szCs w:val="32"/>
          <w:highlight w:val="none"/>
          <w:u w:val="none" w:color="auto"/>
          <w:lang w:val="en-US" w:eastAsia="zh-CN"/>
        </w:rPr>
        <w:t>@</w:t>
      </w:r>
      <w:r>
        <w:rPr>
          <w:rStyle w:val="7"/>
          <w:rFonts w:hint="default" w:ascii="仿宋_GB2312" w:hAnsi="仿宋_GB2312" w:eastAsia="仿宋_GB2312" w:cs="仿宋_GB2312"/>
          <w:color w:val="auto"/>
          <w:sz w:val="32"/>
          <w:szCs w:val="32"/>
          <w:highlight w:val="none"/>
          <w:u w:val="none" w:color="auto"/>
          <w:lang w:val="en-US" w:eastAsia="zh-CN"/>
        </w:rPr>
        <w:t>gd.gov.cn</w:t>
      </w:r>
      <w:r>
        <w:rPr>
          <w:rStyle w:val="7"/>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cs="仿宋_GB2312"/>
          <w:b/>
          <w:bCs/>
          <w:color w:val="auto"/>
          <w:sz w:val="32"/>
          <w:szCs w:val="32"/>
          <w:highlight w:val="none"/>
          <w:u w:val="none" w:color="auto"/>
          <w:lang w:val="en-US" w:eastAsia="zh-CN"/>
        </w:rPr>
        <w:fldChar w:fldCharType="end"/>
      </w:r>
      <w:r>
        <w:rPr>
          <w:rFonts w:hint="eastAsia" w:ascii="仿宋_GB2312" w:hAnsi="仿宋_GB2312" w:cs="仿宋_GB2312"/>
          <w:b/>
          <w:bCs/>
          <w:color w:val="auto"/>
          <w:sz w:val="32"/>
          <w:szCs w:val="32"/>
          <w:highlight w:val="none"/>
          <w:u w:val="none" w:color="auto"/>
          <w:lang w:val="en-US" w:eastAsia="zh-CN"/>
        </w:rPr>
        <w:t xml:space="preserve"> </w:t>
      </w:r>
    </w:p>
    <w:p>
      <w:pPr>
        <w:pStyle w:val="4"/>
        <w:keepNext w:val="0"/>
        <w:keepLines w:val="0"/>
        <w:pageBreakBefore w:val="0"/>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bCs/>
          <w:color w:val="auto"/>
          <w:sz w:val="32"/>
          <w:szCs w:val="32"/>
          <w:highlight w:val="none"/>
          <w:u w:val="none" w:color="auto"/>
          <w:lang w:val="en-US" w:eastAsia="zh-CN"/>
        </w:rPr>
      </w:pPr>
    </w:p>
    <w:p>
      <w:pPr>
        <w:pStyle w:val="4"/>
        <w:keepNext w:val="0"/>
        <w:keepLines w:val="0"/>
        <w:pageBreakBefore w:val="0"/>
        <w:kinsoku/>
        <w:wordWrap/>
        <w:overflowPunct/>
        <w:topLinePunct w:val="0"/>
        <w:autoSpaceDE/>
        <w:autoSpaceDN/>
        <w:bidi w:val="0"/>
        <w:adjustRightInd w:val="0"/>
        <w:snapToGrid w:val="0"/>
        <w:spacing w:after="0" w:line="590" w:lineRule="exact"/>
        <w:textAlignment w:val="auto"/>
        <w:outlineLvl w:val="9"/>
        <w:rPr>
          <w:rFonts w:hint="eastAsia" w:ascii="仿宋_GB2312" w:hAnsi="仿宋_GB2312" w:cs="仿宋_GB2312"/>
          <w:b/>
          <w:bCs/>
          <w:color w:val="auto"/>
          <w:sz w:val="32"/>
          <w:szCs w:val="32"/>
          <w:highlight w:val="none"/>
          <w:u w:val="none" w:color="auto"/>
          <w:lang w:val="en-US" w:eastAsia="zh-CN"/>
        </w:rPr>
      </w:pPr>
    </w:p>
    <w:p>
      <w:pPr>
        <w:pStyle w:val="4"/>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cs="仿宋_GB2312"/>
          <w:b/>
          <w:bCs/>
          <w:color w:val="auto"/>
          <w:sz w:val="32"/>
          <w:szCs w:val="32"/>
          <w:highlight w:val="none"/>
          <w:u w:val="none" w:color="auto"/>
          <w:lang w:val="en-US" w:eastAsia="zh-CN"/>
        </w:rPr>
      </w:pPr>
    </w:p>
    <w:p>
      <w:pPr>
        <w:pStyle w:val="4"/>
        <w:adjustRightInd w:val="0"/>
        <w:snapToGrid w:val="0"/>
        <w:spacing w:after="0" w:line="560" w:lineRule="exact"/>
        <w:rPr>
          <w:rFonts w:hint="eastAsia" w:ascii="黑体" w:hAnsi="黑体" w:eastAsia="黑体" w:cs="黑体"/>
          <w:b/>
          <w:bCs/>
          <w:color w:val="000000"/>
          <w:sz w:val="32"/>
          <w:szCs w:val="32"/>
          <w:lang w:val="en-US" w:eastAsia="zh-CN"/>
        </w:rPr>
      </w:pPr>
      <w:r>
        <w:rPr>
          <w:rFonts w:hint="eastAsia" w:ascii="仿宋_GB2312" w:hAnsi="仿宋_GB2312" w:cs="仿宋_GB2312"/>
          <w:color w:val="auto"/>
          <w:sz w:val="32"/>
          <w:szCs w:val="32"/>
          <w:lang w:val="en-US" w:eastAsia="zh-CN"/>
        </w:rPr>
        <w:br w:type="page"/>
      </w:r>
      <w:r>
        <w:rPr>
          <w:rFonts w:hint="eastAsia" w:ascii="黑体" w:hAnsi="黑体" w:eastAsia="黑体" w:cs="黑体"/>
          <w:color w:val="auto"/>
          <w:sz w:val="32"/>
          <w:szCs w:val="32"/>
          <w:lang w:val="en-US" w:eastAsia="zh-CN"/>
        </w:rPr>
        <w:t>附表1</w:t>
      </w:r>
    </w:p>
    <w:p>
      <w:pPr>
        <w:pStyle w:val="4"/>
        <w:adjustRightInd w:val="0"/>
        <w:snapToGrid w:val="0"/>
        <w:spacing w:after="0"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p>
    <w:p>
      <w:pPr>
        <w:pStyle w:val="4"/>
        <w:adjustRightInd w:val="0"/>
        <w:snapToGrid w:val="0"/>
        <w:spacing w:after="0"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全省农技服务“轻骑兵”召集人联系表</w:t>
      </w:r>
    </w:p>
    <w:p>
      <w:pPr>
        <w:pStyle w:val="4"/>
        <w:adjustRightInd w:val="0"/>
        <w:snapToGrid w:val="0"/>
        <w:spacing w:after="0"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62"/>
        <w:gridCol w:w="1838"/>
        <w:gridCol w:w="706"/>
        <w:gridCol w:w="206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黑体" w:hAnsi="黑体" w:eastAsia="黑体" w:cs="黑体"/>
                <w:b w:val="0"/>
                <w:bCs w:val="0"/>
                <w:vertAlign w:val="baseline"/>
                <w:lang w:val="en-US" w:eastAsia="zh-CN"/>
              </w:rPr>
            </w:pPr>
            <w:r>
              <w:rPr>
                <w:rFonts w:hint="eastAsia" w:ascii="黑体" w:hAnsi="黑体" w:eastAsia="黑体" w:cs="黑体"/>
                <w:b w:val="0"/>
                <w:bCs w:val="0"/>
                <w:i w:val="0"/>
                <w:color w:val="000000"/>
                <w:kern w:val="0"/>
                <w:sz w:val="24"/>
                <w:szCs w:val="24"/>
                <w:u w:val="none"/>
                <w:lang w:val="en-US" w:eastAsia="zh-CN" w:bidi="ar"/>
              </w:rPr>
              <w:t>序号</w:t>
            </w:r>
          </w:p>
        </w:tc>
        <w:tc>
          <w:tcPr>
            <w:tcW w:w="2062" w:type="dxa"/>
            <w:vAlign w:val="center"/>
          </w:tcPr>
          <w:p>
            <w:pPr>
              <w:keepNext w:val="0"/>
              <w:keepLines w:val="0"/>
              <w:widowControl/>
              <w:suppressLineNumbers w:val="0"/>
              <w:spacing w:line="32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轻骑兵队伍</w:t>
            </w:r>
          </w:p>
          <w:p>
            <w:pPr>
              <w:keepNext w:val="0"/>
              <w:keepLines w:val="0"/>
              <w:widowControl/>
              <w:suppressLineNumbers w:val="0"/>
              <w:spacing w:line="320" w:lineRule="exact"/>
              <w:jc w:val="center"/>
              <w:textAlignment w:val="center"/>
              <w:rPr>
                <w:rFonts w:hint="eastAsia" w:ascii="黑体" w:hAnsi="黑体" w:eastAsia="黑体" w:cs="黑体"/>
                <w:b w:val="0"/>
                <w:bCs w:val="0"/>
                <w:vertAlign w:val="baseline"/>
                <w:lang w:val="en-US" w:eastAsia="zh-CN"/>
              </w:rPr>
            </w:pPr>
            <w:r>
              <w:rPr>
                <w:rFonts w:hint="eastAsia" w:ascii="黑体" w:hAnsi="黑体" w:eastAsia="黑体" w:cs="黑体"/>
                <w:b w:val="0"/>
                <w:bCs w:val="0"/>
                <w:i w:val="0"/>
                <w:color w:val="000000"/>
                <w:kern w:val="0"/>
                <w:sz w:val="24"/>
                <w:szCs w:val="24"/>
                <w:u w:val="none"/>
                <w:lang w:val="en-US" w:eastAsia="zh-CN" w:bidi="ar"/>
              </w:rPr>
              <w:t>类别</w:t>
            </w:r>
          </w:p>
        </w:tc>
        <w:tc>
          <w:tcPr>
            <w:tcW w:w="1838" w:type="dxa"/>
            <w:vAlign w:val="center"/>
          </w:tcPr>
          <w:p>
            <w:pPr>
              <w:keepNext w:val="0"/>
              <w:keepLines w:val="0"/>
              <w:widowControl/>
              <w:suppressLineNumbers w:val="0"/>
              <w:spacing w:line="32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省农技中心</w:t>
            </w:r>
          </w:p>
          <w:p>
            <w:pPr>
              <w:keepNext w:val="0"/>
              <w:keepLines w:val="0"/>
              <w:widowControl/>
              <w:suppressLineNumbers w:val="0"/>
              <w:spacing w:line="320" w:lineRule="exact"/>
              <w:jc w:val="center"/>
              <w:textAlignment w:val="center"/>
              <w:rPr>
                <w:rFonts w:hint="eastAsia" w:ascii="黑体" w:hAnsi="黑体" w:eastAsia="黑体" w:cs="黑体"/>
                <w:b w:val="0"/>
                <w:bCs w:val="0"/>
                <w:vertAlign w:val="baseline"/>
                <w:lang w:val="en-US" w:eastAsia="zh-CN"/>
              </w:rPr>
            </w:pPr>
            <w:r>
              <w:rPr>
                <w:rFonts w:hint="eastAsia" w:ascii="黑体" w:hAnsi="黑体" w:eastAsia="黑体" w:cs="黑体"/>
                <w:b w:val="0"/>
                <w:bCs w:val="0"/>
                <w:i w:val="0"/>
                <w:color w:val="000000"/>
                <w:kern w:val="0"/>
                <w:sz w:val="24"/>
                <w:szCs w:val="24"/>
                <w:u w:val="none"/>
                <w:lang w:val="en-US" w:eastAsia="zh-CN" w:bidi="ar"/>
              </w:rPr>
              <w:t>召集人及电话</w:t>
            </w:r>
          </w:p>
        </w:tc>
        <w:tc>
          <w:tcPr>
            <w:tcW w:w="706" w:type="dxa"/>
            <w:vAlign w:val="center"/>
          </w:tcPr>
          <w:p>
            <w:pPr>
              <w:keepNext w:val="0"/>
              <w:keepLines w:val="0"/>
              <w:widowControl/>
              <w:suppressLineNumbers w:val="0"/>
              <w:spacing w:line="320" w:lineRule="exact"/>
              <w:jc w:val="center"/>
              <w:textAlignment w:val="center"/>
              <w:rPr>
                <w:rFonts w:hint="eastAsia" w:ascii="黑体" w:hAnsi="黑体" w:eastAsia="黑体" w:cs="黑体"/>
                <w:b w:val="0"/>
                <w:bCs w:val="0"/>
                <w:vertAlign w:val="baseline"/>
                <w:lang w:val="en-US" w:eastAsia="zh-CN"/>
              </w:rPr>
            </w:pPr>
            <w:r>
              <w:rPr>
                <w:rFonts w:hint="eastAsia" w:ascii="黑体" w:hAnsi="黑体" w:eastAsia="黑体" w:cs="黑体"/>
                <w:b w:val="0"/>
                <w:bCs w:val="0"/>
                <w:i w:val="0"/>
                <w:color w:val="000000"/>
                <w:kern w:val="0"/>
                <w:sz w:val="24"/>
                <w:szCs w:val="24"/>
                <w:u w:val="none"/>
                <w:lang w:val="en-US" w:eastAsia="zh-CN" w:bidi="ar"/>
              </w:rPr>
              <w:t>序号</w:t>
            </w:r>
          </w:p>
        </w:tc>
        <w:tc>
          <w:tcPr>
            <w:tcW w:w="2061" w:type="dxa"/>
            <w:vAlign w:val="center"/>
          </w:tcPr>
          <w:p>
            <w:pPr>
              <w:keepNext w:val="0"/>
              <w:keepLines w:val="0"/>
              <w:widowControl/>
              <w:suppressLineNumbers w:val="0"/>
              <w:spacing w:line="32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轻骑兵队伍</w:t>
            </w:r>
          </w:p>
          <w:p>
            <w:pPr>
              <w:keepNext w:val="0"/>
              <w:keepLines w:val="0"/>
              <w:widowControl/>
              <w:suppressLineNumbers w:val="0"/>
              <w:spacing w:line="320" w:lineRule="exact"/>
              <w:jc w:val="center"/>
              <w:textAlignment w:val="center"/>
              <w:rPr>
                <w:rFonts w:hint="eastAsia" w:ascii="黑体" w:hAnsi="黑体" w:eastAsia="黑体" w:cs="黑体"/>
                <w:b w:val="0"/>
                <w:bCs w:val="0"/>
                <w:vertAlign w:val="baseline"/>
                <w:lang w:val="en-US" w:eastAsia="zh-CN"/>
              </w:rPr>
            </w:pPr>
            <w:r>
              <w:rPr>
                <w:rFonts w:hint="eastAsia" w:ascii="黑体" w:hAnsi="黑体" w:eastAsia="黑体" w:cs="黑体"/>
                <w:b w:val="0"/>
                <w:bCs w:val="0"/>
                <w:i w:val="0"/>
                <w:color w:val="000000"/>
                <w:kern w:val="0"/>
                <w:sz w:val="24"/>
                <w:szCs w:val="24"/>
                <w:u w:val="none"/>
                <w:lang w:val="en-US" w:eastAsia="zh-CN" w:bidi="ar"/>
              </w:rPr>
              <w:t>类别</w:t>
            </w:r>
          </w:p>
        </w:tc>
        <w:tc>
          <w:tcPr>
            <w:tcW w:w="1881" w:type="dxa"/>
            <w:vAlign w:val="center"/>
          </w:tcPr>
          <w:p>
            <w:pPr>
              <w:keepNext w:val="0"/>
              <w:keepLines w:val="0"/>
              <w:widowControl/>
              <w:suppressLineNumbers w:val="0"/>
              <w:spacing w:line="32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省农技中心</w:t>
            </w:r>
          </w:p>
          <w:p>
            <w:pPr>
              <w:keepNext w:val="0"/>
              <w:keepLines w:val="0"/>
              <w:widowControl/>
              <w:suppressLineNumbers w:val="0"/>
              <w:spacing w:line="320" w:lineRule="exact"/>
              <w:jc w:val="center"/>
              <w:textAlignment w:val="center"/>
              <w:rPr>
                <w:rFonts w:hint="eastAsia" w:ascii="黑体" w:hAnsi="黑体" w:eastAsia="黑体" w:cs="黑体"/>
                <w:b w:val="0"/>
                <w:bCs w:val="0"/>
                <w:vertAlign w:val="baseline"/>
                <w:lang w:val="en-US" w:eastAsia="zh-CN"/>
              </w:rPr>
            </w:pPr>
            <w:r>
              <w:rPr>
                <w:rFonts w:hint="eastAsia" w:ascii="黑体" w:hAnsi="黑体" w:eastAsia="黑体" w:cs="黑体"/>
                <w:b w:val="0"/>
                <w:bCs w:val="0"/>
                <w:i w:val="0"/>
                <w:color w:val="000000"/>
                <w:kern w:val="0"/>
                <w:sz w:val="24"/>
                <w:szCs w:val="24"/>
                <w:u w:val="none"/>
                <w:lang w:val="en-US" w:eastAsia="zh-CN" w:bidi="ar"/>
              </w:rPr>
              <w:t>召集人及电话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水稻产业技术 </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周继勇</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13580484167</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叶菜食用菌产业技术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黄真珍18520595989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2</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玉米产业技术 </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熊  婷13533906653</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14</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生猪产业技术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樊福好</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13600058754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3</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花生大豆技术 </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刘士亚13380019002</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15</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家禽产业技术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林  敏</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13660589329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4</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薯类产业技术 </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马  群18664708628</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16</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牛羊产业技术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刘建营</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13760845058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5</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果菜产业技术 </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李  强 13427549444</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17</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虾蟹产业技术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钟小庆13922714715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6</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荔枝龙眼技术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黄志平13719001322</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18</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贝类产业技术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王  莹 </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18127810505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7</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柑橘芒果优稀水果技术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曾艾兰18665604388</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19</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鱼类产业技术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陈智兵13922717535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8</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香蕉菠萝技术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任小平13416474645</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20</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加工保鲜物流</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陈连飞</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18028695519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9</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南药产业技术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陈敬安15622151509</w:t>
            </w:r>
          </w:p>
        </w:tc>
        <w:tc>
          <w:tcPr>
            <w:tcW w:w="706"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21</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 xml:space="preserve">农业机械化技术 </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聂虎子</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13560111705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10</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花卉产业技术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李小玲13422052705</w:t>
            </w:r>
          </w:p>
        </w:tc>
        <w:tc>
          <w:tcPr>
            <w:tcW w:w="706"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22</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数字农业技术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蒋姣丽</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13760860164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11</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茶叶产业技术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叶丹杰13380019098</w:t>
            </w:r>
          </w:p>
        </w:tc>
        <w:tc>
          <w:tcPr>
            <w:tcW w:w="706"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23</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设施农业技术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林叙彬</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13760628022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12</w:t>
            </w:r>
          </w:p>
        </w:tc>
        <w:tc>
          <w:tcPr>
            <w:tcW w:w="2062"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土壤修复技术</w:t>
            </w:r>
          </w:p>
        </w:tc>
        <w:tc>
          <w:tcPr>
            <w:tcW w:w="1838"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曾艾兰18665604388</w:t>
            </w:r>
          </w:p>
        </w:tc>
        <w:tc>
          <w:tcPr>
            <w:tcW w:w="706" w:type="dxa"/>
            <w:vAlign w:val="center"/>
          </w:tcPr>
          <w:p>
            <w:pPr>
              <w:keepNext w:val="0"/>
              <w:keepLines w:val="0"/>
              <w:widowControl/>
              <w:suppressLineNumbers w:val="0"/>
              <w:spacing w:line="320" w:lineRule="exact"/>
              <w:jc w:val="center"/>
              <w:textAlignment w:val="center"/>
              <w:rPr>
                <w:rFonts w:hint="default"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24</w:t>
            </w:r>
          </w:p>
        </w:tc>
        <w:tc>
          <w:tcPr>
            <w:tcW w:w="206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甘蔗全程机械化技术</w:t>
            </w:r>
          </w:p>
        </w:tc>
        <w:tc>
          <w:tcPr>
            <w:tcW w:w="1881" w:type="dxa"/>
            <w:vAlign w:val="center"/>
          </w:tcPr>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蒋姣丽</w:t>
            </w:r>
          </w:p>
          <w:p>
            <w:pPr>
              <w:keepNext w:val="0"/>
              <w:keepLines w:val="0"/>
              <w:widowControl/>
              <w:suppressLineNumbers w:val="0"/>
              <w:spacing w:line="320" w:lineRule="exact"/>
              <w:jc w:val="center"/>
              <w:textAlignment w:val="center"/>
              <w:rPr>
                <w:rFonts w:hint="eastAsia" w:ascii="仿宋_GB2312" w:hAnsi="仿宋_GB2312" w:eastAsia="仿宋_GB2312" w:cs="楷体_GB2312"/>
                <w:b w:val="0"/>
                <w:bCs w:val="0"/>
                <w:i w:val="0"/>
                <w:color w:val="000000"/>
                <w:kern w:val="0"/>
                <w:sz w:val="24"/>
                <w:szCs w:val="24"/>
                <w:u w:val="none"/>
                <w:lang w:val="en-US" w:eastAsia="zh-CN" w:bidi="ar"/>
              </w:rPr>
            </w:pPr>
            <w:r>
              <w:rPr>
                <w:rFonts w:hint="eastAsia" w:ascii="仿宋_GB2312" w:hAnsi="仿宋_GB2312" w:eastAsia="仿宋_GB2312" w:cs="楷体_GB2312"/>
                <w:b w:val="0"/>
                <w:bCs w:val="0"/>
                <w:i w:val="0"/>
                <w:color w:val="000000"/>
                <w:kern w:val="0"/>
                <w:sz w:val="24"/>
                <w:szCs w:val="24"/>
                <w:u w:val="none"/>
                <w:lang w:val="en-US" w:eastAsia="zh-CN" w:bidi="ar"/>
              </w:rPr>
              <w:t>13760860164</w:t>
            </w:r>
          </w:p>
        </w:tc>
      </w:tr>
    </w:tbl>
    <w:p>
      <w:pPr>
        <w:pStyle w:val="4"/>
      </w:pPr>
    </w:p>
    <w:p>
      <w:pPr>
        <w:pStyle w:val="4"/>
        <w:rPr>
          <w:rFonts w:hint="eastAsia"/>
          <w:lang w:eastAsia="zh-CN"/>
        </w:rPr>
        <w:sectPr>
          <w:footerReference r:id="rId4" w:type="first"/>
          <w:footerReference r:id="rId3" w:type="default"/>
          <w:pgSz w:w="11906" w:h="16838"/>
          <w:pgMar w:top="1871" w:right="1531" w:bottom="1871" w:left="1531" w:header="851" w:footer="1417" w:gutter="0"/>
          <w:pgNumType w:fmt="decimal"/>
          <w:cols w:space="720" w:num="1"/>
          <w:titlePg/>
          <w:rtlGutter w:val="0"/>
          <w:docGrid w:type="lines" w:linePitch="590" w:charSpace="0"/>
        </w:sectPr>
      </w:pPr>
    </w:p>
    <w:p>
      <w:pPr>
        <w:pStyle w:val="4"/>
        <w:rPr>
          <w:rFonts w:hint="eastAsia" w:ascii="黑体" w:hAnsi="黑体" w:eastAsia="黑体" w:cs="黑体"/>
          <w:lang w:val="en-US" w:eastAsia="zh-CN"/>
        </w:rPr>
      </w:pPr>
      <w:r>
        <w:drawing>
          <wp:anchor distT="0" distB="0" distL="114300" distR="114300" simplePos="0" relativeHeight="251658240" behindDoc="1" locked="0" layoutInCell="1" allowOverlap="1">
            <wp:simplePos x="0" y="0"/>
            <wp:positionH relativeFrom="column">
              <wp:posOffset>-1104900</wp:posOffset>
            </wp:positionH>
            <wp:positionV relativeFrom="paragraph">
              <wp:posOffset>165735</wp:posOffset>
            </wp:positionV>
            <wp:extent cx="10573385" cy="6692900"/>
            <wp:effectExtent l="0" t="0" r="3175"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0573385" cy="6692900"/>
                    </a:xfrm>
                    <a:prstGeom prst="rect">
                      <a:avLst/>
                    </a:prstGeom>
                    <a:noFill/>
                    <a:ln w="9525">
                      <a:noFill/>
                    </a:ln>
                  </pic:spPr>
                </pic:pic>
              </a:graphicData>
            </a:graphic>
          </wp:anchor>
        </w:drawing>
      </w:r>
      <w:r>
        <w:rPr>
          <w:rFonts w:hint="eastAsia" w:ascii="黑体" w:hAnsi="黑体" w:eastAsia="黑体" w:cs="黑体"/>
          <w:lang w:eastAsia="zh-CN"/>
        </w:rPr>
        <w:t>附表</w:t>
      </w:r>
      <w:r>
        <w:rPr>
          <w:rFonts w:hint="eastAsia" w:ascii="黑体" w:hAnsi="黑体" w:eastAsia="黑体" w:cs="黑体"/>
          <w:lang w:val="en-US" w:eastAsia="zh-CN"/>
        </w:rPr>
        <w:t>2</w:t>
      </w:r>
    </w:p>
    <w:p>
      <w:pPr>
        <w:pStyle w:val="4"/>
        <w:rPr>
          <w:rFonts w:hint="eastAsia" w:ascii="仿宋_GB2312" w:hAnsi="仿宋_GB2312" w:cs="仿宋_GB2312"/>
          <w:b/>
          <w:bCs/>
          <w:color w:val="auto"/>
          <w:sz w:val="21"/>
          <w:szCs w:val="32"/>
          <w:highlight w:val="none"/>
          <w:u w:val="none" w:color="auto"/>
          <w:lang w:val="en-US" w:eastAsia="zh-CN"/>
        </w:rPr>
      </w:pPr>
    </w:p>
    <w:p>
      <w:pPr>
        <w:pStyle w:val="4"/>
        <w:rPr>
          <w:rFonts w:hint="eastAsia" w:ascii="仿宋_GB2312" w:hAnsi="仿宋_GB2312" w:eastAsia="仿宋_GB2312" w:cs="仿宋_GB2312"/>
          <w:b w:val="0"/>
          <w:bCs/>
          <w:i w:val="0"/>
          <w:color w:val="000000"/>
          <w:kern w:val="0"/>
          <w:sz w:val="30"/>
          <w:szCs w:val="32"/>
          <w:u w:val="none"/>
          <w:lang w:val="en-US" w:eastAsia="zh-CN" w:bidi="ar"/>
        </w:rPr>
        <w:sectPr>
          <w:pgSz w:w="16838" w:h="11906" w:orient="landscape"/>
          <w:pgMar w:top="571" w:right="1871" w:bottom="1531" w:left="1871" w:header="851" w:footer="1417" w:gutter="0"/>
          <w:pgNumType w:fmt="decimal"/>
          <w:cols w:space="720" w:num="1"/>
          <w:titlePg/>
          <w:rtlGutter w:val="0"/>
          <w:docGrid w:type="lines" w:linePitch="631" w:charSpace="0"/>
        </w:sectPr>
      </w:pPr>
    </w:p>
    <w:p>
      <w:pPr>
        <w:pStyle w:val="4"/>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0"/>
          <w:szCs w:val="32"/>
          <w:u w:val="none"/>
          <w:lang w:val="en-US" w:eastAsia="zh-CN" w:bidi="ar"/>
        </w:rPr>
        <w:t>附表3</w:t>
      </w:r>
      <w:r>
        <w:rPr>
          <w:rFonts w:hint="eastAsia" w:ascii="黑体" w:hAnsi="黑体" w:eastAsia="黑体" w:cs="黑体"/>
          <w:b w:val="0"/>
          <w:bCs/>
          <w:i w:val="0"/>
          <w:color w:val="000000"/>
          <w:kern w:val="0"/>
          <w:sz w:val="32"/>
          <w:szCs w:val="32"/>
          <w:u w:val="none"/>
          <w:lang w:val="en-US" w:eastAsia="zh-CN" w:bidi="ar"/>
        </w:rPr>
        <w:t xml:space="preserve">  </w:t>
      </w:r>
    </w:p>
    <w:p>
      <w:pPr>
        <w:pStyle w:val="4"/>
        <w:jc w:val="center"/>
        <w:rPr>
          <w:rFonts w:hint="eastAsia" w:ascii="方正小标宋简体" w:hAnsi="方正小标宋简体" w:eastAsia="方正小标宋简体" w:cs="方正小标宋简体"/>
          <w:b w:val="0"/>
          <w:bCs/>
          <w:color w:val="auto"/>
          <w:sz w:val="44"/>
          <w:szCs w:val="44"/>
          <w:highlight w:val="none"/>
          <w:u w:val="none" w:color="auto"/>
          <w:lang w:val="en-US" w:eastAsia="zh-CN"/>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广东农技服务乡村行队伍组建情况表</w:t>
      </w:r>
    </w:p>
    <w:tbl>
      <w:tblPr>
        <w:tblStyle w:val="8"/>
        <w:tblW w:w="8643"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1"/>
        <w:gridCol w:w="872"/>
        <w:gridCol w:w="1970"/>
        <w:gridCol w:w="511"/>
        <w:gridCol w:w="1319"/>
        <w:gridCol w:w="51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地市名称</w:t>
            </w: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所辖市级农业技术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推广部门名称</w:t>
            </w: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所辖市级农业技术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推广部门负责人</w:t>
            </w:r>
          </w:p>
        </w:tc>
        <w:tc>
          <w:tcPr>
            <w:tcW w:w="28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rPr>
            </w:pPr>
            <w:r>
              <w:rPr>
                <w:rFonts w:hint="eastAsia" w:ascii="仿宋_GB2312" w:hAnsi="仿宋_GB2312" w:eastAsia="仿宋_GB2312" w:cs="仿宋_GB2312"/>
                <w:i w:val="0"/>
                <w:color w:val="000000"/>
                <w:kern w:val="0"/>
                <w:sz w:val="22"/>
                <w:szCs w:val="22"/>
                <w:u w:val="none"/>
                <w:lang w:val="en-US" w:eastAsia="zh-CN" w:bidi="ar"/>
              </w:rPr>
              <w:t>联系电话（手机）</w:t>
            </w: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jc w:val="center"/>
        </w:trPr>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所辖区县</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（请详细列出）</w:t>
            </w: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所辖区县农技推广部门情况（可另外附表）</w:t>
            </w:r>
          </w:p>
        </w:tc>
        <w:tc>
          <w:tcPr>
            <w:tcW w:w="28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rPr>
            </w:pPr>
            <w:r>
              <w:rPr>
                <w:rFonts w:hint="eastAsia" w:ascii="仿宋_GB2312" w:hAnsi="仿宋_GB2312" w:eastAsia="仿宋_GB2312" w:cs="仿宋_GB2312"/>
                <w:i w:val="0"/>
                <w:color w:val="000000"/>
                <w:kern w:val="0"/>
                <w:sz w:val="22"/>
                <w:szCs w:val="22"/>
                <w:u w:val="none"/>
                <w:lang w:val="en-US" w:eastAsia="zh-CN" w:bidi="ar"/>
              </w:rPr>
              <w:t>各区县农技推广部门名称</w:t>
            </w: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rPr>
            </w:pPr>
            <w:r>
              <w:rPr>
                <w:rFonts w:hint="eastAsia" w:ascii="仿宋_GB2312" w:hAnsi="仿宋_GB2312" w:eastAsia="仿宋_GB2312" w:cs="仿宋_GB2312"/>
                <w:i w:val="0"/>
                <w:color w:val="000000"/>
                <w:kern w:val="0"/>
                <w:sz w:val="22"/>
                <w:szCs w:val="22"/>
                <w:u w:val="none"/>
                <w:lang w:val="en-US" w:eastAsia="zh-CN" w:bidi="ar"/>
              </w:rPr>
              <w:t>负责人</w:t>
            </w: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rPr>
            </w:pPr>
            <w:r>
              <w:rPr>
                <w:rFonts w:hint="eastAsia" w:ascii="仿宋_GB2312" w:hAnsi="仿宋_GB2312" w:eastAsia="仿宋_GB2312" w:cs="仿宋_GB2312"/>
                <w:i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2842"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c>
          <w:tcPr>
            <w:tcW w:w="1830"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2842"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c>
          <w:tcPr>
            <w:tcW w:w="1830"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28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28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28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5" w:hRule="atLeast"/>
          <w:jc w:val="center"/>
        </w:trPr>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农技服务乡村行轻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骑兵联系人及电话</w:t>
            </w:r>
          </w:p>
          <w:p>
            <w:pPr>
              <w:widowControl/>
              <w:spacing w:line="300" w:lineRule="exact"/>
              <w:jc w:val="center"/>
              <w:textAlignment w:val="center"/>
              <w:outlineLvl w:val="9"/>
              <w:rPr>
                <w:rFonts w:hint="eastAsia"/>
              </w:rPr>
            </w:pPr>
            <w:r>
              <w:rPr>
                <w:rFonts w:hint="eastAsia" w:ascii="仿宋_GB2312" w:hAnsi="仿宋_GB2312" w:eastAsia="仿宋_GB2312" w:cs="仿宋_GB2312"/>
                <w:b w:val="0"/>
                <w:i w:val="0"/>
                <w:color w:val="000000"/>
                <w:kern w:val="0"/>
                <w:sz w:val="22"/>
                <w:szCs w:val="22"/>
                <w:u w:val="none"/>
                <w:lang w:val="en-US" w:eastAsia="zh-CN" w:bidi="ar"/>
              </w:rPr>
              <w:t>（请各地结合产业实际选择相应类别填报）</w:t>
            </w: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Style w:val="9"/>
                <w:rFonts w:hint="eastAsia" w:ascii="仿宋_GB2312" w:hAnsi="仿宋_GB2312" w:eastAsia="仿宋_GB2312" w:cs="仿宋_GB2312"/>
                <w:lang w:val="en-US" w:eastAsia="zh-CN" w:bidi="ar"/>
              </w:rPr>
            </w:pPr>
            <w:r>
              <w:rPr>
                <w:rFonts w:hint="eastAsia" w:ascii="仿宋_GB2312" w:hAnsi="仿宋_GB2312" w:eastAsia="仿宋_GB2312" w:cs="仿宋_GB2312"/>
                <w:b/>
                <w:i w:val="0"/>
                <w:color w:val="000000"/>
                <w:kern w:val="0"/>
                <w:sz w:val="22"/>
                <w:szCs w:val="22"/>
                <w:u w:val="none"/>
                <w:lang w:val="en-US" w:eastAsia="zh-CN" w:bidi="ar"/>
              </w:rPr>
              <w:t>农技服务乡村行大队</w:t>
            </w:r>
            <w:r>
              <w:rPr>
                <w:rStyle w:val="9"/>
                <w:rFonts w:hint="eastAsia" w:ascii="仿宋_GB2312" w:hAnsi="仿宋_GB2312" w:eastAsia="仿宋_GB2312" w:cs="仿宋_GB2312"/>
                <w:lang w:val="en-US" w:eastAsia="zh-CN" w:bidi="ar"/>
              </w:rPr>
              <w:t>人员名单及负责人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Style w:val="9"/>
                <w:rFonts w:hint="eastAsia" w:ascii="仿宋_GB2312" w:hAnsi="仿宋_GB2312" w:eastAsia="仿宋_GB2312" w:cs="仿宋_GB2312"/>
                <w:lang w:val="en-US" w:eastAsia="zh-CN" w:bidi="ar"/>
              </w:rPr>
            </w:pPr>
            <w:r>
              <w:rPr>
                <w:rStyle w:val="9"/>
                <w:rFonts w:hint="eastAsia" w:ascii="仿宋_GB2312" w:hAnsi="仿宋_GB2312" w:eastAsia="仿宋_GB2312" w:cs="仿宋_GB2312"/>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Style w:val="9"/>
                <w:rFonts w:hint="eastAsia" w:ascii="仿宋_GB2312" w:hAnsi="仿宋_GB2312" w:eastAsia="仿宋_GB2312" w:cs="仿宋_GB2312"/>
                <w:lang w:val="en-US" w:eastAsia="zh-CN" w:bidi="ar"/>
              </w:rPr>
              <w:t>（在市级层面指导下，由各区县级层面组织）</w:t>
            </w: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auto"/>
                <w:kern w:val="0"/>
                <w:sz w:val="22"/>
                <w:szCs w:val="22"/>
                <w:highlight w:val="none"/>
                <w:u w:val="none"/>
                <w:lang w:val="en-US" w:eastAsia="zh-CN" w:bidi="ar"/>
              </w:rPr>
              <w:t>填写示例：XX县农技服务乡村行大队负责人：        联系电话：</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大队成员：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50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填表人</w:t>
            </w:r>
          </w:p>
        </w:tc>
        <w:tc>
          <w:tcPr>
            <w:tcW w:w="2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rPr>
            </w:pPr>
            <w:r>
              <w:rPr>
                <w:rFonts w:hint="eastAsia" w:ascii="仿宋_GB2312" w:hAnsi="仿宋_GB2312" w:eastAsia="仿宋_GB2312" w:cs="仿宋_GB2312"/>
                <w:i w:val="0"/>
                <w:color w:val="000000"/>
                <w:kern w:val="0"/>
                <w:sz w:val="22"/>
                <w:szCs w:val="22"/>
                <w:u w:val="none"/>
                <w:lang w:val="en-US" w:eastAsia="zh-CN" w:bidi="ar"/>
              </w:rPr>
              <w:t>联系电话（手机）</w:t>
            </w:r>
          </w:p>
        </w:tc>
        <w:tc>
          <w:tcPr>
            <w:tcW w:w="1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rPr>
            </w:pPr>
          </w:p>
        </w:tc>
      </w:tr>
    </w:tbl>
    <w:p>
      <w:pPr>
        <w:pStyle w:val="4"/>
        <w:numPr>
          <w:ilvl w:val="0"/>
          <w:numId w:val="0"/>
        </w:numPr>
        <w:spacing w:line="560" w:lineRule="exact"/>
        <w:ind w:firstLine="220" w:firstLineChars="100"/>
        <w:rPr>
          <w:rFonts w:hint="eastAsia" w:ascii="仿宋_GB2312" w:hAnsi="仿宋_GB2312" w:cs="楷体"/>
          <w:b w:val="0"/>
          <w:bCs w:val="0"/>
          <w:color w:val="000000"/>
          <w:sz w:val="32"/>
          <w:szCs w:val="32"/>
          <w:lang w:val="en-US" w:eastAsia="zh-CN"/>
        </w:rPr>
        <w:sectPr>
          <w:pgSz w:w="11906" w:h="16838"/>
          <w:pgMar w:top="1871" w:right="1531" w:bottom="1871" w:left="1531" w:header="851" w:footer="1417" w:gutter="0"/>
          <w:pgNumType w:fmt="decimal"/>
          <w:cols w:space="720" w:num="1"/>
          <w:titlePg/>
          <w:rtlGutter w:val="0"/>
          <w:docGrid w:type="lines" w:linePitch="631" w:charSpace="0"/>
        </w:sectPr>
      </w:pPr>
      <w:r>
        <w:rPr>
          <w:rFonts w:hint="eastAsia" w:ascii="仿宋_GB2312" w:hAnsi="仿宋_GB2312" w:eastAsia="仿宋_GB2312" w:cs="仿宋_GB2312"/>
          <w:i w:val="0"/>
          <w:color w:val="000000"/>
          <w:kern w:val="0"/>
          <w:sz w:val="22"/>
          <w:szCs w:val="22"/>
          <w:u w:val="none"/>
          <w:lang w:val="en-US" w:eastAsia="zh-CN" w:bidi="ar"/>
        </w:rPr>
        <w:t>填表说明：该表由各地市农业农村局负责填写，表格可另附。</w:t>
      </w:r>
    </w:p>
    <w:p>
      <w:pPr>
        <w:pStyle w:val="4"/>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0"/>
          <w:szCs w:val="32"/>
          <w:u w:val="none"/>
          <w:lang w:val="en-US" w:eastAsia="zh-CN" w:bidi="ar"/>
        </w:rPr>
        <w:t>附表4</w:t>
      </w:r>
      <w:r>
        <w:rPr>
          <w:rFonts w:hint="eastAsia" w:ascii="黑体" w:hAnsi="黑体" w:eastAsia="黑体" w:cs="黑体"/>
          <w:b w:val="0"/>
          <w:bCs/>
          <w:i w:val="0"/>
          <w:color w:val="000000"/>
          <w:kern w:val="0"/>
          <w:sz w:val="32"/>
          <w:szCs w:val="32"/>
          <w:u w:val="none"/>
          <w:lang w:val="en-US" w:eastAsia="zh-CN" w:bidi="ar"/>
        </w:rPr>
        <w:t xml:space="preserve"> </w:t>
      </w:r>
    </w:p>
    <w:p>
      <w:pPr>
        <w:pStyle w:val="4"/>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驻镇帮镇扶村工作队农业技术需求调查表</w:t>
      </w:r>
    </w:p>
    <w:tbl>
      <w:tblPr>
        <w:tblStyle w:val="8"/>
        <w:tblW w:w="857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27"/>
        <w:gridCol w:w="3040"/>
        <w:gridCol w:w="799"/>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工作队名称</w:t>
            </w:r>
          </w:p>
        </w:tc>
        <w:tc>
          <w:tcPr>
            <w:tcW w:w="51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联系人姓名</w:t>
            </w:r>
          </w:p>
        </w:tc>
        <w:tc>
          <w:tcPr>
            <w:tcW w:w="3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c>
          <w:tcPr>
            <w:tcW w:w="7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电话</w:t>
            </w:r>
          </w:p>
        </w:tc>
        <w:tc>
          <w:tcPr>
            <w:tcW w:w="13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详细地址</w:t>
            </w:r>
          </w:p>
        </w:tc>
        <w:tc>
          <w:tcPr>
            <w:tcW w:w="51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11"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当地农业产业基本概况（主要种养类型及面积产值等相关概况）</w:t>
            </w:r>
          </w:p>
        </w:tc>
        <w:tc>
          <w:tcPr>
            <w:tcW w:w="51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8579"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技术需求情况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种植版块（良种良法）</w:t>
            </w:r>
          </w:p>
        </w:tc>
        <w:tc>
          <w:tcPr>
            <w:tcW w:w="5152" w:type="dxa"/>
            <w:gridSpan w:val="3"/>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畜禽版块（良种良法）</w:t>
            </w:r>
          </w:p>
        </w:tc>
        <w:tc>
          <w:tcPr>
            <w:tcW w:w="51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水产版块（良种良法）</w:t>
            </w:r>
          </w:p>
        </w:tc>
        <w:tc>
          <w:tcPr>
            <w:tcW w:w="51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34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农机版块（机艺融合）</w:t>
            </w:r>
          </w:p>
        </w:tc>
        <w:tc>
          <w:tcPr>
            <w:tcW w:w="51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342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其他技术需求</w:t>
            </w:r>
          </w:p>
        </w:tc>
        <w:tc>
          <w:tcPr>
            <w:tcW w:w="3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品牌塑造</w:t>
            </w:r>
          </w:p>
        </w:tc>
        <w:tc>
          <w:tcPr>
            <w:tcW w:w="21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342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3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农产品加工</w:t>
            </w:r>
          </w:p>
        </w:tc>
        <w:tc>
          <w:tcPr>
            <w:tcW w:w="21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342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3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休闲农业</w:t>
            </w:r>
          </w:p>
        </w:tc>
        <w:tc>
          <w:tcPr>
            <w:tcW w:w="21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342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3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全产业链综合发展</w:t>
            </w:r>
          </w:p>
        </w:tc>
        <w:tc>
          <w:tcPr>
            <w:tcW w:w="21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w:t>
            </w:r>
          </w:p>
        </w:tc>
      </w:tr>
    </w:tbl>
    <w:p>
      <w:pPr>
        <w:pStyle w:val="4"/>
        <w:ind w:firstLine="220" w:firstLineChars="100"/>
        <w:jc w:val="left"/>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填表说明：该表由所辖区域驻镇帮镇扶村工作队填写。</w:t>
      </w:r>
    </w:p>
    <w:p>
      <w:pPr>
        <w:pStyle w:val="4"/>
        <w:jc w:val="left"/>
        <w:rPr>
          <w:rFonts w:hint="eastAsia" w:ascii="仿宋_GB2312" w:hAnsi="仿宋_GB2312" w:eastAsia="仿宋_GB2312" w:cs="仿宋_GB2312"/>
          <w:i w:val="0"/>
          <w:color w:val="000000"/>
          <w:kern w:val="0"/>
          <w:sz w:val="22"/>
          <w:szCs w:val="22"/>
          <w:u w:val="none"/>
          <w:lang w:val="en-US" w:eastAsia="zh-CN" w:bidi="ar"/>
        </w:rPr>
        <w:sectPr>
          <w:pgSz w:w="11906" w:h="16838"/>
          <w:pgMar w:top="1871" w:right="1531" w:bottom="1871" w:left="1531" w:header="851" w:footer="1417" w:gutter="0"/>
          <w:pgNumType w:fmt="decimal"/>
          <w:cols w:space="720" w:num="1"/>
          <w:titlePg/>
          <w:rtlGutter w:val="0"/>
          <w:docGrid w:type="lines" w:linePitch="631" w:charSpace="0"/>
        </w:sectPr>
      </w:pPr>
    </w:p>
    <w:p>
      <w:pPr>
        <w:pStyle w:val="4"/>
        <w:adjustRightInd w:val="0"/>
        <w:snapToGrid w:val="0"/>
        <w:spacing w:after="0" w:line="590" w:lineRule="exact"/>
        <w:jc w:val="left"/>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br w:type="page"/>
      </w:r>
      <w:r>
        <w:rPr>
          <w:rFonts w:hint="eastAsia" w:ascii="黑体" w:hAnsi="黑体" w:eastAsia="黑体" w:cs="黑体"/>
          <w:sz w:val="32"/>
          <w:szCs w:val="28"/>
          <w:lang w:val="en-US" w:eastAsia="zh-CN"/>
        </w:rPr>
        <w:t>附表5</w:t>
      </w:r>
    </w:p>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农技服务乡村行科研专家队伍</w:t>
      </w:r>
    </w:p>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名单汇总表</w:t>
      </w:r>
    </w:p>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both"/>
        <w:textAlignment w:val="center"/>
        <w:outlineLvl w:val="9"/>
        <w:rPr>
          <w:rFonts w:hint="eastAsia" w:ascii="黑体" w:hAnsi="黑体" w:eastAsia="黑体" w:cs="黑体"/>
          <w:b w:val="0"/>
          <w:bCs w:val="0"/>
          <w:i w:val="0"/>
          <w:color w:val="000000"/>
          <w:kern w:val="0"/>
          <w:sz w:val="22"/>
          <w:szCs w:val="22"/>
          <w:u w:val="none"/>
          <w:lang w:val="en-US" w:eastAsia="zh-CN" w:bidi="ar"/>
        </w:rPr>
      </w:pPr>
      <w:r>
        <w:rPr>
          <w:rFonts w:hint="eastAsia" w:ascii="黑体" w:hAnsi="黑体" w:eastAsia="黑体" w:cs="黑体"/>
          <w:bCs w:val="0"/>
          <w:color w:val="000000"/>
          <w:kern w:val="0"/>
          <w:sz w:val="22"/>
          <w:szCs w:val="22"/>
          <w:lang w:bidi="ar"/>
        </w:rPr>
        <w:t>填报单位：</w:t>
      </w:r>
    </w:p>
    <w:tbl>
      <w:tblPr>
        <w:tblStyle w:val="8"/>
        <w:tblW w:w="95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1098"/>
        <w:gridCol w:w="615"/>
        <w:gridCol w:w="1062"/>
        <w:gridCol w:w="1428"/>
        <w:gridCol w:w="1485"/>
        <w:gridCol w:w="1455"/>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序号</w:t>
            </w:r>
          </w:p>
        </w:tc>
        <w:tc>
          <w:tcPr>
            <w:tcW w:w="1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姓名</w:t>
            </w: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性别</w:t>
            </w:r>
          </w:p>
        </w:tc>
        <w:tc>
          <w:tcPr>
            <w:tcW w:w="10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出生年月</w:t>
            </w:r>
          </w:p>
        </w:tc>
        <w:tc>
          <w:tcPr>
            <w:tcW w:w="1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单位</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职务/职称</w:t>
            </w:r>
          </w:p>
        </w:tc>
        <w:tc>
          <w:tcPr>
            <w:tcW w:w="14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联系电话</w:t>
            </w:r>
          </w:p>
        </w:tc>
        <w:tc>
          <w:tcPr>
            <w:tcW w:w="18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Lines="0" w:line="590" w:lineRule="exact"/>
              <w:ind w:left="0" w:leftChars="0" w:right="0" w:rightChars="0" w:firstLine="0" w:firstLineChars="0"/>
              <w:jc w:val="center"/>
              <w:textAlignment w:val="center"/>
              <w:outlineLvl w:val="9"/>
              <w:rPr>
                <w:rFonts w:hint="eastAsia" w:ascii="黑体" w:hAnsi="黑体" w:eastAsia="黑体" w:cs="黑体"/>
                <w:b w:val="0"/>
                <w:bCs w:val="0"/>
              </w:rPr>
            </w:pPr>
            <w:r>
              <w:rPr>
                <w:rFonts w:hint="eastAsia" w:ascii="黑体" w:hAnsi="黑体" w:eastAsia="黑体" w:cs="黑体"/>
                <w:b w:val="0"/>
                <w:bCs w:val="0"/>
                <w:i w:val="0"/>
                <w:color w:val="000000"/>
                <w:kern w:val="0"/>
                <w:sz w:val="22"/>
                <w:szCs w:val="22"/>
                <w:u w:val="none"/>
                <w:lang w:val="en-US" w:eastAsia="zh-CN" w:bidi="ar"/>
              </w:rPr>
              <w:t>专业（擅长领域）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09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10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61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06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45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i w:val="0"/>
                <w:color w:val="000000"/>
                <w:sz w:val="22"/>
                <w:szCs w:val="22"/>
                <w:u w:val="none"/>
              </w:rPr>
            </w:pPr>
          </w:p>
        </w:tc>
        <w:tc>
          <w:tcPr>
            <w:tcW w:w="186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rPr>
            </w:pPr>
          </w:p>
        </w:tc>
      </w:tr>
    </w:tbl>
    <w:p>
      <w:pPr>
        <w:pStyle w:val="4"/>
        <w:numPr>
          <w:ilvl w:val="0"/>
          <w:numId w:val="0"/>
        </w:numPr>
        <w:adjustRightInd w:val="0"/>
        <w:snapToGrid w:val="0"/>
        <w:spacing w:line="300" w:lineRule="exact"/>
        <w:jc w:val="left"/>
        <w:rPr>
          <w:rFonts w:hint="eastAsia" w:ascii="仿宋_GB2312" w:hAnsi="仿宋_GB2312" w:eastAsia="仿宋_GB2312" w:cs="仿宋_GB2312"/>
          <w:sz w:val="21"/>
          <w:szCs w:val="21"/>
          <w:lang w:val="en-US" w:eastAsia="zh-CN"/>
        </w:rPr>
      </w:pPr>
    </w:p>
    <w:p>
      <w:pPr>
        <w:pStyle w:val="4"/>
        <w:numPr>
          <w:ilvl w:val="0"/>
          <w:numId w:val="0"/>
        </w:numPr>
        <w:adjustRightInd w:val="0"/>
        <w:snapToGrid w:val="0"/>
        <w:spacing w:line="300" w:lineRule="exact"/>
        <w:jc w:val="left"/>
        <w:rPr>
          <w:rFonts w:hint="eastAsia" w:ascii="仿宋_GB2312" w:hAnsi="仿宋_GB2312" w:cs="仿宋_GB2312"/>
          <w:b/>
          <w:bCs/>
          <w:sz w:val="21"/>
          <w:szCs w:val="21"/>
          <w:lang w:val="en-US" w:eastAsia="zh-CN"/>
        </w:rPr>
      </w:pPr>
      <w:r>
        <w:rPr>
          <w:rFonts w:hint="eastAsia" w:ascii="仿宋_GB2312" w:hAnsi="仿宋_GB2312" w:eastAsia="仿宋_GB2312" w:cs="仿宋_GB2312"/>
          <w:sz w:val="21"/>
          <w:szCs w:val="21"/>
          <w:lang w:val="en-US" w:eastAsia="zh-CN"/>
        </w:rPr>
        <w:t>填表说明：本表由各</w:t>
      </w:r>
      <w:r>
        <w:rPr>
          <w:rFonts w:hint="eastAsia" w:ascii="仿宋_GB2312" w:hAnsi="仿宋_GB2312" w:cs="仿宋_GB2312"/>
          <w:sz w:val="21"/>
          <w:szCs w:val="21"/>
          <w:lang w:val="en-US" w:eastAsia="zh-CN"/>
        </w:rPr>
        <w:t>涉农</w:t>
      </w:r>
      <w:r>
        <w:rPr>
          <w:rFonts w:hint="eastAsia" w:ascii="仿宋_GB2312" w:hAnsi="仿宋_GB2312" w:eastAsia="仿宋_GB2312" w:cs="仿宋_GB2312"/>
          <w:sz w:val="21"/>
          <w:szCs w:val="21"/>
          <w:lang w:val="en-US" w:eastAsia="zh-CN"/>
        </w:rPr>
        <w:t>高校及科研院所负责汇总，具备副高及以上职称</w:t>
      </w:r>
      <w:r>
        <w:rPr>
          <w:rFonts w:hint="eastAsia" w:ascii="仿宋_GB2312" w:hAnsi="仿宋_GB2312" w:cs="仿宋_GB2312"/>
          <w:sz w:val="21"/>
          <w:szCs w:val="21"/>
          <w:lang w:val="en-US" w:eastAsia="zh-CN"/>
        </w:rPr>
        <w:t>（</w:t>
      </w:r>
      <w:r>
        <w:rPr>
          <w:rFonts w:hint="eastAsia" w:ascii="仿宋_GB2312" w:hAnsi="仿宋_GB2312" w:cs="仿宋_GB2312"/>
          <w:b/>
          <w:bCs/>
          <w:sz w:val="21"/>
          <w:szCs w:val="21"/>
          <w:lang w:val="en-US" w:eastAsia="zh-CN"/>
        </w:rPr>
        <w:t>含已退休、身体健康</w:t>
      </w:r>
    </w:p>
    <w:p>
      <w:pPr>
        <w:pStyle w:val="4"/>
        <w:numPr>
          <w:ilvl w:val="0"/>
          <w:numId w:val="0"/>
        </w:numPr>
        <w:adjustRightInd w:val="0"/>
        <w:snapToGrid w:val="0"/>
        <w:spacing w:line="300" w:lineRule="exact"/>
        <w:ind w:firstLine="1054" w:firstLineChars="500"/>
        <w:jc w:val="left"/>
        <w:rPr>
          <w:rFonts w:hint="eastAsia" w:ascii="仿宋_GB2312" w:hAnsi="仿宋_GB2312" w:eastAsia="仿宋_GB2312" w:cs="仿宋_GB2312"/>
          <w:sz w:val="21"/>
          <w:szCs w:val="21"/>
          <w:lang w:val="en-US" w:eastAsia="zh-CN"/>
        </w:rPr>
      </w:pPr>
      <w:r>
        <w:rPr>
          <w:rFonts w:hint="eastAsia" w:ascii="仿宋_GB2312" w:hAnsi="仿宋_GB2312" w:cs="仿宋_GB2312"/>
          <w:b/>
          <w:bCs/>
          <w:sz w:val="21"/>
          <w:szCs w:val="21"/>
          <w:lang w:val="en-US" w:eastAsia="zh-CN"/>
        </w:rPr>
        <w:t>的科研专家</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且有志于加入广东农技服务</w:t>
      </w:r>
      <w:r>
        <w:rPr>
          <w:rFonts w:hint="eastAsia" w:ascii="仿宋_GB2312" w:hAnsi="仿宋_GB2312" w:cs="仿宋_GB2312"/>
          <w:sz w:val="21"/>
          <w:szCs w:val="21"/>
          <w:lang w:val="en-US" w:eastAsia="zh-CN"/>
        </w:rPr>
        <w:t>“轻骑兵”</w:t>
      </w:r>
      <w:r>
        <w:rPr>
          <w:rFonts w:hint="eastAsia" w:ascii="仿宋_GB2312" w:hAnsi="仿宋_GB2312" w:eastAsia="仿宋_GB2312" w:cs="仿宋_GB2312"/>
          <w:sz w:val="21"/>
          <w:szCs w:val="21"/>
          <w:lang w:val="en-US" w:eastAsia="zh-CN"/>
        </w:rPr>
        <w:t>乡村行的</w:t>
      </w:r>
      <w:r>
        <w:rPr>
          <w:rFonts w:hint="eastAsia" w:ascii="仿宋_GB2312" w:hAnsi="仿宋_GB2312" w:cs="仿宋_GB2312"/>
          <w:sz w:val="21"/>
          <w:szCs w:val="21"/>
          <w:lang w:val="en-US" w:eastAsia="zh-CN"/>
        </w:rPr>
        <w:t>同志</w:t>
      </w:r>
      <w:r>
        <w:rPr>
          <w:rFonts w:hint="eastAsia" w:ascii="仿宋_GB2312" w:hAnsi="仿宋_GB2312" w:eastAsia="仿宋_GB2312" w:cs="仿宋_GB2312"/>
          <w:sz w:val="21"/>
          <w:szCs w:val="21"/>
          <w:lang w:val="en-US" w:eastAsia="zh-CN"/>
        </w:rPr>
        <w:t>均可报名。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宋体-简">
    <w:altName w:val="宋体"/>
    <w:panose1 w:val="020108000400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FangSong . GB2312">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3"/>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22EDB"/>
    <w:rsid w:val="7F42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 w:val="21"/>
      <w:szCs w:val="24"/>
    </w:rPr>
  </w:style>
  <w:style w:type="paragraph" w:styleId="3">
    <w:name w:val="heading 4"/>
    <w:basedOn w:val="1"/>
    <w:next w:val="1"/>
    <w:unhideWhenUsed/>
    <w:qFormat/>
    <w:uiPriority w:val="0"/>
    <w:pPr>
      <w:keepNext/>
      <w:keepLines/>
      <w:numPr>
        <w:ilvl w:val="3"/>
        <w:numId w:val="1"/>
      </w:numPr>
      <w:tabs>
        <w:tab w:val="left" w:pos="432"/>
        <w:tab w:val="clear" w:pos="864"/>
      </w:tabs>
      <w:spacing w:line="240" w:lineRule="auto"/>
      <w:ind w:left="864" w:hanging="864"/>
      <w:outlineLvl w:val="3"/>
    </w:pPr>
    <w:rPr>
      <w:rFonts w:ascii="Arial" w:hAnsi="Arial" w:eastAsia="宋体-简" w:cs="Times New Roman"/>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iPriority w:val="0"/>
    <w:pPr>
      <w:spacing w:after="120" w:afterLines="0"/>
    </w:pPr>
    <w:rPr>
      <w:rFonts w:ascii="Times New Roman" w:hAnsi="Times New Roman" w:eastAsia="仿宋_GB2312" w:cs="Times New Roman"/>
      <w:szCs w:val="24"/>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character" w:styleId="7">
    <w:name w:val="Hyperlink"/>
    <w:basedOn w:val="6"/>
    <w:uiPriority w:val="0"/>
    <w:rPr>
      <w:rFonts w:ascii="Times New Roman" w:hAnsi="Times New Roman" w:eastAsia="宋体" w:cs="Times New Roman"/>
      <w:color w:val="0000FF"/>
      <w:u w:val="single"/>
    </w:rPr>
  </w:style>
  <w:style w:type="character" w:customStyle="1" w:styleId="9">
    <w:name w:val="font51"/>
    <w:basedOn w:val="6"/>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2022-02-09T07:56:00Z</dcterms:created>
  <dc:creator>李怡欢</dc:creator>
  <cp:lastModifiedBy>李怡欢</cp:lastModifiedBy>
  <dcterms:modified xsi:type="dcterms:W3CDTF">2022-02-09T07:58:07Z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