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90" w:lineRule="exact"/>
        <w:ind w:firstLine="0" w:firstLineChars="0"/>
        <w:jc w:val="center"/>
        <w:textAlignment w:val="auto"/>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lang w:val="en-US" w:eastAsia="zh-CN"/>
        </w:rPr>
        <w:t>广东省</w:t>
      </w:r>
      <w:r>
        <w:rPr>
          <w:rFonts w:hint="eastAsia" w:ascii="方正小标宋简体" w:hAnsi="方正小标宋简体" w:eastAsia="方正小标宋简体" w:cs="方正小标宋简体"/>
          <w:color w:val="auto"/>
          <w:kern w:val="0"/>
          <w:sz w:val="44"/>
          <w:szCs w:val="44"/>
          <w:lang w:eastAsia="zh-CN"/>
        </w:rPr>
        <w:t>兽用抗菌药使用减量化行动方案</w:t>
      </w:r>
    </w:p>
    <w:p>
      <w:pPr>
        <w:keepNext w:val="0"/>
        <w:keepLines w:val="0"/>
        <w:pageBreakBefore w:val="0"/>
        <w:kinsoku/>
        <w:wordWrap/>
        <w:overflowPunct/>
        <w:topLinePunct w:val="0"/>
        <w:autoSpaceDE/>
        <w:autoSpaceDN/>
        <w:bidi w:val="0"/>
        <w:adjustRightInd w:val="0"/>
        <w:snapToGrid w:val="0"/>
        <w:spacing w:line="590" w:lineRule="exact"/>
        <w:ind w:firstLine="0" w:firstLineChars="0"/>
        <w:jc w:val="center"/>
        <w:textAlignment w:val="auto"/>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lang w:eastAsia="zh-CN"/>
        </w:rPr>
        <w:t>（2021—2025年）</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为深入贯彻落实</w:t>
      </w:r>
      <w:r>
        <w:rPr>
          <w:rFonts w:hint="eastAsia" w:ascii="仿宋_GB2312" w:hAnsi="仿宋_GB2312" w:eastAsia="仿宋_GB2312" w:cs="仿宋_GB2312"/>
          <w:snapToGrid w:val="0"/>
          <w:color w:val="auto"/>
          <w:kern w:val="0"/>
          <w:sz w:val="32"/>
          <w:szCs w:val="32"/>
        </w:rPr>
        <w:t>《全国兽用抗菌药使用减量化行动方案（2021—2025年）》</w:t>
      </w:r>
      <w:r>
        <w:rPr>
          <w:rFonts w:hint="eastAsia" w:ascii="仿宋_GB2312" w:hAnsi="仿宋_GB2312" w:eastAsia="仿宋_GB2312" w:cs="仿宋_GB2312"/>
          <w:snapToGrid w:val="0"/>
          <w:color w:val="auto"/>
          <w:kern w:val="0"/>
          <w:sz w:val="32"/>
          <w:szCs w:val="32"/>
          <w:lang w:val="en-US" w:eastAsia="zh-CN"/>
        </w:rPr>
        <w:t>，</w:t>
      </w:r>
      <w:r>
        <w:rPr>
          <w:rFonts w:hint="eastAsia" w:ascii="仿宋_GB2312" w:hAnsi="仿宋_GB2312" w:eastAsia="仿宋_GB2312" w:cs="仿宋_GB2312"/>
          <w:snapToGrid w:val="0"/>
          <w:color w:val="auto"/>
          <w:kern w:val="0"/>
          <w:sz w:val="32"/>
          <w:szCs w:val="32"/>
          <w:u w:val="none"/>
          <w:lang w:val="en-US" w:eastAsia="zh-CN"/>
        </w:rPr>
        <w:t>切实加强兽用抗菌药综合治理，有效遏制动物源细菌耐药、整治兽药残留超标，全面提升畜禽绿色健康养殖水平，促进畜牧业高质量发展，有力维护畜牧业生产安全、动物源性食品安全、公共卫生安全和生物安全，</w:t>
      </w:r>
      <w:r>
        <w:rPr>
          <w:rFonts w:hint="eastAsia" w:ascii="仿宋_GB2312" w:hAnsi="仿宋_GB2312" w:eastAsia="仿宋_GB2312" w:cs="仿宋_GB2312"/>
          <w:snapToGrid w:val="0"/>
          <w:color w:val="auto"/>
          <w:kern w:val="0"/>
          <w:sz w:val="32"/>
          <w:szCs w:val="32"/>
          <w:lang w:val="en-US" w:eastAsia="zh-CN"/>
        </w:rPr>
        <w:t>制定本行动方案。</w:t>
      </w:r>
    </w:p>
    <w:p>
      <w:pPr>
        <w:keepNext w:val="0"/>
        <w:keepLines w:val="0"/>
        <w:pageBreakBefore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 w:val="0"/>
          <w:bCs/>
          <w:i w:val="0"/>
          <w:caps w:val="0"/>
          <w:color w:val="auto"/>
          <w:spacing w:val="0"/>
          <w:kern w:val="0"/>
          <w:sz w:val="32"/>
          <w:szCs w:val="32"/>
          <w:shd w:val="clear" w:color="auto" w:fill="FFFFFF"/>
          <w:lang w:eastAsia="zh-CN"/>
        </w:rPr>
      </w:pPr>
      <w:r>
        <w:rPr>
          <w:rFonts w:hint="eastAsia" w:ascii="黑体" w:hAnsi="黑体" w:eastAsia="黑体" w:cs="黑体"/>
          <w:b w:val="0"/>
          <w:bCs/>
          <w:color w:val="auto"/>
          <w:kern w:val="0"/>
          <w:sz w:val="32"/>
          <w:szCs w:val="32"/>
          <w:lang w:val="en-US" w:eastAsia="zh-CN"/>
        </w:rPr>
        <w:t>一、行动</w:t>
      </w:r>
      <w:r>
        <w:rPr>
          <w:rFonts w:hint="eastAsia" w:ascii="黑体" w:hAnsi="黑体" w:eastAsia="黑体" w:cs="黑体"/>
          <w:b w:val="0"/>
          <w:bCs/>
          <w:color w:val="auto"/>
          <w:kern w:val="0"/>
          <w:sz w:val="32"/>
          <w:szCs w:val="32"/>
        </w:rPr>
        <w:t>目标</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napToGrid w:val="0"/>
          <w:color w:val="auto"/>
          <w:kern w:val="0"/>
          <w:sz w:val="32"/>
          <w:szCs w:val="32"/>
          <w:lang w:val="en-US" w:eastAsia="zh-CN"/>
        </w:rPr>
      </w:pPr>
      <w:r>
        <w:rPr>
          <w:rFonts w:hint="eastAsia" w:ascii="楷体_GB2312" w:hAnsi="楷体_GB2312" w:eastAsia="楷体_GB2312" w:cs="楷体_GB2312"/>
          <w:snapToGrid w:val="0"/>
          <w:color w:val="auto"/>
          <w:kern w:val="0"/>
          <w:sz w:val="32"/>
          <w:szCs w:val="32"/>
          <w:lang w:val="en-US" w:eastAsia="zh-CN"/>
        </w:rPr>
        <w:t>（一）总体目标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以生猪、蛋鸡、肉鸡、肉鸭、奶牛、肉牛、肉羊等畜禽品种为重点，稳步推进兽用抗菌药使用减量化行动（以下简称减抗行动），切实提高畜禽养殖环节兽用抗菌药安全、规范、科学使用的能力和水平，确保“十四五”时期全省产出每吨动物产品兽用抗菌药的使用量保持下降趋势，肉蛋奶等畜禽产品的兽药残留监督抽检合格率稳定保持在98%以上，动物源细菌耐药趋势得到有效遏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到2025年末，全省55%以上的规模养殖场实施养殖减抗行动，建立完善并严格执行兽药安全使用管理制度，做到规范科学用药，全面落实兽用处方药制度、兽药休药期制度和“兽药规范使用”承诺制度。</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napToGrid w:val="0"/>
          <w:color w:val="auto"/>
          <w:kern w:val="0"/>
          <w:sz w:val="32"/>
          <w:szCs w:val="32"/>
          <w:lang w:val="en-US" w:eastAsia="zh-CN"/>
        </w:rPr>
      </w:pPr>
      <w:r>
        <w:rPr>
          <w:rFonts w:hint="eastAsia" w:ascii="楷体_GB2312" w:hAnsi="楷体_GB2312" w:eastAsia="楷体_GB2312" w:cs="楷体_GB2312"/>
          <w:snapToGrid w:val="0"/>
          <w:color w:val="auto"/>
          <w:kern w:val="0"/>
          <w:sz w:val="32"/>
          <w:szCs w:val="32"/>
          <w:lang w:val="en-US" w:eastAsia="zh-CN"/>
        </w:rPr>
        <w:t>（二）年度目标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2022年底前，辖区内10%规模养殖场（户）实施减抗行动；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2023年底前，辖区内25%规模养殖场（户）实施减抗行动；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2024年底前，辖区内40%规模养殖场（户）实施减抗行动；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2025年底前，辖区内55%规模养殖场（户）实施减抗行动。</w:t>
      </w:r>
    </w:p>
    <w:p>
      <w:pPr>
        <w:keepNext w:val="0"/>
        <w:keepLines w:val="0"/>
        <w:pageBreakBefore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二、行动任务</w:t>
      </w:r>
    </w:p>
    <w:p>
      <w:pPr>
        <w:adjustRightInd w:val="0"/>
        <w:snapToGrid w:val="0"/>
        <w:spacing w:line="590" w:lineRule="exact"/>
        <w:ind w:firstLine="632"/>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i w:val="0"/>
          <w:caps w:val="0"/>
          <w:snapToGrid w:val="0"/>
          <w:color w:val="auto"/>
          <w:spacing w:val="0"/>
          <w:kern w:val="0"/>
          <w:sz w:val="32"/>
          <w:szCs w:val="32"/>
          <w:shd w:val="clear" w:color="auto" w:fill="auto"/>
        </w:rPr>
        <w:t>（一）强化兽用抗菌药全链条监管</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1.加强兽用抗菌药生产经营监管。</w:t>
      </w:r>
      <w:r>
        <w:rPr>
          <w:rFonts w:hint="eastAsia" w:ascii="仿宋_GB2312" w:hAnsi="仿宋_GB2312" w:eastAsia="仿宋_GB2312" w:cs="仿宋_GB2312"/>
          <w:snapToGrid w:val="0"/>
          <w:color w:val="auto"/>
          <w:kern w:val="0"/>
          <w:sz w:val="32"/>
          <w:szCs w:val="32"/>
          <w:lang w:val="en-US" w:eastAsia="zh-CN"/>
        </w:rPr>
        <w:t>严格实施《兽药生产质量管理规范（2020年修订）》。加大兽用抗菌药质量监督抽检力度，实施“检打联动”，严查隐性添加禁用成分或其他成分。严格落实兽药二维码追溯制度，确保兽药产品全部赋码上市，兽药生产经营企业产品入库、出库追溯数据全部准确上传至国家兽药产品追溯系统。加强原料药管理，防止非法流入养殖环节。强化兽药网络销售平台监督，会同工业和信息化部门严厉打击通过互联网违法销售假劣兽药行为。</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val="0"/>
          <w:snapToGrid w:val="0"/>
          <w:color w:val="auto"/>
          <w:kern w:val="0"/>
          <w:sz w:val="32"/>
          <w:szCs w:val="32"/>
          <w:lang w:val="en-US" w:eastAsia="zh-CN"/>
        </w:rPr>
        <w:t>2.加强兽用抗菌药使用监管。</w:t>
      </w:r>
      <w:r>
        <w:rPr>
          <w:rFonts w:hint="eastAsia" w:ascii="仿宋_GB2312" w:hAnsi="仿宋_GB2312" w:eastAsia="仿宋_GB2312" w:cs="仿宋_GB2312"/>
          <w:snapToGrid w:val="0"/>
          <w:color w:val="auto"/>
          <w:kern w:val="0"/>
          <w:sz w:val="32"/>
          <w:szCs w:val="32"/>
          <w:lang w:val="en-US" w:eastAsia="zh-CN"/>
        </w:rPr>
        <w:t>加强饲料生产经营企业监管，组织开展非法添加药物及违禁物质专项监测，严肃查处违法违规行为。加强养殖场（户）用药监管，除允许在商品饲料中使用抗球虫类和中药类药物外，严禁在自配料中添加其他任何兽药。压实养殖场（户）规范用药主体责任，督促指导养殖场（户）建立完善兽药采购、存储、使用等管理制度，严格执行兽药使用记录制度、兽用处方药制度、兽药休药期制度等安全使用规定，准确真实记录兽药使用情况，严禁超范围、超剂量用药。创新兽药使用管理制度，建立实施养殖场（户）“兽药规范使用”承诺制，将其作为自主开具食用农产品达标合格证的重要依据。在养殖场（户）出售畜禽及其产品时，有关部门要按照动物产地检疫规程等规定，对用药记录等养殖档案进行查验核对。加大惩戒力度，对违规用药行为依法从重处罚，涉嫌犯罪的，移交公安部门立案查处。</w:t>
      </w:r>
    </w:p>
    <w:p>
      <w:pPr>
        <w:spacing w:line="590" w:lineRule="exact"/>
        <w:ind w:firstLine="632"/>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i w:val="0"/>
          <w:caps w:val="0"/>
          <w:snapToGrid w:val="0"/>
          <w:color w:val="auto"/>
          <w:spacing w:val="0"/>
          <w:kern w:val="0"/>
          <w:sz w:val="32"/>
          <w:szCs w:val="32"/>
          <w:shd w:val="clear" w:color="auto" w:fill="auto"/>
        </w:rPr>
        <w:t>（二）加强兽用抗菌药使用风险控制</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3.监测兽用抗菌药使用量。</w:t>
      </w:r>
      <w:r>
        <w:rPr>
          <w:rFonts w:hint="eastAsia" w:ascii="仿宋_GB2312" w:hAnsi="仿宋_GB2312" w:eastAsia="仿宋_GB2312" w:cs="仿宋_GB2312"/>
          <w:snapToGrid w:val="0"/>
          <w:color w:val="auto"/>
          <w:kern w:val="0"/>
          <w:sz w:val="32"/>
          <w:szCs w:val="32"/>
          <w:lang w:val="en-US" w:eastAsia="zh-CN"/>
        </w:rPr>
        <w:t>充分利用国家兽药产品追溯系统，监测分析兽用抗菌药应用种类、数量、流向等情况，分析变化趋势，及时提出针对性预防措施。</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4.实施畜禽产品兽药残留监控。</w:t>
      </w:r>
      <w:r>
        <w:rPr>
          <w:rFonts w:hint="eastAsia" w:ascii="仿宋_GB2312" w:hAnsi="仿宋_GB2312" w:eastAsia="仿宋_GB2312" w:cs="仿宋_GB2312"/>
          <w:snapToGrid w:val="0"/>
          <w:color w:val="auto"/>
          <w:kern w:val="0"/>
          <w:sz w:val="32"/>
          <w:szCs w:val="32"/>
          <w:lang w:val="en-US" w:eastAsia="zh-CN"/>
        </w:rPr>
        <w:t>结合辖区内生产实际，组织实施年度畜禽产品兽药残留监控计划，加大检测力度，及时掌握风险因子，控制残留风险。</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val="0"/>
          <w:snapToGrid w:val="0"/>
          <w:color w:val="auto"/>
          <w:kern w:val="0"/>
          <w:sz w:val="32"/>
          <w:szCs w:val="32"/>
          <w:lang w:val="en-US" w:eastAsia="zh-CN"/>
        </w:rPr>
        <w:t>5.开展动物源细菌耐药性监测。</w:t>
      </w:r>
      <w:r>
        <w:rPr>
          <w:rFonts w:hint="eastAsia" w:ascii="仿宋_GB2312" w:hAnsi="仿宋_GB2312" w:eastAsia="仿宋_GB2312" w:cs="仿宋_GB2312"/>
          <w:snapToGrid w:val="0"/>
          <w:color w:val="auto"/>
          <w:kern w:val="0"/>
          <w:sz w:val="32"/>
          <w:szCs w:val="32"/>
          <w:lang w:val="en-US" w:eastAsia="zh-CN"/>
        </w:rPr>
        <w:t>组织实施年度动物源细菌耐药性监测计划，组织开展耐药性监测，提升耐药性风险管控能力。</w:t>
      </w:r>
    </w:p>
    <w:p>
      <w:pPr>
        <w:adjustRightInd w:val="0"/>
        <w:snapToGrid w:val="0"/>
        <w:spacing w:line="590" w:lineRule="exact"/>
        <w:ind w:firstLine="640" w:firstLineChars="200"/>
        <w:rPr>
          <w:rFonts w:hint="eastAsia" w:ascii="楷体_GB2312" w:hAnsi="楷体_GB2312" w:eastAsia="楷体_GB2312" w:cs="楷体_GB2312"/>
          <w:snapToGrid w:val="0"/>
          <w:color w:val="auto"/>
          <w:kern w:val="0"/>
          <w:sz w:val="32"/>
          <w:szCs w:val="32"/>
        </w:rPr>
      </w:pPr>
      <w:r>
        <w:rPr>
          <w:rFonts w:hint="eastAsia" w:ascii="楷体_GB2312" w:hAnsi="楷体_GB2312" w:eastAsia="楷体_GB2312" w:cs="楷体_GB2312"/>
          <w:b w:val="0"/>
          <w:bCs w:val="0"/>
          <w:i w:val="0"/>
          <w:caps w:val="0"/>
          <w:snapToGrid w:val="0"/>
          <w:color w:val="auto"/>
          <w:spacing w:val="0"/>
          <w:kern w:val="0"/>
          <w:sz w:val="32"/>
          <w:szCs w:val="32"/>
          <w:shd w:val="clear" w:color="auto" w:fill="auto"/>
        </w:rPr>
        <w:t>（三）支持兽用抗菌药替代产品应用</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6.促进兽用中药产业健康发展。</w:t>
      </w:r>
      <w:r>
        <w:rPr>
          <w:rFonts w:hint="eastAsia" w:ascii="仿宋_GB2312" w:hAnsi="仿宋_GB2312" w:eastAsia="仿宋_GB2312" w:cs="仿宋_GB2312"/>
          <w:snapToGrid w:val="0"/>
          <w:color w:val="auto"/>
          <w:kern w:val="0"/>
          <w:sz w:val="32"/>
          <w:szCs w:val="32"/>
          <w:lang w:val="en-US" w:eastAsia="zh-CN"/>
        </w:rPr>
        <w:t>充分发挥高等院校和科研机构的作用，加强产学研结合，促进我省兽用中药创新、研发与应用，建立健康养殖模式。</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val="0"/>
          <w:snapToGrid w:val="0"/>
          <w:color w:val="auto"/>
          <w:kern w:val="0"/>
          <w:sz w:val="32"/>
          <w:szCs w:val="32"/>
          <w:lang w:val="en-US" w:eastAsia="zh-CN"/>
        </w:rPr>
        <w:t>7.遴选推广替代产品。</w:t>
      </w:r>
      <w:r>
        <w:rPr>
          <w:rFonts w:hint="eastAsia" w:ascii="仿宋_GB2312" w:hAnsi="仿宋_GB2312" w:eastAsia="仿宋_GB2312" w:cs="仿宋_GB2312"/>
          <w:snapToGrid w:val="0"/>
          <w:color w:val="auto"/>
          <w:kern w:val="0"/>
          <w:sz w:val="32"/>
          <w:szCs w:val="32"/>
          <w:lang w:val="en-US" w:eastAsia="zh-CN"/>
        </w:rPr>
        <w:t>组织相关教学科研单位、减抗达标养殖场（户）等，开展安全高效低残留兽用抗菌药替代产品筛选评价工作，引导养殖场（户）正确选用替代产品。支持绿色养殖技术推广和产品研发，鼓励各地统筹基层动物防疫补助经费等相关项目资金，对推广使用兽用中药等替代产品力度大、成效好的养殖场（户）给予奖励。</w:t>
      </w:r>
    </w:p>
    <w:p>
      <w:pPr>
        <w:adjustRightInd w:val="0"/>
        <w:snapToGrid w:val="0"/>
        <w:spacing w:line="590" w:lineRule="exact"/>
        <w:ind w:firstLine="640" w:firstLineChars="200"/>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i w:val="0"/>
          <w:caps w:val="0"/>
          <w:snapToGrid w:val="0"/>
          <w:color w:val="auto"/>
          <w:spacing w:val="0"/>
          <w:kern w:val="0"/>
          <w:sz w:val="32"/>
          <w:szCs w:val="32"/>
          <w:shd w:val="clear" w:color="auto" w:fill="auto"/>
        </w:rPr>
        <w:t>（四）加强兽用抗菌药使用减量化技术指导服务</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8.强化从业人员宣传教育。</w:t>
      </w:r>
      <w:r>
        <w:rPr>
          <w:rFonts w:hint="eastAsia" w:ascii="仿宋_GB2312" w:hAnsi="仿宋_GB2312" w:eastAsia="仿宋_GB2312" w:cs="仿宋_GB2312"/>
          <w:snapToGrid w:val="0"/>
          <w:color w:val="auto"/>
          <w:kern w:val="0"/>
          <w:sz w:val="32"/>
          <w:szCs w:val="32"/>
          <w:lang w:val="en-US" w:eastAsia="zh-CN"/>
        </w:rPr>
        <w:t>强化养殖主体、畜牧兽医技术服务人员的培训教育，将兽用抗菌药减量使用相关技术规范纳入高素质农民培育项目课程体系，并作为乡村兽医、基层动物防疫队伍培训的重要内容。充分利用各种媒体，科普宣传规范用药知识、轮换用药原则、精准用药方法等，提高从业人员规范用药意识和水平。</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9.开展技术服务。</w:t>
      </w:r>
      <w:r>
        <w:rPr>
          <w:rFonts w:hint="eastAsia" w:ascii="仿宋_GB2312" w:hAnsi="仿宋_GB2312" w:eastAsia="仿宋_GB2312" w:cs="仿宋_GB2312"/>
          <w:snapToGrid w:val="0"/>
          <w:color w:val="auto"/>
          <w:kern w:val="0"/>
          <w:sz w:val="32"/>
          <w:szCs w:val="32"/>
          <w:lang w:val="en-US" w:eastAsia="zh-CN"/>
        </w:rPr>
        <w:t>积极发挥相关行业组织的作用，组织引导兽药生产经营企业和养殖龙头企业，以公司带农户方式，邀请专家进村入户进行现场技术指导，逐场逐户推广普及科学用药知识和技术，力争“十四五”末实现对规模养殖场技术指导服务全覆盖。</w:t>
      </w:r>
    </w:p>
    <w:p>
      <w:pPr>
        <w:spacing w:line="590" w:lineRule="exact"/>
        <w:ind w:firstLine="640" w:firstLineChars="200"/>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i w:val="0"/>
          <w:caps w:val="0"/>
          <w:snapToGrid w:val="0"/>
          <w:color w:val="auto"/>
          <w:spacing w:val="0"/>
          <w:kern w:val="0"/>
          <w:sz w:val="32"/>
          <w:szCs w:val="32"/>
          <w:shd w:val="clear" w:color="auto" w:fill="auto"/>
        </w:rPr>
        <w:t>（五）构建兽用抗菌药使用减量化激励机制</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10.开展养殖场（户）减抗成效评价。</w:t>
      </w:r>
      <w:r>
        <w:rPr>
          <w:rFonts w:hint="eastAsia" w:ascii="仿宋_GB2312" w:hAnsi="仿宋_GB2312" w:eastAsia="仿宋_GB2312" w:cs="仿宋_GB2312"/>
          <w:snapToGrid w:val="0"/>
          <w:color w:val="auto"/>
          <w:kern w:val="0"/>
          <w:sz w:val="32"/>
          <w:szCs w:val="32"/>
          <w:lang w:val="en-US" w:eastAsia="zh-CN"/>
        </w:rPr>
        <w:t>在农业农村部减抗试点评价标准基础上，建立健全养殖减抗评价指标体系，组织开展减抗成效评价工作</w:t>
      </w:r>
      <w:r>
        <w:rPr>
          <w:rFonts w:hint="eastAsia" w:ascii="仿宋_GB2312" w:hAnsi="仿宋_GB2312" w:eastAsia="仿宋_GB2312" w:cs="仿宋_GB2312"/>
          <w:snapToGrid w:val="0"/>
          <w:color w:val="auto"/>
          <w:kern w:val="0"/>
          <w:sz w:val="32"/>
          <w:szCs w:val="32"/>
          <w:u w:val="none"/>
          <w:lang w:val="en-US" w:eastAsia="zh-CN"/>
        </w:rPr>
        <w:t>，发布达标养殖场（户）名单，</w:t>
      </w:r>
      <w:r>
        <w:rPr>
          <w:rFonts w:hint="eastAsia" w:ascii="仿宋_GB2312" w:hAnsi="仿宋_GB2312" w:eastAsia="仿宋_GB2312" w:cs="仿宋_GB2312"/>
          <w:snapToGrid w:val="0"/>
          <w:color w:val="auto"/>
          <w:kern w:val="0"/>
          <w:sz w:val="32"/>
          <w:szCs w:val="32"/>
          <w:lang w:val="en-US" w:eastAsia="zh-CN"/>
        </w:rPr>
        <w:t>并作为创建国家级畜禽标准化示范场的重要参考。</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11.推广养殖减抗典型模式。</w:t>
      </w:r>
      <w:r>
        <w:rPr>
          <w:rFonts w:hint="eastAsia" w:ascii="仿宋_GB2312" w:hAnsi="仿宋_GB2312" w:eastAsia="仿宋_GB2312" w:cs="仿宋_GB2312"/>
          <w:snapToGrid w:val="0"/>
          <w:color w:val="auto"/>
          <w:kern w:val="0"/>
          <w:sz w:val="32"/>
          <w:szCs w:val="32"/>
          <w:lang w:val="en-US" w:eastAsia="zh-CN"/>
        </w:rPr>
        <w:t>及时总结提炼不同畜禽品种养殖减抗经验做法，遴选一批养殖场（户）减抗典型案例，以多种方式宣传推介，充分发挥示范引领作用。</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12.开展养殖减抗先进县评选。</w:t>
      </w:r>
      <w:r>
        <w:rPr>
          <w:rFonts w:hint="eastAsia" w:ascii="仿宋_GB2312" w:hAnsi="仿宋_GB2312" w:eastAsia="仿宋_GB2312" w:cs="仿宋_GB2312"/>
          <w:snapToGrid w:val="0"/>
          <w:color w:val="auto"/>
          <w:kern w:val="0"/>
          <w:sz w:val="32"/>
          <w:szCs w:val="32"/>
          <w:lang w:val="en-US" w:eastAsia="zh-CN"/>
        </w:rPr>
        <w:t>鼓励有条件的地方按照本方案要求，整县、整乡（镇）开展减抗工作，并对推进工作较好、完成质量较高的地方或养殖场，给予适当奖励。农业农村部将对工作开展有力、养殖减抗效果突出的县（市、区）给予通报表扬，并在媒体公布宣传。</w:t>
      </w:r>
    </w:p>
    <w:p>
      <w:pPr>
        <w:keepNext w:val="0"/>
        <w:keepLines w:val="0"/>
        <w:pageBreakBefore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 w:val="0"/>
          <w:bCs/>
          <w:i w:val="0"/>
          <w:caps w:val="0"/>
          <w:color w:val="auto"/>
          <w:spacing w:val="0"/>
          <w:kern w:val="0"/>
          <w:sz w:val="32"/>
          <w:szCs w:val="32"/>
          <w:shd w:val="clear" w:color="auto" w:fill="auto"/>
        </w:rPr>
      </w:pPr>
      <w:r>
        <w:rPr>
          <w:rFonts w:hint="eastAsia" w:ascii="黑体" w:hAnsi="黑体" w:eastAsia="黑体" w:cs="黑体"/>
          <w:b w:val="0"/>
          <w:bCs/>
          <w:color w:val="auto"/>
          <w:kern w:val="0"/>
          <w:sz w:val="32"/>
          <w:szCs w:val="32"/>
          <w:lang w:val="en-US" w:eastAsia="zh-CN"/>
        </w:rPr>
        <w:t>三、实施要求</w:t>
      </w:r>
    </w:p>
    <w:p>
      <w:pPr>
        <w:keepNext w:val="0"/>
        <w:keepLines w:val="0"/>
        <w:pageBreakBefore w:val="0"/>
        <w:kinsoku/>
        <w:wordWrap/>
        <w:overflowPunct/>
        <w:topLinePunct w:val="0"/>
        <w:autoSpaceDE/>
        <w:autoSpaceDN/>
        <w:bidi w:val="0"/>
        <w:adjustRightInd w:val="0"/>
        <w:snapToGrid w:val="0"/>
        <w:spacing w:line="590" w:lineRule="exact"/>
        <w:ind w:firstLine="640" w:firstLineChars="200"/>
        <w:jc w:val="left"/>
        <w:textAlignment w:val="auto"/>
        <w:rPr>
          <w:rFonts w:hint="eastAsia" w:ascii="楷体_GB2312" w:hAnsi="楷体_GB2312" w:eastAsia="楷体_GB2312" w:cs="楷体_GB2312"/>
          <w:b w:val="0"/>
          <w:bCs w:val="0"/>
          <w:i w:val="0"/>
          <w:caps w:val="0"/>
          <w:snapToGrid w:val="0"/>
          <w:color w:val="auto"/>
          <w:spacing w:val="0"/>
          <w:kern w:val="0"/>
          <w:sz w:val="32"/>
          <w:szCs w:val="32"/>
          <w:shd w:val="clear" w:color="auto" w:fill="auto"/>
          <w:lang w:val="en-US" w:eastAsia="zh-CN"/>
        </w:rPr>
      </w:pPr>
      <w:r>
        <w:rPr>
          <w:rFonts w:hint="eastAsia" w:ascii="楷体_GB2312" w:hAnsi="楷体_GB2312" w:eastAsia="楷体_GB2312" w:cs="楷体_GB2312"/>
          <w:b w:val="0"/>
          <w:bCs w:val="0"/>
          <w:i w:val="0"/>
          <w:caps w:val="0"/>
          <w:snapToGrid w:val="0"/>
          <w:color w:val="auto"/>
          <w:spacing w:val="0"/>
          <w:kern w:val="0"/>
          <w:sz w:val="32"/>
          <w:szCs w:val="32"/>
          <w:shd w:val="clear" w:color="auto" w:fill="auto"/>
          <w:lang w:val="en-US" w:eastAsia="zh-CN"/>
        </w:rPr>
        <w:t>（一）任务分工</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b w:val="0"/>
          <w:bCs w:val="0"/>
          <w:snapToGrid w:val="0"/>
          <w:color w:val="auto"/>
          <w:kern w:val="0"/>
          <w:sz w:val="32"/>
          <w:szCs w:val="32"/>
          <w:u w:val="none"/>
          <w:lang w:val="en-US" w:eastAsia="zh-CN"/>
        </w:rPr>
      </w:pPr>
      <w:r>
        <w:rPr>
          <w:rFonts w:hint="eastAsia" w:ascii="仿宋_GB2312" w:hAnsi="仿宋_GB2312" w:eastAsia="仿宋_GB2312" w:cs="仿宋_GB2312"/>
          <w:b w:val="0"/>
          <w:bCs w:val="0"/>
          <w:snapToGrid w:val="0"/>
          <w:color w:val="auto"/>
          <w:kern w:val="0"/>
          <w:sz w:val="32"/>
          <w:szCs w:val="32"/>
          <w:u w:val="none"/>
          <w:lang w:val="en-US" w:eastAsia="zh-CN"/>
        </w:rPr>
        <w:t>省农业农村厅负责全省减抗行动协调和指导工作，组织制定养殖减抗效果评价方法和标准（另行发布），开展养殖减抗效果评价，并公布</w:t>
      </w:r>
      <w:r>
        <w:rPr>
          <w:rFonts w:hint="eastAsia" w:ascii="仿宋_GB2312" w:hAnsi="仿宋_GB2312" w:eastAsia="仿宋_GB2312" w:cs="仿宋_GB2312"/>
          <w:b w:val="0"/>
          <w:bCs w:val="0"/>
          <w:snapToGrid w:val="0"/>
          <w:color w:val="auto"/>
          <w:kern w:val="0"/>
          <w:sz w:val="32"/>
          <w:szCs w:val="32"/>
          <w:highlight w:val="none"/>
          <w:u w:val="none"/>
          <w:lang w:val="en-US" w:eastAsia="zh-CN"/>
        </w:rPr>
        <w:t>减抗达标</w:t>
      </w:r>
      <w:r>
        <w:rPr>
          <w:rFonts w:hint="eastAsia" w:ascii="仿宋_GB2312" w:hAnsi="仿宋_GB2312" w:eastAsia="仿宋_GB2312" w:cs="仿宋_GB2312"/>
          <w:b w:val="0"/>
          <w:bCs w:val="0"/>
          <w:snapToGrid w:val="0"/>
          <w:color w:val="auto"/>
          <w:kern w:val="0"/>
          <w:sz w:val="32"/>
          <w:szCs w:val="32"/>
          <w:u w:val="none"/>
          <w:lang w:val="en-US" w:eastAsia="zh-CN"/>
        </w:rPr>
        <w:t>养殖场（户）名单。</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b w:val="0"/>
          <w:bCs w:val="0"/>
          <w:snapToGrid w:val="0"/>
          <w:color w:val="auto"/>
          <w:kern w:val="0"/>
          <w:sz w:val="32"/>
          <w:szCs w:val="32"/>
          <w:u w:val="none"/>
          <w:lang w:val="en-US" w:eastAsia="zh-CN"/>
        </w:rPr>
      </w:pPr>
      <w:r>
        <w:rPr>
          <w:rFonts w:hint="eastAsia" w:ascii="仿宋_GB2312" w:hAnsi="仿宋_GB2312" w:eastAsia="仿宋_GB2312" w:cs="仿宋_GB2312"/>
          <w:b w:val="0"/>
          <w:bCs w:val="0"/>
          <w:snapToGrid w:val="0"/>
          <w:color w:val="auto"/>
          <w:kern w:val="0"/>
          <w:sz w:val="32"/>
          <w:szCs w:val="32"/>
          <w:u w:val="none"/>
          <w:lang w:val="en-US" w:eastAsia="zh-CN"/>
        </w:rPr>
        <w:t>各地农业农村部门负责组织辖区内养殖减抗工作，结合本地实际，制定本辖区内减抗行动方案，以规模养殖场为单元建立台账，明确具体责任人、联络人，并推荐养殖场（户）参加省级养殖减抗效果评价。</w:t>
      </w:r>
    </w:p>
    <w:p>
      <w:pPr>
        <w:keepNext w:val="0"/>
        <w:keepLines w:val="0"/>
        <w:pageBreakBefore w:val="0"/>
        <w:kinsoku/>
        <w:wordWrap/>
        <w:overflowPunct/>
        <w:topLinePunct w:val="0"/>
        <w:autoSpaceDE/>
        <w:autoSpaceDN/>
        <w:bidi w:val="0"/>
        <w:adjustRightInd w:val="0"/>
        <w:snapToGrid w:val="0"/>
        <w:spacing w:line="590" w:lineRule="exact"/>
        <w:ind w:firstLine="640" w:firstLineChars="200"/>
        <w:jc w:val="left"/>
        <w:textAlignment w:val="auto"/>
        <w:rPr>
          <w:rFonts w:hint="eastAsia" w:ascii="楷体_GB2312" w:hAnsi="楷体_GB2312" w:eastAsia="楷体_GB2312" w:cs="楷体_GB2312"/>
          <w:b w:val="0"/>
          <w:bCs w:val="0"/>
          <w:i w:val="0"/>
          <w:caps w:val="0"/>
          <w:snapToGrid w:val="0"/>
          <w:color w:val="auto"/>
          <w:spacing w:val="0"/>
          <w:kern w:val="0"/>
          <w:sz w:val="32"/>
          <w:szCs w:val="32"/>
          <w:shd w:val="clear" w:color="auto" w:fill="auto"/>
          <w:lang w:val="en-US" w:eastAsia="zh-CN"/>
        </w:rPr>
      </w:pPr>
      <w:r>
        <w:rPr>
          <w:rFonts w:hint="eastAsia" w:ascii="楷体_GB2312" w:hAnsi="楷体_GB2312" w:eastAsia="楷体_GB2312" w:cs="楷体_GB2312"/>
          <w:b w:val="0"/>
          <w:bCs w:val="0"/>
          <w:i w:val="0"/>
          <w:caps w:val="0"/>
          <w:snapToGrid w:val="0"/>
          <w:color w:val="auto"/>
          <w:spacing w:val="0"/>
          <w:kern w:val="0"/>
          <w:sz w:val="32"/>
          <w:szCs w:val="32"/>
          <w:shd w:val="clear" w:color="auto" w:fill="auto"/>
          <w:lang w:eastAsia="zh-CN"/>
        </w:rPr>
        <w:t>（</w:t>
      </w:r>
      <w:r>
        <w:rPr>
          <w:rFonts w:hint="eastAsia" w:ascii="楷体_GB2312" w:hAnsi="楷体_GB2312" w:eastAsia="楷体_GB2312" w:cs="楷体_GB2312"/>
          <w:b w:val="0"/>
          <w:bCs w:val="0"/>
          <w:i w:val="0"/>
          <w:caps w:val="0"/>
          <w:snapToGrid w:val="0"/>
          <w:color w:val="auto"/>
          <w:spacing w:val="0"/>
          <w:kern w:val="0"/>
          <w:sz w:val="32"/>
          <w:szCs w:val="32"/>
          <w:shd w:val="clear" w:color="auto" w:fill="auto"/>
          <w:lang w:val="en-US" w:eastAsia="zh-CN"/>
        </w:rPr>
        <w:t>二</w:t>
      </w:r>
      <w:r>
        <w:rPr>
          <w:rFonts w:hint="eastAsia" w:ascii="楷体_GB2312" w:hAnsi="楷体_GB2312" w:eastAsia="楷体_GB2312" w:cs="楷体_GB2312"/>
          <w:b w:val="0"/>
          <w:bCs w:val="0"/>
          <w:i w:val="0"/>
          <w:caps w:val="0"/>
          <w:snapToGrid w:val="0"/>
          <w:color w:val="auto"/>
          <w:spacing w:val="0"/>
          <w:kern w:val="0"/>
          <w:sz w:val="32"/>
          <w:szCs w:val="32"/>
          <w:shd w:val="clear" w:color="auto" w:fill="auto"/>
          <w:lang w:eastAsia="zh-CN"/>
        </w:rPr>
        <w:t>）</w:t>
      </w:r>
      <w:r>
        <w:rPr>
          <w:rFonts w:hint="eastAsia" w:ascii="楷体_GB2312" w:hAnsi="楷体_GB2312" w:eastAsia="楷体_GB2312" w:cs="楷体_GB2312"/>
          <w:b w:val="0"/>
          <w:bCs w:val="0"/>
          <w:i w:val="0"/>
          <w:caps w:val="0"/>
          <w:snapToGrid w:val="0"/>
          <w:color w:val="auto"/>
          <w:spacing w:val="0"/>
          <w:kern w:val="0"/>
          <w:sz w:val="32"/>
          <w:szCs w:val="32"/>
          <w:shd w:val="clear" w:color="auto" w:fill="auto"/>
          <w:lang w:val="en-US" w:eastAsia="zh-CN"/>
        </w:rPr>
        <w:t>组织实施</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b w:val="0"/>
          <w:bCs w:val="0"/>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bidi="ar-SA"/>
        </w:rPr>
        <w:t>2021年11月，启动全省兽用抗菌药使用减量化行动方案制定工作，2022年1月，省农业农村厅印发</w:t>
      </w:r>
      <w:r>
        <w:rPr>
          <w:rFonts w:hint="eastAsia" w:ascii="仿宋_GB2312" w:hAnsi="仿宋_GB2312" w:eastAsia="仿宋_GB2312" w:cs="仿宋_GB2312"/>
          <w:snapToGrid w:val="0"/>
          <w:color w:val="auto"/>
          <w:kern w:val="0"/>
          <w:sz w:val="32"/>
          <w:szCs w:val="32"/>
          <w:lang w:val="en-US" w:eastAsia="zh-CN"/>
        </w:rPr>
        <w:t>减抗行动实施方案，</w:t>
      </w:r>
      <w:r>
        <w:rPr>
          <w:rFonts w:hint="eastAsia" w:ascii="仿宋_GB2312" w:hAnsi="仿宋_GB2312" w:eastAsia="仿宋_GB2312" w:cs="仿宋_GB2312"/>
          <w:b w:val="0"/>
          <w:bCs w:val="0"/>
          <w:snapToGrid w:val="0"/>
          <w:color w:val="auto"/>
          <w:kern w:val="0"/>
          <w:sz w:val="32"/>
          <w:szCs w:val="32"/>
          <w:lang w:val="en-US" w:eastAsia="zh-CN"/>
        </w:rPr>
        <w:t>在全省实施。各地制定具体工作方案，并于</w:t>
      </w:r>
      <w:r>
        <w:rPr>
          <w:rFonts w:hint="eastAsia" w:ascii="仿宋_GB2312" w:hAnsi="仿宋_GB2312" w:eastAsia="仿宋_GB2312" w:cs="仿宋_GB2312"/>
          <w:b w:val="0"/>
          <w:bCs w:val="0"/>
          <w:snapToGrid w:val="0"/>
          <w:color w:val="auto"/>
          <w:kern w:val="0"/>
          <w:sz w:val="32"/>
          <w:szCs w:val="32"/>
          <w:lang w:val="en-US" w:eastAsia="zh-CN" w:bidi="ar-SA"/>
        </w:rPr>
        <w:t>2022年2月2</w:t>
      </w:r>
      <w:r>
        <w:rPr>
          <w:rFonts w:hint="default" w:ascii="仿宋_GB2312" w:hAnsi="仿宋_GB2312" w:eastAsia="仿宋_GB2312" w:cs="仿宋_GB2312"/>
          <w:b w:val="0"/>
          <w:bCs w:val="0"/>
          <w:snapToGrid w:val="0"/>
          <w:color w:val="auto"/>
          <w:kern w:val="0"/>
          <w:sz w:val="32"/>
          <w:szCs w:val="32"/>
          <w:lang w:val="en" w:eastAsia="zh-CN" w:bidi="ar-SA"/>
        </w:rPr>
        <w:t>8</w:t>
      </w:r>
      <w:r>
        <w:rPr>
          <w:rFonts w:hint="eastAsia" w:ascii="仿宋_GB2312" w:hAnsi="仿宋_GB2312" w:eastAsia="仿宋_GB2312" w:cs="仿宋_GB2312"/>
          <w:b w:val="0"/>
          <w:bCs w:val="0"/>
          <w:snapToGrid w:val="0"/>
          <w:color w:val="auto"/>
          <w:kern w:val="0"/>
          <w:sz w:val="32"/>
          <w:szCs w:val="32"/>
          <w:lang w:val="en-US" w:eastAsia="zh-CN" w:bidi="ar-SA"/>
        </w:rPr>
        <w:t>日前报省农业农村厅（兽医与屠宰管理处）。</w:t>
      </w:r>
    </w:p>
    <w:p>
      <w:pPr>
        <w:keepNext w:val="0"/>
        <w:keepLines w:val="0"/>
        <w:pageBreakBefore w:val="0"/>
        <w:kinsoku/>
        <w:wordWrap/>
        <w:overflowPunct/>
        <w:topLinePunct w:val="0"/>
        <w:autoSpaceDE/>
        <w:autoSpaceDN/>
        <w:bidi w:val="0"/>
        <w:adjustRightInd w:val="0"/>
        <w:snapToGrid w:val="0"/>
        <w:spacing w:line="568" w:lineRule="exact"/>
        <w:ind w:firstLine="640" w:firstLineChars="200"/>
        <w:textAlignment w:val="auto"/>
        <w:rPr>
          <w:rFonts w:hint="default" w:ascii="仿宋_GB2312" w:hAnsi="仿宋_GB2312" w:eastAsia="仿宋_GB2312" w:cs="仿宋_GB2312"/>
          <w:b w:val="0"/>
          <w:bCs w:val="0"/>
          <w:snapToGrid w:val="0"/>
          <w:color w:val="auto"/>
          <w:kern w:val="0"/>
          <w:sz w:val="32"/>
          <w:szCs w:val="32"/>
          <w:highlight w:val="yellow"/>
          <w:u w:val="none"/>
          <w:lang w:val="en-US" w:eastAsia="zh-CN"/>
        </w:rPr>
      </w:pPr>
      <w:r>
        <w:rPr>
          <w:rFonts w:hint="eastAsia" w:ascii="仿宋_GB2312" w:hAnsi="仿宋_GB2312" w:eastAsia="仿宋_GB2312" w:cs="仿宋_GB2312"/>
          <w:b w:val="0"/>
          <w:bCs w:val="0"/>
          <w:snapToGrid w:val="0"/>
          <w:color w:val="auto"/>
          <w:kern w:val="0"/>
          <w:sz w:val="32"/>
          <w:szCs w:val="32"/>
          <w:u w:val="none"/>
          <w:lang w:val="en-US" w:eastAsia="zh-CN"/>
        </w:rPr>
        <w:t>各地按照本方案有序推进减抗行动工作，每年3月前确定减抗行动实施对象，组织养殖场填写《兽用抗菌药使用减量化行动报名表》（附件4），并向省农业农村厅报送参加减抗行动养殖场汇总表（附件5）。</w:t>
      </w:r>
      <w:r>
        <w:rPr>
          <w:rFonts w:hint="eastAsia" w:ascii="仿宋_GB2312" w:hAnsi="仿宋_GB2312" w:eastAsia="仿宋_GB2312" w:cs="仿宋_GB2312"/>
          <w:b w:val="0"/>
          <w:bCs w:val="0"/>
          <w:snapToGrid w:val="0"/>
          <w:color w:val="auto"/>
          <w:kern w:val="0"/>
          <w:sz w:val="32"/>
          <w:szCs w:val="32"/>
          <w:highlight w:val="none"/>
          <w:u w:val="none"/>
          <w:lang w:val="en-US" w:eastAsia="zh-CN"/>
        </w:rPr>
        <w:t>每年11月底前将畜禽养殖减抗工作实施进展情况及兽用抗菌药使用减量化行动进度表（附件6）报</w:t>
      </w:r>
      <w:r>
        <w:rPr>
          <w:rFonts w:hint="eastAsia" w:ascii="仿宋_GB2312" w:hAnsi="仿宋_GB2312" w:eastAsia="仿宋_GB2312" w:cs="仿宋_GB2312"/>
          <w:b w:val="0"/>
          <w:bCs w:val="0"/>
          <w:snapToGrid w:val="0"/>
          <w:color w:val="auto"/>
          <w:kern w:val="0"/>
          <w:sz w:val="32"/>
          <w:szCs w:val="32"/>
          <w:lang w:val="en-US" w:eastAsia="zh-CN" w:bidi="ar-SA"/>
        </w:rPr>
        <w:t>省农业农村</w:t>
      </w:r>
      <w:r>
        <w:rPr>
          <w:rFonts w:hint="eastAsia" w:ascii="仿宋_GB2312" w:hAnsi="仿宋_GB2312" w:eastAsia="仿宋_GB2312" w:cs="仿宋_GB2312"/>
          <w:b w:val="0"/>
          <w:bCs w:val="0"/>
          <w:snapToGrid w:val="0"/>
          <w:color w:val="auto"/>
          <w:kern w:val="0"/>
          <w:sz w:val="32"/>
          <w:szCs w:val="32"/>
          <w:highlight w:val="none"/>
          <w:u w:val="none"/>
          <w:lang w:val="en-US" w:eastAsia="zh-CN"/>
        </w:rPr>
        <w:t>厅（兽医与屠宰管理处）。</w:t>
      </w:r>
    </w:p>
    <w:p>
      <w:pPr>
        <w:widowControl w:val="0"/>
        <w:adjustRightInd w:val="0"/>
        <w:snapToGrid w:val="0"/>
        <w:spacing w:line="568" w:lineRule="exact"/>
        <w:ind w:firstLine="632"/>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bidi="ar-SA"/>
        </w:rPr>
        <w:t>四、保障措施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8"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caps w:val="0"/>
          <w:snapToGrid w:val="0"/>
          <w:color w:val="auto"/>
          <w:spacing w:val="0"/>
          <w:sz w:val="32"/>
          <w:szCs w:val="32"/>
          <w:shd w:val="clear" w:color="auto" w:fill="auto"/>
          <w:lang w:bidi="ar-SA"/>
        </w:rPr>
        <w:t>（一）</w:t>
      </w:r>
      <w:r>
        <w:rPr>
          <w:rFonts w:hint="eastAsia" w:ascii="楷体_GB2312" w:hAnsi="楷体_GB2312" w:eastAsia="楷体_GB2312" w:cs="楷体_GB2312"/>
          <w:b w:val="0"/>
          <w:bCs w:val="0"/>
          <w:i w:val="0"/>
          <w:caps w:val="0"/>
          <w:snapToGrid w:val="0"/>
          <w:color w:val="auto"/>
          <w:spacing w:val="0"/>
          <w:sz w:val="32"/>
          <w:szCs w:val="32"/>
          <w:shd w:val="clear" w:color="auto" w:fill="auto"/>
          <w:lang w:val="en-US" w:eastAsia="zh-CN" w:bidi="ar-SA"/>
        </w:rPr>
        <w:t>加强</w:t>
      </w:r>
      <w:r>
        <w:rPr>
          <w:rFonts w:hint="eastAsia" w:ascii="楷体_GB2312" w:hAnsi="楷体_GB2312" w:eastAsia="楷体_GB2312" w:cs="楷体_GB2312"/>
          <w:b w:val="0"/>
          <w:bCs w:val="0"/>
          <w:i w:val="0"/>
          <w:caps w:val="0"/>
          <w:snapToGrid w:val="0"/>
          <w:color w:val="auto"/>
          <w:spacing w:val="0"/>
          <w:sz w:val="32"/>
          <w:szCs w:val="32"/>
          <w:shd w:val="clear" w:color="auto" w:fill="auto"/>
          <w:lang w:bidi="ar-SA"/>
        </w:rPr>
        <w:t>组织领导。</w:t>
      </w:r>
      <w:r>
        <w:rPr>
          <w:rFonts w:hint="eastAsia" w:ascii="仿宋_GB2312" w:hAnsi="仿宋_GB2312" w:eastAsia="仿宋_GB2312" w:cs="仿宋_GB2312"/>
          <w:snapToGrid w:val="0"/>
          <w:color w:val="auto"/>
          <w:kern w:val="0"/>
          <w:sz w:val="32"/>
          <w:szCs w:val="32"/>
          <w:lang w:val="en-US" w:eastAsia="zh-CN" w:bidi="ar-SA"/>
        </w:rPr>
        <w:t>各地要高度重视，切实加强组织领导，把开展减抗行动摆在重要位置，加强组织协调、技术指导，并集合资源、集成技术、集聚力量，统筹推进各项政策措施落实落地。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8" w:lineRule="exact"/>
        <w:ind w:left="0" w:right="0" w:firstLine="640"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楷体_GB2312" w:hAnsi="楷体_GB2312" w:eastAsia="楷体_GB2312" w:cs="楷体_GB2312"/>
          <w:b w:val="0"/>
          <w:bCs w:val="0"/>
          <w:i w:val="0"/>
          <w:caps w:val="0"/>
          <w:snapToGrid w:val="0"/>
          <w:color w:val="auto"/>
          <w:spacing w:val="0"/>
          <w:sz w:val="32"/>
          <w:szCs w:val="32"/>
          <w:shd w:val="clear" w:color="auto" w:fill="auto"/>
          <w:lang w:val="en-US" w:eastAsia="zh-CN" w:bidi="ar-SA"/>
        </w:rPr>
        <w:t>（二）加大政策支持。</w:t>
      </w:r>
      <w:r>
        <w:rPr>
          <w:rFonts w:hint="eastAsia" w:ascii="仿宋_GB2312" w:hAnsi="仿宋_GB2312" w:eastAsia="仿宋_GB2312" w:cs="仿宋_GB2312"/>
          <w:snapToGrid w:val="0"/>
          <w:color w:val="auto"/>
          <w:kern w:val="0"/>
          <w:sz w:val="32"/>
          <w:szCs w:val="32"/>
          <w:lang w:val="en-US" w:eastAsia="zh-CN" w:bidi="ar-SA"/>
        </w:rPr>
        <w:t>各地要积极争取发展改革、财政、科技等部门支持，加大对减抗行动相关重点任务的支持力度，确保各项措施落地见效。有条件的地方，推动建立实施兽用中药等兽用抗菌药替代产品补贴制度。在涉农项目申请等方面，对减抗达标养殖场（户）给予政策倾斜。</w:t>
      </w:r>
    </w:p>
    <w:p>
      <w:pPr>
        <w:keepNext w:val="0"/>
        <w:keepLines w:val="0"/>
        <w:pageBreakBefore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楷体_GB2312" w:hAnsi="楷体_GB2312" w:eastAsia="楷体_GB2312" w:cs="楷体_GB2312"/>
          <w:b w:val="0"/>
          <w:bCs w:val="0"/>
          <w:i w:val="0"/>
          <w:caps w:val="0"/>
          <w:snapToGrid w:val="0"/>
          <w:color w:val="auto"/>
          <w:spacing w:val="0"/>
          <w:kern w:val="0"/>
          <w:sz w:val="32"/>
          <w:szCs w:val="32"/>
          <w:shd w:val="clear" w:color="auto" w:fill="auto"/>
          <w:lang w:val="en-US" w:eastAsia="zh-CN" w:bidi="ar"/>
        </w:rPr>
        <w:t>（三）强化监督考核。</w:t>
      </w:r>
      <w:r>
        <w:rPr>
          <w:rFonts w:hint="eastAsia" w:ascii="仿宋_GB2312" w:hAnsi="仿宋_GB2312" w:eastAsia="仿宋_GB2312" w:cs="仿宋_GB2312"/>
          <w:snapToGrid w:val="0"/>
          <w:color w:val="auto"/>
          <w:kern w:val="0"/>
          <w:sz w:val="32"/>
          <w:szCs w:val="32"/>
          <w:highlight w:val="none"/>
          <w:u w:val="none"/>
          <w:lang w:val="en-US" w:eastAsia="zh-CN" w:bidi="ar-SA"/>
        </w:rPr>
        <w:t>各地要强化减抗行动工作的监督检查，并</w:t>
      </w:r>
      <w:r>
        <w:rPr>
          <w:rFonts w:hint="eastAsia" w:ascii="仿宋_GB2312" w:hAnsi="仿宋_GB2312" w:eastAsia="仿宋_GB2312" w:cs="仿宋_GB2312"/>
          <w:snapToGrid w:val="0"/>
          <w:color w:val="auto"/>
          <w:kern w:val="0"/>
          <w:sz w:val="32"/>
          <w:szCs w:val="32"/>
          <w:lang w:val="en-US" w:eastAsia="zh-CN" w:bidi="ar-SA"/>
        </w:rPr>
        <w:t>对达标养殖场</w:t>
      </w:r>
      <w:r>
        <w:rPr>
          <w:rFonts w:hint="eastAsia" w:ascii="仿宋_GB2312" w:hAnsi="仿宋_GB2312" w:eastAsia="仿宋_GB2312" w:cs="仿宋_GB2312"/>
          <w:snapToGrid w:val="0"/>
          <w:color w:val="auto"/>
          <w:kern w:val="0"/>
          <w:sz w:val="32"/>
          <w:szCs w:val="32"/>
          <w:lang w:val="en-US" w:eastAsia="zh-CN"/>
        </w:rPr>
        <w:t>（户）</w:t>
      </w:r>
      <w:r>
        <w:rPr>
          <w:rFonts w:hint="eastAsia" w:ascii="仿宋_GB2312" w:hAnsi="仿宋_GB2312" w:eastAsia="仿宋_GB2312" w:cs="仿宋_GB2312"/>
          <w:snapToGrid w:val="0"/>
          <w:color w:val="auto"/>
          <w:kern w:val="0"/>
          <w:sz w:val="32"/>
          <w:szCs w:val="32"/>
          <w:lang w:val="en-US" w:eastAsia="zh-CN" w:bidi="ar-SA"/>
        </w:rPr>
        <w:t>实行动态管理。</w:t>
      </w:r>
      <w:r>
        <w:rPr>
          <w:rFonts w:hint="eastAsia" w:ascii="仿宋_GB2312" w:hAnsi="仿宋_GB2312" w:eastAsia="仿宋_GB2312" w:cs="仿宋_GB2312"/>
          <w:snapToGrid w:val="0"/>
          <w:color w:val="auto"/>
          <w:kern w:val="0"/>
          <w:sz w:val="32"/>
          <w:szCs w:val="32"/>
          <w:lang w:val="en-US" w:eastAsia="zh-CN"/>
        </w:rPr>
        <w:t>将兽用抗菌药使用减量工作情况纳入食品安全工作评议考核，并作为全省农产品质量安全县创建的重要指标。</w:t>
      </w:r>
    </w:p>
    <w:p>
      <w:pPr>
        <w:keepNext w:val="0"/>
        <w:keepLines w:val="0"/>
        <w:pageBreakBefore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p>
    <w:p>
      <w:pPr>
        <w:keepNext w:val="0"/>
        <w:keepLines w:val="0"/>
        <w:pageBreakBefore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附件：1.兽用抗菌药使用减量化指导原则</w:t>
      </w:r>
    </w:p>
    <w:p>
      <w:pPr>
        <w:keepNext w:val="0"/>
        <w:keepLines w:val="0"/>
        <w:pageBreakBefore w:val="0"/>
        <w:kinsoku/>
        <w:wordWrap/>
        <w:overflowPunct/>
        <w:topLinePunct w:val="0"/>
        <w:autoSpaceDE/>
        <w:autoSpaceDN/>
        <w:bidi w:val="0"/>
        <w:adjustRightInd w:val="0"/>
        <w:snapToGrid w:val="0"/>
        <w:spacing w:line="568" w:lineRule="exact"/>
        <w:ind w:firstLine="640"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 xml:space="preserve">      2.广东省兽用抗菌药使用减量化行动实施领导小组</w:t>
      </w:r>
    </w:p>
    <w:p>
      <w:pPr>
        <w:keepNext w:val="0"/>
        <w:keepLines w:val="0"/>
        <w:pageBreakBefore w:val="0"/>
        <w:kinsoku/>
        <w:wordWrap/>
        <w:overflowPunct/>
        <w:topLinePunct w:val="0"/>
        <w:autoSpaceDE/>
        <w:autoSpaceDN/>
        <w:bidi w:val="0"/>
        <w:adjustRightInd w:val="0"/>
        <w:snapToGrid w:val="0"/>
        <w:spacing w:line="568" w:lineRule="exact"/>
        <w:ind w:firstLine="1920" w:firstLineChars="6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人员名单</w:t>
      </w:r>
    </w:p>
    <w:p>
      <w:pPr>
        <w:keepNext w:val="0"/>
        <w:keepLines w:val="0"/>
        <w:pageBreakBefore w:val="0"/>
        <w:kinsoku/>
        <w:wordWrap/>
        <w:overflowPunct/>
        <w:topLinePunct w:val="0"/>
        <w:autoSpaceDE/>
        <w:autoSpaceDN/>
        <w:bidi w:val="0"/>
        <w:adjustRightInd w:val="0"/>
        <w:snapToGrid w:val="0"/>
        <w:spacing w:line="568" w:lineRule="exact"/>
        <w:ind w:firstLine="0" w:firstLineChars="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bidi="ar-SA"/>
        </w:rPr>
        <w:t xml:space="preserve">       </w:t>
      </w:r>
      <w:r>
        <w:rPr>
          <w:rFonts w:hint="eastAsia" w:ascii="仿宋_GB2312" w:hAnsi="仿宋_GB2312" w:eastAsia="仿宋_GB2312" w:cs="仿宋_GB2312"/>
          <w:snapToGrid w:val="0"/>
          <w:color w:val="auto"/>
          <w:kern w:val="0"/>
          <w:sz w:val="28"/>
          <w:szCs w:val="28"/>
          <w:lang w:val="en-US" w:eastAsia="zh-CN" w:bidi="ar-SA"/>
        </w:rPr>
        <w:t xml:space="preserve">   </w:t>
      </w:r>
      <w:r>
        <w:rPr>
          <w:rFonts w:hint="eastAsia" w:ascii="仿宋_GB2312" w:hAnsi="仿宋_GB2312" w:eastAsia="仿宋_GB2312" w:cs="仿宋_GB2312"/>
          <w:snapToGrid w:val="0"/>
          <w:color w:val="auto"/>
          <w:kern w:val="0"/>
          <w:sz w:val="32"/>
          <w:szCs w:val="32"/>
          <w:lang w:val="en-US" w:eastAsia="zh-CN" w:bidi="ar-SA"/>
        </w:rPr>
        <w:t>3.广东省兽用抗菌药使用减量化行动</w:t>
      </w:r>
      <w:r>
        <w:rPr>
          <w:rFonts w:hint="eastAsia" w:ascii="仿宋_GB2312" w:hAnsi="仿宋_GB2312" w:eastAsia="仿宋_GB2312" w:cs="仿宋_GB2312"/>
          <w:color w:val="auto"/>
          <w:kern w:val="0"/>
          <w:sz w:val="32"/>
          <w:szCs w:val="32"/>
          <w:lang w:val="en-US" w:eastAsia="zh-CN"/>
        </w:rPr>
        <w:t>技术指导组</w:t>
      </w:r>
    </w:p>
    <w:p>
      <w:pPr>
        <w:keepNext w:val="0"/>
        <w:keepLines w:val="0"/>
        <w:pageBreakBefore w:val="0"/>
        <w:kinsoku/>
        <w:wordWrap/>
        <w:overflowPunct/>
        <w:topLinePunct w:val="0"/>
        <w:autoSpaceDE/>
        <w:autoSpaceDN/>
        <w:bidi w:val="0"/>
        <w:adjustRightInd w:val="0"/>
        <w:snapToGrid w:val="0"/>
        <w:spacing w:line="568" w:lineRule="exact"/>
        <w:ind w:firstLine="1859" w:firstLineChars="581"/>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人员名单</w:t>
      </w:r>
    </w:p>
    <w:p>
      <w:pPr>
        <w:keepNext w:val="0"/>
        <w:keepLines w:val="0"/>
        <w:pageBreakBefore w:val="0"/>
        <w:kinsoku/>
        <w:wordWrap/>
        <w:overflowPunct/>
        <w:topLinePunct w:val="0"/>
        <w:autoSpaceDE/>
        <w:autoSpaceDN/>
        <w:bidi w:val="0"/>
        <w:adjustRightInd w:val="0"/>
        <w:snapToGrid w:val="0"/>
        <w:spacing w:line="590" w:lineRule="exact"/>
        <w:ind w:firstLine="1600" w:firstLineChars="500"/>
        <w:jc w:val="both"/>
        <w:textAlignment w:val="auto"/>
        <w:rPr>
          <w:rFonts w:hint="default" w:ascii="仿宋_GB2312" w:hAnsi="仿宋_GB2312" w:eastAsia="仿宋_GB2312" w:cs="仿宋_GB2312"/>
          <w:snapToGrid w:val="0"/>
          <w:color w:val="auto"/>
          <w:kern w:val="0"/>
          <w:sz w:val="32"/>
          <w:szCs w:val="32"/>
          <w:u w:val="none"/>
          <w:lang w:val="en-US" w:eastAsia="zh-CN" w:bidi="ar-SA"/>
        </w:rPr>
      </w:pPr>
      <w:r>
        <w:rPr>
          <w:rFonts w:hint="eastAsia" w:ascii="仿宋_GB2312" w:hAnsi="仿宋_GB2312" w:eastAsia="仿宋_GB2312" w:cs="仿宋_GB2312"/>
          <w:snapToGrid w:val="0"/>
          <w:color w:val="auto"/>
          <w:kern w:val="0"/>
          <w:sz w:val="32"/>
          <w:szCs w:val="32"/>
          <w:u w:val="none"/>
          <w:lang w:val="en-US" w:eastAsia="zh-CN" w:bidi="ar-SA"/>
        </w:rPr>
        <w:t>4.兽用抗菌药使用减量化行动报名表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textAlignment w:val="auto"/>
        <w:outlineLvl w:val="9"/>
        <w:rPr>
          <w:rFonts w:hint="eastAsia" w:ascii="仿宋_GB2312" w:hAnsi="仿宋_GB2312" w:eastAsia="仿宋_GB2312" w:cs="仿宋_GB2312"/>
          <w:snapToGrid w:val="0"/>
          <w:color w:val="auto"/>
          <w:spacing w:val="-9"/>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 xml:space="preserve">      5.参</w:t>
      </w:r>
      <w:r>
        <w:rPr>
          <w:rFonts w:hint="eastAsia" w:ascii="仿宋_GB2312" w:hAnsi="仿宋_GB2312" w:eastAsia="仿宋_GB2312" w:cs="仿宋_GB2312"/>
          <w:snapToGrid w:val="0"/>
          <w:color w:val="auto"/>
          <w:spacing w:val="-9"/>
          <w:kern w:val="0"/>
          <w:sz w:val="32"/>
          <w:szCs w:val="32"/>
          <w:lang w:val="en-US" w:eastAsia="zh-CN" w:bidi="ar-SA"/>
        </w:rPr>
        <w:t>加兽用抗菌药使用减量化行动养殖场名单汇总表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1600" w:firstLineChars="500"/>
        <w:jc w:val="both"/>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rPr>
      </w:pPr>
      <w:r>
        <w:rPr>
          <w:rFonts w:hint="eastAsia" w:ascii="仿宋_GB2312" w:hAnsi="仿宋_GB2312" w:eastAsia="仿宋_GB2312" w:cs="仿宋_GB2312"/>
          <w:snapToGrid w:val="0"/>
          <w:color w:val="auto"/>
          <w:kern w:val="0"/>
          <w:sz w:val="32"/>
          <w:szCs w:val="32"/>
          <w:lang w:val="en-US" w:eastAsia="zh-CN" w:bidi="ar-SA"/>
        </w:rPr>
        <w:t>6.兽用抗菌药使用减量化行动进度表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90" w:lineRule="exact"/>
        <w:ind w:left="0" w:right="0"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90" w:lineRule="exact"/>
        <w:ind w:left="0" w:right="0"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90" w:lineRule="exact"/>
        <w:ind w:left="0" w:right="0"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90" w:lineRule="exact"/>
        <w:ind w:left="0" w:right="0"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90" w:lineRule="exact"/>
        <w:ind w:left="0" w:right="0"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90" w:lineRule="exact"/>
        <w:ind w:left="0" w:right="0"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90" w:lineRule="exact"/>
        <w:ind w:left="0" w:right="0" w:firstLine="0" w:firstLineChars="0"/>
        <w:jc w:val="both"/>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br w:type="page"/>
      </w:r>
      <w:r>
        <w:rPr>
          <w:rFonts w:hint="eastAsia" w:ascii="黑体" w:hAnsi="黑体" w:eastAsia="黑体" w:cs="黑体"/>
          <w:i w:val="0"/>
          <w:caps w:val="0"/>
          <w:color w:val="auto"/>
          <w:spacing w:val="0"/>
          <w:sz w:val="32"/>
          <w:szCs w:val="32"/>
          <w:shd w:val="clear" w:color="auto" w:fill="FFFFFF"/>
          <w:lang w:val="en-US" w:eastAsia="zh-CN"/>
        </w:rPr>
        <w:t>附件1</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0" w:lineRule="exact"/>
        <w:ind w:left="0" w:right="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兽用抗菌药使用减量化指导原则</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养殖场（户）应根据畜禽养殖环节动物疫病发生流行特点和预防、诊断、治疗的实际需要，树立健康养殖、预防为主、综合治理的理念，从“养、防、规、慎、替”五个方面，建立完善管理制度、采取有效管控措施、狠抓落实落地，提高饲养管理和生物安全防护水平，推动实现本场（户）养殖减抗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b/>
          <w:bCs/>
          <w:snapToGrid w:val="0"/>
          <w:color w:val="auto"/>
          <w:kern w:val="0"/>
          <w:sz w:val="32"/>
          <w:szCs w:val="32"/>
          <w:lang w:val="en-US" w:eastAsia="zh-CN" w:bidi="ar-SA"/>
        </w:rPr>
        <w:t>一是“养”</w:t>
      </w:r>
      <w:r>
        <w:rPr>
          <w:rFonts w:hint="eastAsia" w:ascii="仿宋_GB2312" w:hAnsi="仿宋_GB2312" w:eastAsia="仿宋_GB2312" w:cs="仿宋_GB2312"/>
          <w:snapToGrid w:val="0"/>
          <w:color w:val="auto"/>
          <w:kern w:val="0"/>
          <w:sz w:val="32"/>
          <w:szCs w:val="32"/>
          <w:lang w:val="en-US" w:eastAsia="zh-CN" w:bidi="ar-SA"/>
        </w:rPr>
        <w:t>，即精准把好养殖管理“三个关口”。把好饲养模式关，明确不同畜禽品种的饲养方式，精细管理饲养环境条件；把好种源关，有条件的应选取优良品种和品牌厂家的畜禽，要按批次严格检查检测苗种健康状况，防止携带垂直传播的病原微生物；把好营养关，根据畜禽不同阶段的营养需求，制定科学合理的饲料配方，保证营养充足均衡，实现提高畜禽个体抵抗力和群体健康水平的目的。</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b/>
          <w:bCs/>
          <w:snapToGrid w:val="0"/>
          <w:color w:val="auto"/>
          <w:kern w:val="0"/>
          <w:sz w:val="32"/>
          <w:szCs w:val="32"/>
          <w:lang w:val="en-US" w:eastAsia="zh-CN" w:bidi="ar-SA"/>
        </w:rPr>
        <w:t>二是“防”</w:t>
      </w:r>
      <w:r>
        <w:rPr>
          <w:rFonts w:hint="eastAsia" w:ascii="仿宋_GB2312" w:hAnsi="仿宋_GB2312" w:eastAsia="仿宋_GB2312" w:cs="仿宋_GB2312"/>
          <w:snapToGrid w:val="0"/>
          <w:color w:val="auto"/>
          <w:kern w:val="0"/>
          <w:sz w:val="32"/>
          <w:szCs w:val="32"/>
          <w:lang w:val="en-US" w:eastAsia="zh-CN" w:bidi="ar-SA"/>
        </w:rPr>
        <w:t>，即全面防范动物疫病发生传播风险。落实动物防疫主体责任，牢固树立生物安全理念，着力改善养殖场所物理隔离、消毒设施等动物防疫条件，严格执行生物安全防护制度和措施，按计划积极实施疫病免疫和消杀灭源，从源头减少病毒性、细菌性等动物疫病影响。</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b/>
          <w:bCs/>
          <w:snapToGrid w:val="0"/>
          <w:color w:val="auto"/>
          <w:kern w:val="0"/>
          <w:sz w:val="32"/>
          <w:szCs w:val="32"/>
          <w:lang w:val="en-US" w:eastAsia="zh-CN" w:bidi="ar-SA"/>
        </w:rPr>
        <w:t>三是“规”</w:t>
      </w:r>
      <w:r>
        <w:rPr>
          <w:rFonts w:hint="eastAsia" w:ascii="仿宋_GB2312" w:hAnsi="仿宋_GB2312" w:eastAsia="仿宋_GB2312" w:cs="仿宋_GB2312"/>
          <w:snapToGrid w:val="0"/>
          <w:color w:val="auto"/>
          <w:kern w:val="0"/>
          <w:sz w:val="32"/>
          <w:szCs w:val="32"/>
          <w:lang w:val="en-US" w:eastAsia="zh-CN" w:bidi="ar-SA"/>
        </w:rPr>
        <w:t>，即严格规范使用兽用抗菌药。严格执行兽药安全使用各项规定，严禁使用禁止使用的药品和其他化合物、停用兽药、人用药品、假劣兽药；严格执行兽用处方药、休药期等制度，按照兽药标签说明书标注事项，对症治疗、用法正确、用量准确，实现“用好药”。</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b/>
          <w:bCs/>
          <w:snapToGrid w:val="0"/>
          <w:color w:val="auto"/>
          <w:kern w:val="0"/>
          <w:sz w:val="32"/>
          <w:szCs w:val="32"/>
          <w:lang w:val="en-US" w:eastAsia="zh-CN" w:bidi="ar-SA"/>
        </w:rPr>
        <w:t>四是“慎”</w:t>
      </w:r>
      <w:r>
        <w:rPr>
          <w:rFonts w:hint="eastAsia" w:ascii="仿宋_GB2312" w:hAnsi="仿宋_GB2312" w:eastAsia="仿宋_GB2312" w:cs="仿宋_GB2312"/>
          <w:snapToGrid w:val="0"/>
          <w:color w:val="auto"/>
          <w:kern w:val="0"/>
          <w:sz w:val="32"/>
          <w:szCs w:val="32"/>
          <w:lang w:val="en-US" w:eastAsia="zh-CN" w:bidi="ar-SA"/>
        </w:rPr>
        <w:t>，即科学审慎使用兽用抗菌药。高度重视细菌耐药问题，清楚掌握兽用抗菌药类别，坚持审慎用药、分级分类用药原则，根据执业兽医治疗意见、药敏试验检测结果等，精准选择敏感性强、效果好的兽用抗菌药产品；谨慎联合使用抗菌药，能用一种抗菌药治疗绝不同时使用多种抗菌药；分类分级选择用药品种，能用一般级别抗菌药治疗绝不使用更高级别抗菌药，能用窄谱抗菌药就不用广谱抗菌药；增加动物个体精准治疗用药，减少动物群体预防治疗用药，实现“少用药”。</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jc w:val="both"/>
        <w:textAlignment w:val="auto"/>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b/>
          <w:bCs/>
          <w:snapToGrid w:val="0"/>
          <w:color w:val="auto"/>
          <w:kern w:val="0"/>
          <w:sz w:val="32"/>
          <w:szCs w:val="32"/>
          <w:lang w:val="en-US" w:eastAsia="zh-CN" w:bidi="ar-SA"/>
        </w:rPr>
        <w:t>五是“替”</w:t>
      </w:r>
      <w:r>
        <w:rPr>
          <w:rFonts w:hint="eastAsia" w:ascii="仿宋_GB2312" w:hAnsi="仿宋_GB2312" w:eastAsia="仿宋_GB2312" w:cs="仿宋_GB2312"/>
          <w:snapToGrid w:val="0"/>
          <w:color w:val="auto"/>
          <w:kern w:val="0"/>
          <w:sz w:val="32"/>
          <w:szCs w:val="32"/>
          <w:lang w:val="en-US" w:eastAsia="zh-CN" w:bidi="ar-SA"/>
        </w:rPr>
        <w:t>，即积极应用兽用抗菌药替代产品。以高效、休药期短、低残留的兽药品种，逐步替代低效、休药期长、易残留的兽药品种。根据养殖管理和防疫实际，推广应用兽用中药、微生态制剂等无残留的绿色兽药，替代部分兽用抗菌药品种，并逐步提高使用比例，实现畜禽产品生态绿色。</w:t>
      </w:r>
    </w:p>
    <w:p>
      <w:pPr>
        <w:keepNext w:val="0"/>
        <w:keepLines w:val="0"/>
        <w:pageBreakBefore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rPr>
      </w:pPr>
    </w:p>
    <w:p>
      <w:pPr>
        <w:adjustRightInd w:val="0"/>
        <w:snapToGrid w:val="0"/>
        <w:spacing w:line="590" w:lineRule="exact"/>
        <w:ind w:firstLine="640" w:firstLineChars="200"/>
        <w:jc w:val="both"/>
        <w:rPr>
          <w:rFonts w:hint="eastAsia" w:ascii="仿宋_GB2312" w:hAnsi="仿宋_GB2312" w:eastAsia="仿宋_GB2312" w:cs="仿宋_GB2312"/>
          <w:i w:val="0"/>
          <w:caps w:val="0"/>
          <w:color w:val="auto"/>
          <w:spacing w:val="0"/>
          <w:kern w:val="0"/>
          <w:sz w:val="32"/>
          <w:szCs w:val="32"/>
          <w:shd w:val="clear" w:color="auto" w:fill="FFFFFF"/>
        </w:rPr>
      </w:pPr>
    </w:p>
    <w:p>
      <w:pPr>
        <w:adjustRightInd w:val="0"/>
        <w:snapToGrid w:val="0"/>
        <w:spacing w:line="590" w:lineRule="exact"/>
        <w:ind w:firstLine="640" w:firstLineChars="200"/>
        <w:jc w:val="both"/>
        <w:rPr>
          <w:rFonts w:hint="eastAsia" w:ascii="仿宋_GB2312" w:hAnsi="仿宋_GB2312" w:eastAsia="仿宋_GB2312" w:cs="仿宋_GB2312"/>
          <w:i w:val="0"/>
          <w:caps w:val="0"/>
          <w:color w:val="auto"/>
          <w:spacing w:val="0"/>
          <w:kern w:val="0"/>
          <w:sz w:val="32"/>
          <w:szCs w:val="32"/>
          <w:shd w:val="clear" w:color="auto" w:fill="FFFFFF"/>
        </w:rPr>
      </w:pPr>
    </w:p>
    <w:p>
      <w:pPr>
        <w:adjustRightInd w:val="0"/>
        <w:snapToGrid w:val="0"/>
        <w:spacing w:line="590" w:lineRule="exact"/>
        <w:ind w:firstLine="640" w:firstLineChars="200"/>
        <w:jc w:val="both"/>
        <w:rPr>
          <w:rFonts w:hint="eastAsia" w:ascii="仿宋_GB2312" w:hAnsi="仿宋_GB2312" w:eastAsia="仿宋_GB2312" w:cs="仿宋_GB2312"/>
          <w:i w:val="0"/>
          <w:caps w:val="0"/>
          <w:color w:val="auto"/>
          <w:spacing w:val="0"/>
          <w:kern w:val="0"/>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590" w:lineRule="exact"/>
        <w:ind w:left="0" w:leftChars="0" w:right="0" w:rightChars="0" w:firstLine="0" w:firstLineChars="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r>
        <w:rPr>
          <w:rFonts w:hint="eastAsia" w:ascii="黑体" w:hAnsi="黑体" w:eastAsia="黑体" w:cs="黑体"/>
          <w:color w:val="auto"/>
          <w:kern w:val="0"/>
          <w:sz w:val="32"/>
          <w:szCs w:val="32"/>
          <w:lang w:val="en-US" w:eastAsia="zh-CN"/>
        </w:rPr>
        <w:t>附件2</w:t>
      </w:r>
    </w:p>
    <w:p>
      <w:pPr>
        <w:keepNext w:val="0"/>
        <w:keepLines w:val="0"/>
        <w:pageBreakBefore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广东省</w:t>
      </w:r>
      <w:r>
        <w:rPr>
          <w:rFonts w:hint="eastAsia" w:ascii="方正小标宋简体" w:hAnsi="方正小标宋简体" w:eastAsia="方正小标宋简体" w:cs="方正小标宋简体"/>
          <w:b w:val="0"/>
          <w:bCs w:val="0"/>
          <w:color w:val="auto"/>
          <w:kern w:val="0"/>
          <w:sz w:val="44"/>
          <w:szCs w:val="44"/>
          <w:lang w:eastAsia="zh-CN"/>
        </w:rPr>
        <w:t>兽用抗菌药使用减量化行动</w:t>
      </w:r>
      <w:r>
        <w:rPr>
          <w:rFonts w:hint="eastAsia" w:ascii="方正小标宋简体" w:hAnsi="方正小标宋简体" w:eastAsia="方正小标宋简体" w:cs="方正小标宋简体"/>
          <w:b w:val="0"/>
          <w:bCs w:val="0"/>
          <w:color w:val="auto"/>
          <w:kern w:val="0"/>
          <w:sz w:val="44"/>
          <w:szCs w:val="44"/>
          <w:lang w:val="en-US" w:eastAsia="zh-CN"/>
        </w:rPr>
        <w:t>实施</w:t>
      </w:r>
    </w:p>
    <w:p>
      <w:pPr>
        <w:keepNext w:val="0"/>
        <w:keepLines w:val="0"/>
        <w:pageBreakBefore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领导小组人员名单</w:t>
      </w:r>
    </w:p>
    <w:p>
      <w:pPr>
        <w:keepNext w:val="0"/>
        <w:keepLines w:val="0"/>
        <w:pageBreakBefore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color w:val="auto"/>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组  长：屈源泉  省农业农村厅总畜牧兽医师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副组长：廖纪坤  省农业农村厅二级巡视员</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成  员：袁东辉  省农业农村厅兽医与屠宰管理处处长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罗一心  省农业农村厅畜牧与饲料处处长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林海丹  省农产品质量安全中心主任</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领导小组下设办公室，办公室设在省农业农村厅兽医与屠宰管理处，负责全省</w:t>
      </w:r>
      <w:r>
        <w:rPr>
          <w:rFonts w:hint="eastAsia" w:ascii="仿宋_GB2312" w:hAnsi="仿宋_GB2312" w:eastAsia="仿宋_GB2312" w:cs="仿宋_GB2312"/>
          <w:snapToGrid w:val="0"/>
          <w:color w:val="auto"/>
          <w:kern w:val="0"/>
          <w:sz w:val="32"/>
          <w:szCs w:val="32"/>
          <w:lang w:val="en-US" w:eastAsia="zh-CN"/>
        </w:rPr>
        <w:t>减抗行动</w:t>
      </w:r>
      <w:r>
        <w:rPr>
          <w:rFonts w:hint="eastAsia" w:ascii="仿宋_GB2312" w:hAnsi="仿宋_GB2312" w:eastAsia="仿宋_GB2312" w:cs="仿宋_GB2312"/>
          <w:color w:val="auto"/>
          <w:kern w:val="0"/>
          <w:sz w:val="32"/>
          <w:szCs w:val="32"/>
          <w:lang w:val="en-US" w:eastAsia="zh-CN"/>
        </w:rPr>
        <w:t>统筹</w:t>
      </w:r>
      <w:r>
        <w:rPr>
          <w:rFonts w:hint="eastAsia" w:ascii="仿宋_GB2312" w:hAnsi="仿宋_GB2312" w:eastAsia="仿宋_GB2312" w:cs="仿宋_GB2312"/>
          <w:snapToGrid w:val="0"/>
          <w:color w:val="auto"/>
          <w:kern w:val="0"/>
          <w:sz w:val="32"/>
          <w:szCs w:val="32"/>
          <w:lang w:val="en-US" w:eastAsia="zh-CN"/>
        </w:rPr>
        <w:t>协调工作，督促和指导各地按期有序开展减抗行动，发布减抗达标养殖场（户）名单等。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主  任：袁东辉  省农业农村厅兽医与屠宰管理处处长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spacing w:val="-9"/>
          <w:kern w:val="0"/>
          <w:sz w:val="32"/>
          <w:szCs w:val="32"/>
          <w:lang w:val="en-US" w:eastAsia="zh-CN"/>
        </w:rPr>
      </w:pPr>
      <w:r>
        <w:rPr>
          <w:rFonts w:hint="eastAsia" w:ascii="仿宋_GB2312" w:hAnsi="仿宋_GB2312" w:eastAsia="仿宋_GB2312" w:cs="仿宋_GB2312"/>
          <w:color w:val="auto"/>
          <w:kern w:val="0"/>
          <w:sz w:val="32"/>
          <w:szCs w:val="32"/>
          <w:lang w:val="en-US" w:eastAsia="zh-CN"/>
        </w:rPr>
        <w:t>副主任：于秋楠  省</w:t>
      </w:r>
      <w:r>
        <w:rPr>
          <w:rFonts w:hint="eastAsia" w:ascii="仿宋_GB2312" w:hAnsi="仿宋_GB2312" w:eastAsia="仿宋_GB2312" w:cs="仿宋_GB2312"/>
          <w:color w:val="auto"/>
          <w:spacing w:val="-9"/>
          <w:kern w:val="0"/>
          <w:sz w:val="32"/>
          <w:szCs w:val="32"/>
          <w:lang w:val="en-US" w:eastAsia="zh-CN"/>
        </w:rPr>
        <w:t>农业农村厅兽医与屠宰管理处二级调研员</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成  员：肖田安  省农产品质量安全中心副主任</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陈迎丰  省农业技术推广中心畜牧推广部部长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李跃龙  省农产品质量安全中心副主任</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高慧敏  省农业农村厅兽医与屠宰管理处一级</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3200" w:firstLineChars="10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主任科员</w:t>
      </w:r>
    </w:p>
    <w:p>
      <w:pPr>
        <w:widowControl w:val="0"/>
        <w:adjustRightInd w:val="0"/>
        <w:snapToGrid w:val="0"/>
        <w:spacing w:line="590" w:lineRule="exact"/>
        <w:ind w:firstLine="640" w:firstLineChars="200"/>
        <w:outlineLvl w:val="9"/>
        <w:rPr>
          <w:rFonts w:hint="eastAsia" w:ascii="仿宋_GB2312" w:hAnsi="仿宋_GB2312" w:eastAsia="仿宋_GB2312" w:cs="仿宋_GB2312"/>
          <w:color w:val="auto"/>
          <w:kern w:val="0"/>
          <w:sz w:val="32"/>
          <w:szCs w:val="32"/>
          <w:lang w:val="en-US" w:eastAsia="zh-CN"/>
        </w:rPr>
      </w:pPr>
    </w:p>
    <w:p>
      <w:pPr>
        <w:widowControl w:val="0"/>
        <w:adjustRightInd w:val="0"/>
        <w:snapToGrid w:val="0"/>
        <w:spacing w:line="590" w:lineRule="exact"/>
        <w:ind w:firstLine="0" w:firstLineChars="0"/>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r>
        <w:rPr>
          <w:rFonts w:hint="eastAsia" w:ascii="黑体" w:hAnsi="黑体" w:eastAsia="黑体" w:cs="黑体"/>
          <w:color w:val="auto"/>
          <w:kern w:val="0"/>
          <w:sz w:val="32"/>
          <w:szCs w:val="32"/>
          <w:lang w:val="en-US" w:eastAsia="zh-CN"/>
        </w:rPr>
        <w:t>附件3</w:t>
      </w:r>
    </w:p>
    <w:p>
      <w:pPr>
        <w:widowControl w:val="0"/>
        <w:adjustRightInd w:val="0"/>
        <w:snapToGrid w:val="0"/>
        <w:spacing w:line="590" w:lineRule="exact"/>
        <w:ind w:firstLine="640" w:firstLineChars="200"/>
        <w:outlineLvl w:val="9"/>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广东省</w:t>
      </w:r>
      <w:r>
        <w:rPr>
          <w:rFonts w:hint="eastAsia" w:ascii="方正小标宋简体" w:hAnsi="方正小标宋简体" w:eastAsia="方正小标宋简体" w:cs="方正小标宋简体"/>
          <w:color w:val="auto"/>
          <w:kern w:val="0"/>
          <w:sz w:val="44"/>
          <w:szCs w:val="44"/>
          <w:lang w:eastAsia="zh-CN"/>
        </w:rPr>
        <w:t>兽用抗菌药使用减量化行动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技术指导组人员名单</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组  长：林海丹  省农产品质量安全中心主任</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技术顾问：曾振灵  华南农业大学兽医学院教授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副组长：孙铭飞  省农业科学院动物卫生研究所所长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亓文宝  华南农业大学兽医学院副院长、教授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肖田安  省农产品质量安全中心副主任</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成  员：郭世宁  华南农业大学兽医学院教授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黄显会  华南农业大学兽医学院教授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刘文字  农业农村部畜禽产品质量监督检验测试</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3200" w:firstLineChars="10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中心（广州）常务副主任、高级兽医师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李跃龙  省农产品质量安全中心副主任</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彭新宇  省农业科学院动物卫生研究所研究员</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向  蓉  省农业科学院动物卫生研究所副研究员</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陈志虹  省农业科学院动物卫生研究所主任</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刘志成  省农业科学院动物卫生研究所副研究员</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崔成富  省农产品质量安全中心科长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潘绮雯  省农产品质量安全中心科长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伍宏凯  省农产品质量安全中心科长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吴荔琴  省农产品质量安全中心高级兽医师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刘佩怡  省农产品质量安全中心兽医师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曹长仁  省农业技术推广中心畜牧技术推广部副</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3200" w:firstLineChars="10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部长（省养猪行业协会副秘书长）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刘建营  省农业技术推广中心畜牧技术推广部高</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3200" w:firstLineChars="10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级兽医师（省奶业协会副秘书长）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1920" w:firstLineChars="6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谢水华  省农业技术推广中心畜牧技术推广部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3200" w:firstLineChars="10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副部长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陈丽琴  省家禽业协会副秘书长</w:t>
      </w:r>
    </w:p>
    <w:p>
      <w:pPr>
        <w:keepNext w:val="0"/>
        <w:keepLines w:val="0"/>
        <w:pageBreakBefore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技术指导组主要负责为</w:t>
      </w:r>
      <w:r>
        <w:rPr>
          <w:rFonts w:hint="eastAsia" w:ascii="仿宋_GB2312" w:hAnsi="仿宋_GB2312" w:eastAsia="仿宋_GB2312" w:cs="仿宋_GB2312"/>
          <w:snapToGrid w:val="0"/>
          <w:color w:val="auto"/>
          <w:kern w:val="0"/>
          <w:sz w:val="32"/>
          <w:szCs w:val="32"/>
          <w:lang w:val="en-US" w:eastAsia="zh-CN"/>
        </w:rPr>
        <w:t>减抗行动提供技术咨询、现场指导、评估论证及成效评价等工作。</w:t>
      </w:r>
    </w:p>
    <w:p>
      <w:pPr>
        <w:keepNext w:val="0"/>
        <w:keepLines w:val="0"/>
        <w:pageBreakBefore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snapToGrid w:val="0"/>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0" w:firstLineChars="0"/>
        <w:jc w:val="both"/>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附件4</w:t>
      </w: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rPr>
      </w:pPr>
    </w:p>
    <w:p>
      <w:pPr>
        <w:adjustRightInd w:val="0"/>
        <w:snapToGrid w:val="0"/>
        <w:spacing w:line="590" w:lineRule="exact"/>
        <w:ind w:firstLine="0" w:firstLineChars="0"/>
        <w:jc w:val="center"/>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rPr>
        <w:t>兽用抗菌药使用减量化行动</w:t>
      </w:r>
      <w:r>
        <w:rPr>
          <w:rFonts w:hint="eastAsia" w:ascii="方正小标宋简体" w:hAnsi="方正小标宋简体" w:eastAsia="方正小标宋简体" w:cs="方正小标宋简体"/>
          <w:color w:val="auto"/>
          <w:kern w:val="0"/>
          <w:sz w:val="44"/>
          <w:szCs w:val="44"/>
          <w:lang w:eastAsia="zh-CN"/>
        </w:rPr>
        <w:t>报名表</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rPr>
      </w:pP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u w:val="single"/>
        </w:rPr>
      </w:pPr>
      <w:r>
        <w:rPr>
          <w:rFonts w:hint="eastAsia" w:ascii="仿宋_GB2312" w:hAnsi="仿宋_GB2312" w:eastAsia="仿宋_GB2312" w:cs="仿宋_GB2312"/>
          <w:b/>
          <w:bCs/>
          <w:color w:val="auto"/>
          <w:kern w:val="0"/>
          <w:sz w:val="32"/>
          <w:szCs w:val="32"/>
        </w:rPr>
        <w:t>单位名称(盖章)：</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u w:val="single"/>
        </w:rPr>
      </w:pP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eastAsia="zh-CN"/>
        </w:rPr>
        <w:t>报名</w:t>
      </w:r>
      <w:r>
        <w:rPr>
          <w:rFonts w:hint="eastAsia" w:ascii="仿宋_GB2312" w:hAnsi="仿宋_GB2312" w:eastAsia="仿宋_GB2312" w:cs="仿宋_GB2312"/>
          <w:b/>
          <w:bCs/>
          <w:color w:val="auto"/>
          <w:kern w:val="0"/>
          <w:sz w:val="32"/>
          <w:szCs w:val="32"/>
        </w:rPr>
        <w:t>领域：</w:t>
      </w:r>
    </w:p>
    <w:p>
      <w:pPr>
        <w:adjustRightInd w:val="0"/>
        <w:snapToGrid w:val="0"/>
        <w:spacing w:line="59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A.蛋鸡；B.肉鸡; C.肉鸭；D.生猪； E.奶牛;</w:t>
      </w:r>
    </w:p>
    <w:p>
      <w:pPr>
        <w:adjustRightInd w:val="0"/>
        <w:snapToGrid w:val="0"/>
        <w:spacing w:line="59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F.肉牛; G.肉羊; H.肉兔；I.奶山羊</w:t>
      </w:r>
    </w:p>
    <w:p>
      <w:pPr>
        <w:adjustRightInd w:val="0"/>
        <w:snapToGrid w:val="0"/>
        <w:spacing w:line="59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请选择其中一项，填写在“报名领域”栏中。</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通讯地址：</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法人代表：</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联系人：</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电话：</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传真：</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邮政编码：</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填报日期：</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年</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月</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日</w:t>
      </w:r>
    </w:p>
    <w:p>
      <w:pPr>
        <w:adjustRightInd w:val="0"/>
        <w:snapToGrid w:val="0"/>
        <w:spacing w:line="590" w:lineRule="exact"/>
        <w:ind w:firstLine="640" w:firstLineChars="200"/>
        <w:jc w:val="both"/>
        <w:rPr>
          <w:rFonts w:hint="eastAsia" w:ascii="仿宋_GB2312" w:hAnsi="仿宋_GB2312" w:eastAsia="仿宋_GB2312" w:cs="仿宋_GB2312"/>
          <w:bCs/>
          <w:color w:val="auto"/>
          <w:kern w:val="0"/>
          <w:sz w:val="32"/>
          <w:szCs w:val="32"/>
        </w:rPr>
      </w:pPr>
    </w:p>
    <w:p>
      <w:pPr>
        <w:adjustRightInd w:val="0"/>
        <w:snapToGrid w:val="0"/>
        <w:spacing w:line="590" w:lineRule="exact"/>
        <w:ind w:firstLine="640" w:firstLineChars="200"/>
        <w:jc w:val="both"/>
        <w:rPr>
          <w:rFonts w:hint="eastAsia" w:ascii="仿宋_GB2312" w:hAnsi="仿宋_GB2312" w:eastAsia="仿宋_GB2312" w:cs="仿宋_GB2312"/>
          <w:bCs/>
          <w:color w:val="auto"/>
          <w:kern w:val="0"/>
          <w:sz w:val="32"/>
          <w:szCs w:val="32"/>
        </w:rPr>
      </w:pPr>
    </w:p>
    <w:p>
      <w:pPr>
        <w:adjustRightInd w:val="0"/>
        <w:snapToGrid w:val="0"/>
        <w:spacing w:line="590" w:lineRule="exact"/>
        <w:ind w:firstLine="0" w:firstLineChars="0"/>
        <w:jc w:val="center"/>
        <w:rPr>
          <w:rFonts w:hint="eastAsia"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广东省农业</w:t>
      </w:r>
      <w:r>
        <w:rPr>
          <w:rFonts w:hint="eastAsia" w:ascii="楷体_GB2312" w:hAnsi="楷体_GB2312" w:eastAsia="楷体_GB2312" w:cs="楷体_GB2312"/>
          <w:bCs/>
          <w:color w:val="auto"/>
          <w:kern w:val="0"/>
          <w:sz w:val="32"/>
          <w:szCs w:val="32"/>
          <w:lang w:val="en-US" w:eastAsia="zh-CN"/>
        </w:rPr>
        <w:t>农村</w:t>
      </w:r>
      <w:r>
        <w:rPr>
          <w:rFonts w:hint="eastAsia" w:ascii="楷体_GB2312" w:hAnsi="楷体_GB2312" w:eastAsia="楷体_GB2312" w:cs="楷体_GB2312"/>
          <w:bCs/>
          <w:color w:val="auto"/>
          <w:kern w:val="0"/>
          <w:sz w:val="32"/>
          <w:szCs w:val="32"/>
        </w:rPr>
        <w:t>厅印制</w:t>
      </w:r>
    </w:p>
    <w:p>
      <w:pPr>
        <w:adjustRightInd w:val="0"/>
        <w:snapToGrid w:val="0"/>
        <w:spacing w:before="0" w:line="590" w:lineRule="exact"/>
        <w:ind w:right="0" w:firstLine="640" w:firstLineChars="200"/>
        <w:jc w:val="both"/>
        <w:rPr>
          <w:rFonts w:hint="eastAsia" w:ascii="仿宋_GB2312" w:hAnsi="仿宋_GB2312" w:eastAsia="仿宋_GB2312" w:cs="仿宋_GB2312"/>
          <w:color w:val="auto"/>
          <w:kern w:val="0"/>
          <w:sz w:val="32"/>
          <w:szCs w:val="32"/>
        </w:rPr>
      </w:pPr>
    </w:p>
    <w:p>
      <w:pPr>
        <w:adjustRightInd w:val="0"/>
        <w:snapToGrid w:val="0"/>
        <w:spacing w:before="0" w:line="590" w:lineRule="exact"/>
        <w:ind w:right="0" w:firstLine="640" w:firstLineChars="200"/>
        <w:jc w:val="both"/>
        <w:rPr>
          <w:rFonts w:hint="eastAsia" w:ascii="仿宋_GB2312" w:hAnsi="仿宋_GB2312" w:eastAsia="仿宋_GB2312" w:cs="仿宋_GB2312"/>
          <w:color w:val="auto"/>
          <w:kern w:val="0"/>
          <w:sz w:val="32"/>
          <w:szCs w:val="32"/>
        </w:rPr>
      </w:pPr>
    </w:p>
    <w:p>
      <w:pPr>
        <w:adjustRightInd w:val="0"/>
        <w:snapToGrid w:val="0"/>
        <w:spacing w:before="0" w:line="590" w:lineRule="exact"/>
        <w:ind w:right="0" w:firstLine="0" w:firstLineChars="0"/>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填  表  说  明</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p>
    <w:p>
      <w:pPr>
        <w:adjustRightInd w:val="0"/>
        <w:snapToGrid w:val="0"/>
        <w:spacing w:line="59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pacing w:val="0"/>
          <w:kern w:val="0"/>
          <w:sz w:val="32"/>
          <w:szCs w:val="32"/>
        </w:rPr>
        <w:t>1.</w:t>
      </w:r>
      <w:r>
        <w:rPr>
          <w:rFonts w:hint="eastAsia" w:ascii="仿宋_GB2312" w:hAnsi="仿宋_GB2312" w:eastAsia="仿宋_GB2312" w:cs="仿宋_GB2312"/>
          <w:color w:val="auto"/>
          <w:kern w:val="0"/>
          <w:sz w:val="32"/>
          <w:szCs w:val="32"/>
        </w:rPr>
        <w:t>养殖场经济性质栏:请从“国有”、“民营”两种性质中选一项打“√”。国有及国有控股为国有企业，外资及外资控股之外的企业，均视为民营企业。</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2.报名养殖场的《报名表》封面须加盖单位公章。报名养殖场名称、公章须与工商行政管理部门核发的营业执照等证件名称一致。</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3.联系人：是报名养殖场指定的联系人。</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4.生产的产品栏：指养殖场生产的主要产品。</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5.指标栏：包括存（出）栏量、淘汰率、生产数量、营业收入、资产总额、员工总数等。所有指标均按养殖场财务报表的数据填报。</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营业收入：不含增值税收入，包括养殖场的所有收入，即主营业务和非主营业务的收入。最好以合法经营的会计师事务所出具的财务审计报告或上市公司当年的年报资料为准。</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6.产品名称：指养殖场主营业务产品，如:鸡蛋、牛奶等。</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7.存栏指年末所养殖畜种的存栏数量；出栏指年度内所养殖畜种合计的出栏数量。</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8.淘汰率是年度内淘汰的数量占年度平均数的比例。</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9.生产量是主营产品的年生产总量。</w:t>
      </w:r>
    </w:p>
    <w:p>
      <w:pPr>
        <w:adjustRightInd w:val="0"/>
        <w:snapToGrid w:val="0"/>
        <w:spacing w:line="590" w:lineRule="exact"/>
        <w:ind w:right="0" w:firstLine="640" w:firstLineChars="200"/>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10.请将所有报名材料按照报名材料目录，用A4 纸装订成册，并标明顺序页码(复印件须加盖公章)。包括:养殖场法人证书、营业执照、产品的质量检验报告等复印件。其他相关证书复印件等。</w:t>
      </w:r>
    </w:p>
    <w:p>
      <w:pPr>
        <w:adjustRightInd w:val="0"/>
        <w:snapToGrid w:val="0"/>
        <w:spacing w:line="590" w:lineRule="exact"/>
        <w:ind w:right="0" w:firstLine="640" w:firstLineChars="200"/>
        <w:rPr>
          <w:rFonts w:hint="eastAsia" w:ascii="仿宋_GB2312" w:hAnsi="仿宋_GB2312" w:eastAsia="仿宋_GB2312" w:cs="仿宋_GB2312"/>
          <w:color w:val="auto"/>
          <w:w w:val="100"/>
          <w:kern w:val="0"/>
          <w:sz w:val="32"/>
          <w:szCs w:val="32"/>
        </w:rPr>
      </w:pPr>
      <w:r>
        <w:rPr>
          <w:rFonts w:hint="eastAsia" w:ascii="仿宋_GB2312" w:hAnsi="仿宋_GB2312" w:eastAsia="仿宋_GB2312" w:cs="仿宋_GB2312"/>
          <w:color w:val="auto"/>
          <w:spacing w:val="0"/>
          <w:kern w:val="0"/>
          <w:sz w:val="32"/>
          <w:szCs w:val="32"/>
        </w:rPr>
        <w:t>11.报名养殖场须郑重承诺:对此次填写的报名材料内容真实性和数据准确性承担责任，承诺尊重兽医行政主管部门的推荐及成效评价工作和评价结果</w:t>
      </w:r>
      <w:r>
        <w:rPr>
          <w:rFonts w:hint="eastAsia" w:ascii="仿宋_GB2312" w:hAnsi="仿宋_GB2312" w:eastAsia="仿宋_GB2312" w:cs="仿宋_GB2312"/>
          <w:color w:val="auto"/>
          <w:w w:val="100"/>
          <w:kern w:val="0"/>
          <w:sz w:val="32"/>
          <w:szCs w:val="32"/>
        </w:rPr>
        <w:t>。</w:t>
      </w:r>
    </w:p>
    <w:p>
      <w:pPr>
        <w:adjustRightInd w:val="0"/>
        <w:snapToGrid w:val="0"/>
        <w:spacing w:line="590" w:lineRule="exact"/>
        <w:ind w:right="0" w:firstLine="0" w:firstLineChars="0"/>
        <w:jc w:val="center"/>
        <w:rPr>
          <w:rFonts w:hint="eastAsia" w:ascii="方正小标宋简体" w:hAnsi="方正小标宋简体" w:eastAsia="方正小标宋简体" w:cs="方正小标宋简体"/>
          <w:color w:val="auto"/>
          <w:w w:val="100"/>
          <w:kern w:val="0"/>
          <w:sz w:val="44"/>
          <w:szCs w:val="44"/>
        </w:rPr>
      </w:pPr>
      <w:r>
        <w:rPr>
          <w:rFonts w:hint="eastAsia" w:ascii="仿宋_GB2312" w:hAnsi="仿宋_GB2312" w:eastAsia="仿宋_GB2312" w:cs="仿宋_GB2312"/>
          <w:color w:val="auto"/>
          <w:kern w:val="0"/>
          <w:sz w:val="32"/>
          <w:szCs w:val="32"/>
        </w:rPr>
        <w:br w:type="page"/>
      </w:r>
      <w:r>
        <w:rPr>
          <w:rFonts w:hint="eastAsia" w:ascii="方正小标宋简体" w:hAnsi="方正小标宋简体" w:eastAsia="方正小标宋简体" w:cs="方正小标宋简体"/>
          <w:color w:val="auto"/>
          <w:kern w:val="0"/>
          <w:sz w:val="44"/>
          <w:szCs w:val="44"/>
        </w:rPr>
        <w:t>兽用抗菌药使用减量化行动报名表</w:t>
      </w:r>
    </w:p>
    <w:tbl>
      <w:tblPr>
        <w:tblStyle w:val="5"/>
        <w:tblW w:w="10285" w:type="dxa"/>
        <w:jc w:val="center"/>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13"/>
        <w:gridCol w:w="1095"/>
        <w:gridCol w:w="987"/>
        <w:gridCol w:w="816"/>
        <w:gridCol w:w="842"/>
        <w:gridCol w:w="1330"/>
        <w:gridCol w:w="1010"/>
        <w:gridCol w:w="113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养殖场名称</w:t>
            </w:r>
          </w:p>
        </w:tc>
        <w:tc>
          <w:tcPr>
            <w:tcW w:w="3740" w:type="dxa"/>
            <w:gridSpan w:val="4"/>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2340"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经济性质</w:t>
            </w:r>
          </w:p>
        </w:tc>
        <w:tc>
          <w:tcPr>
            <w:tcW w:w="2192"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国有(      )</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民营(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畜牧生产经营单位代码</w:t>
            </w:r>
          </w:p>
        </w:tc>
        <w:tc>
          <w:tcPr>
            <w:tcW w:w="3740" w:type="dxa"/>
            <w:gridSpan w:val="4"/>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统一社会信用代码</w:t>
            </w:r>
          </w:p>
        </w:tc>
        <w:tc>
          <w:tcPr>
            <w:tcW w:w="3202" w:type="dxa"/>
            <w:gridSpan w:val="3"/>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通讯地址</w:t>
            </w:r>
          </w:p>
        </w:tc>
        <w:tc>
          <w:tcPr>
            <w:tcW w:w="3740" w:type="dxa"/>
            <w:gridSpan w:val="4"/>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邮政编码</w:t>
            </w:r>
          </w:p>
        </w:tc>
        <w:tc>
          <w:tcPr>
            <w:tcW w:w="3202" w:type="dxa"/>
            <w:gridSpan w:val="3"/>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法人代表</w:t>
            </w:r>
          </w:p>
        </w:tc>
        <w:tc>
          <w:tcPr>
            <w:tcW w:w="2082" w:type="dxa"/>
            <w:gridSpan w:val="2"/>
            <w:tcBorders>
              <w:top w:val="nil"/>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姓名</w:t>
            </w:r>
          </w:p>
        </w:tc>
        <w:tc>
          <w:tcPr>
            <w:tcW w:w="1658"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职务(部门)</w:t>
            </w:r>
          </w:p>
        </w:tc>
        <w:tc>
          <w:tcPr>
            <w:tcW w:w="2340"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电话(加区号)</w:t>
            </w:r>
          </w:p>
        </w:tc>
        <w:tc>
          <w:tcPr>
            <w:tcW w:w="2192"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主要负责人</w:t>
            </w:r>
          </w:p>
        </w:tc>
        <w:tc>
          <w:tcPr>
            <w:tcW w:w="2082" w:type="dxa"/>
            <w:gridSpan w:val="2"/>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658"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2340"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2192"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活动联系人</w:t>
            </w:r>
          </w:p>
        </w:tc>
        <w:tc>
          <w:tcPr>
            <w:tcW w:w="2082" w:type="dxa"/>
            <w:gridSpan w:val="2"/>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658"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2340"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2192"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数据填报联系人</w:t>
            </w:r>
          </w:p>
        </w:tc>
        <w:tc>
          <w:tcPr>
            <w:tcW w:w="2082" w:type="dxa"/>
            <w:gridSpan w:val="2"/>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658"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2340"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2192"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养殖品种</w:t>
            </w:r>
          </w:p>
        </w:tc>
        <w:tc>
          <w:tcPr>
            <w:tcW w:w="8272" w:type="dxa"/>
            <w:gridSpan w:val="8"/>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生产模式</w:t>
            </w:r>
          </w:p>
        </w:tc>
        <w:tc>
          <w:tcPr>
            <w:tcW w:w="8272" w:type="dxa"/>
            <w:gridSpan w:val="8"/>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自养(      )   公司+农户(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生产的产品</w:t>
            </w:r>
          </w:p>
        </w:tc>
        <w:tc>
          <w:tcPr>
            <w:tcW w:w="8272" w:type="dxa"/>
            <w:gridSpan w:val="8"/>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bCs/>
                <w:color w:val="000000"/>
                <w:kern w:val="0"/>
                <w:sz w:val="24"/>
                <w:szCs w:val="24"/>
              </w:rPr>
            </w:pPr>
          </w:p>
          <w:p>
            <w:pPr>
              <w:widowControl w:val="0"/>
              <w:adjustRightInd w:val="0"/>
              <w:snapToGrid w:val="0"/>
              <w:spacing w:line="240" w:lineRule="auto"/>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养殖场简介</w:t>
            </w:r>
          </w:p>
          <w:p>
            <w:pPr>
              <w:widowControl w:val="0"/>
              <w:adjustRightInd w:val="0"/>
              <w:snapToGrid w:val="0"/>
              <w:spacing w:line="240" w:lineRule="auto"/>
              <w:jc w:val="both"/>
              <w:rPr>
                <w:rFonts w:hint="eastAsia" w:ascii="仿宋_GB2312" w:hAnsi="仿宋_GB2312" w:eastAsia="仿宋_GB2312" w:cs="仿宋_GB2312"/>
                <w:b/>
                <w:bCs/>
                <w:color w:val="000000"/>
                <w:kern w:val="0"/>
                <w:sz w:val="24"/>
                <w:szCs w:val="24"/>
              </w:rPr>
            </w:pPr>
          </w:p>
        </w:tc>
        <w:tc>
          <w:tcPr>
            <w:tcW w:w="8272" w:type="dxa"/>
            <w:gridSpan w:val="8"/>
            <w:tcBorders>
              <w:top w:val="single" w:color="auto" w:sz="4" w:space="0"/>
              <w:left w:val="single" w:color="auto" w:sz="4" w:space="0"/>
              <w:bottom w:val="single" w:color="auto" w:sz="4" w:space="0"/>
              <w:right w:val="single" w:color="auto" w:sz="4" w:space="0"/>
            </w:tcBorders>
            <w:vAlign w:val="top"/>
          </w:tcPr>
          <w:p>
            <w:pPr>
              <w:widowControl w:val="0"/>
              <w:adjustRightInd w:val="0"/>
              <w:snapToGrid w:val="0"/>
              <w:spacing w:line="240" w:lineRule="auto"/>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（包括养殖场概况、生产能力、技术水平、生物安全控制措施和水平、兽药使用管理制度措施和安全用药水平等情况）</w:t>
            </w:r>
          </w:p>
          <w:p>
            <w:pPr>
              <w:widowControl w:val="0"/>
              <w:adjustRightInd w:val="0"/>
              <w:snapToGrid w:val="0"/>
              <w:spacing w:line="240" w:lineRule="auto"/>
              <w:rPr>
                <w:rFonts w:hint="eastAsia" w:ascii="仿宋_GB2312" w:hAnsi="仿宋_GB2312" w:eastAsia="仿宋_GB2312" w:cs="仿宋_GB2312"/>
                <w:bCs/>
                <w:color w:val="000000"/>
                <w:kern w:val="0"/>
                <w:sz w:val="24"/>
                <w:szCs w:val="24"/>
              </w:rPr>
            </w:pPr>
          </w:p>
          <w:p>
            <w:pPr>
              <w:widowControl w:val="0"/>
              <w:adjustRightInd w:val="0"/>
              <w:snapToGrid w:val="0"/>
              <w:spacing w:line="240" w:lineRule="auto"/>
              <w:rPr>
                <w:rFonts w:hint="eastAsia" w:ascii="仿宋_GB2312" w:hAnsi="仿宋_GB2312" w:eastAsia="仿宋_GB2312" w:cs="仿宋_GB2312"/>
                <w:bCs/>
                <w:color w:val="000000"/>
                <w:kern w:val="0"/>
                <w:sz w:val="24"/>
                <w:szCs w:val="24"/>
              </w:rPr>
            </w:pPr>
          </w:p>
          <w:p>
            <w:pPr>
              <w:widowControl w:val="0"/>
              <w:adjustRightInd w:val="0"/>
              <w:snapToGrid w:val="0"/>
              <w:spacing w:line="240" w:lineRule="auto"/>
              <w:rPr>
                <w:rFonts w:hint="eastAsia" w:ascii="仿宋_GB2312" w:hAnsi="仿宋_GB2312" w:eastAsia="仿宋_GB2312" w:cs="仿宋_GB2312"/>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项目</w:t>
            </w:r>
          </w:p>
        </w:tc>
        <w:tc>
          <w:tcPr>
            <w:tcW w:w="2082"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存（出）栏（头、只）</w:t>
            </w:r>
          </w:p>
        </w:tc>
        <w:tc>
          <w:tcPr>
            <w:tcW w:w="816"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淘汰率（%）</w:t>
            </w:r>
          </w:p>
        </w:tc>
        <w:tc>
          <w:tcPr>
            <w:tcW w:w="842"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产品名称</w:t>
            </w:r>
          </w:p>
        </w:tc>
        <w:tc>
          <w:tcPr>
            <w:tcW w:w="1330"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生产数量（头、吨）</w:t>
            </w:r>
          </w:p>
        </w:tc>
        <w:tc>
          <w:tcPr>
            <w:tcW w:w="1010"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营业收入（万元）</w:t>
            </w:r>
          </w:p>
        </w:tc>
        <w:tc>
          <w:tcPr>
            <w:tcW w:w="1136"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资产总额（万元）</w:t>
            </w:r>
          </w:p>
        </w:tc>
        <w:tc>
          <w:tcPr>
            <w:tcW w:w="1056"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固定资产投资（万元）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p>
        </w:tc>
        <w:tc>
          <w:tcPr>
            <w:tcW w:w="2082" w:type="dxa"/>
            <w:gridSpan w:val="2"/>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816" w:type="dxa"/>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842" w:type="dxa"/>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010" w:type="dxa"/>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136" w:type="dxa"/>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056" w:type="dxa"/>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项目</w:t>
            </w:r>
          </w:p>
        </w:tc>
        <w:tc>
          <w:tcPr>
            <w:tcW w:w="2082"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兽用抗菌药使用量（公斤）</w:t>
            </w:r>
          </w:p>
        </w:tc>
        <w:tc>
          <w:tcPr>
            <w:tcW w:w="1658" w:type="dxa"/>
            <w:gridSpan w:val="2"/>
            <w:vMerge w:val="restart"/>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平均每头（只）畜禽兽药（含疫苗）费用（元/头、只）</w:t>
            </w:r>
          </w:p>
        </w:tc>
        <w:tc>
          <w:tcPr>
            <w:tcW w:w="2340" w:type="dxa"/>
            <w:gridSpan w:val="2"/>
            <w:vMerge w:val="restart"/>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饲料来源（含药物饲料）</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A自配；B购买核心料；C购买浓缩料；D购买全价料</w:t>
            </w:r>
          </w:p>
        </w:tc>
        <w:tc>
          <w:tcPr>
            <w:tcW w:w="1136" w:type="dxa"/>
            <w:vMerge w:val="restart"/>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员工总数</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（人）</w:t>
            </w:r>
          </w:p>
        </w:tc>
        <w:tc>
          <w:tcPr>
            <w:tcW w:w="1056" w:type="dxa"/>
            <w:vMerge w:val="restart"/>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兽医数量</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000000"/>
                <w:kern w:val="0"/>
                <w:sz w:val="24"/>
                <w:szCs w:val="24"/>
              </w:rPr>
            </w:pPr>
          </w:p>
        </w:tc>
        <w:tc>
          <w:tcPr>
            <w:tcW w:w="1095"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治疗用</w:t>
            </w:r>
          </w:p>
        </w:tc>
        <w:tc>
          <w:tcPr>
            <w:tcW w:w="987"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促生长用</w:t>
            </w:r>
          </w:p>
        </w:tc>
        <w:tc>
          <w:tcPr>
            <w:tcW w:w="1658" w:type="dxa"/>
            <w:gridSpan w:val="2"/>
            <w:vMerge w:val="continue"/>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2340" w:type="dxa"/>
            <w:gridSpan w:val="2"/>
            <w:vMerge w:val="continue"/>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136" w:type="dxa"/>
            <w:vMerge w:val="continue"/>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c>
          <w:tcPr>
            <w:tcW w:w="1056" w:type="dxa"/>
            <w:vMerge w:val="continue"/>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13" w:type="dxa"/>
            <w:tcBorders>
              <w:top w:val="nil"/>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仿宋_GB2312" w:hAnsi="仿宋_GB2312" w:eastAsia="仿宋_GB2312" w:cs="仿宋_GB2312"/>
                <w:b/>
                <w:color w:val="C00000"/>
                <w:kern w:val="0"/>
                <w:sz w:val="24"/>
                <w:szCs w:val="24"/>
              </w:rPr>
            </w:pPr>
          </w:p>
        </w:tc>
        <w:tc>
          <w:tcPr>
            <w:tcW w:w="1095" w:type="dxa"/>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C00000"/>
                <w:kern w:val="0"/>
                <w:sz w:val="24"/>
                <w:szCs w:val="24"/>
              </w:rPr>
            </w:pPr>
          </w:p>
        </w:tc>
        <w:tc>
          <w:tcPr>
            <w:tcW w:w="987" w:type="dxa"/>
            <w:tcBorders>
              <w:top w:val="nil"/>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C00000"/>
                <w:kern w:val="0"/>
                <w:sz w:val="24"/>
                <w:szCs w:val="24"/>
              </w:rPr>
            </w:pPr>
          </w:p>
        </w:tc>
        <w:tc>
          <w:tcPr>
            <w:tcW w:w="1658"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C00000"/>
                <w:kern w:val="0"/>
                <w:sz w:val="24"/>
                <w:szCs w:val="24"/>
              </w:rPr>
            </w:pPr>
          </w:p>
        </w:tc>
        <w:tc>
          <w:tcPr>
            <w:tcW w:w="2340"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C00000"/>
                <w:kern w:val="0"/>
                <w:sz w:val="24"/>
                <w:szCs w:val="24"/>
              </w:rPr>
            </w:pPr>
          </w:p>
        </w:tc>
        <w:tc>
          <w:tcPr>
            <w:tcW w:w="1136"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C00000"/>
                <w:kern w:val="0"/>
                <w:sz w:val="24"/>
                <w:szCs w:val="24"/>
              </w:rPr>
            </w:pPr>
          </w:p>
        </w:tc>
        <w:tc>
          <w:tcPr>
            <w:tcW w:w="1056" w:type="dxa"/>
            <w:tcBorders>
              <w:top w:val="single" w:color="auto" w:sz="4" w:space="0"/>
              <w:left w:val="nil"/>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C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53"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法人代表(签字)：</w:t>
            </w:r>
          </w:p>
          <w:p>
            <w:pPr>
              <w:widowControl w:val="0"/>
              <w:adjustRightInd w:val="0"/>
              <w:snapToGrid w:val="0"/>
              <w:spacing w:line="240" w:lineRule="auto"/>
              <w:rPr>
                <w:rFonts w:hint="eastAsia" w:ascii="仿宋_GB2312" w:hAnsi="仿宋_GB2312" w:eastAsia="仿宋_GB2312" w:cs="仿宋_GB2312"/>
                <w:color w:val="000000"/>
                <w:kern w:val="0"/>
                <w:sz w:val="24"/>
                <w:szCs w:val="24"/>
              </w:rPr>
            </w:pPr>
          </w:p>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报名养殖场(盖章)</w:t>
            </w:r>
          </w:p>
          <w:p>
            <w:pPr>
              <w:adjustRightInd w:val="0"/>
              <w:snapToGrid w:val="0"/>
              <w:spacing w:line="240" w:lineRule="auto"/>
              <w:ind w:firstLine="360" w:firstLineChars="150"/>
              <w:rPr>
                <w:rFonts w:hint="eastAsia" w:ascii="仿宋_GB2312" w:hAnsi="仿宋_GB2312" w:eastAsia="仿宋_GB2312" w:cs="仿宋_GB2312"/>
                <w:color w:val="000000"/>
                <w:kern w:val="0"/>
                <w:sz w:val="24"/>
                <w:szCs w:val="24"/>
              </w:rPr>
            </w:pPr>
          </w:p>
          <w:p>
            <w:pPr>
              <w:adjustRightInd w:val="0"/>
              <w:snapToGrid w:val="0"/>
              <w:spacing w:line="240" w:lineRule="auto"/>
              <w:ind w:firstLine="360" w:firstLineChars="15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 xml:space="preserve">   年</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月</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日</w:t>
            </w:r>
          </w:p>
        </w:tc>
        <w:tc>
          <w:tcPr>
            <w:tcW w:w="4532"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rPr>
                <w:rFonts w:hint="eastAsia" w:ascii="仿宋_GB2312" w:hAnsi="仿宋_GB2312" w:eastAsia="仿宋_GB2312" w:cs="仿宋_GB2312"/>
                <w:color w:val="000000"/>
                <w:kern w:val="0"/>
                <w:sz w:val="24"/>
                <w:szCs w:val="24"/>
              </w:rPr>
            </w:pPr>
          </w:p>
          <w:p>
            <w:pPr>
              <w:widowControl w:val="0"/>
              <w:adjustRightInd w:val="0"/>
              <w:snapToGrid w:val="0"/>
              <w:spacing w:line="240" w:lineRule="auto"/>
              <w:rPr>
                <w:rFonts w:hint="eastAsia" w:ascii="仿宋_GB2312" w:hAnsi="仿宋_GB2312" w:eastAsia="仿宋_GB2312" w:cs="仿宋_GB2312"/>
                <w:color w:val="000000"/>
                <w:kern w:val="0"/>
                <w:sz w:val="24"/>
                <w:szCs w:val="24"/>
              </w:rPr>
            </w:pPr>
          </w:p>
          <w:p>
            <w:pPr>
              <w:widowControl w:val="0"/>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养殖场声明：郑重承诺向兽医行政主管部门提交的申报指标数据属实，我养殖场对其真实性负全部责任。</w:t>
            </w:r>
          </w:p>
          <w:p>
            <w:pPr>
              <w:adjustRightInd w:val="0"/>
              <w:snapToGrid w:val="0"/>
              <w:spacing w:line="240" w:lineRule="auto"/>
              <w:ind w:firstLine="840" w:firstLineChars="350"/>
              <w:rPr>
                <w:rFonts w:hint="eastAsia" w:ascii="仿宋_GB2312" w:hAnsi="仿宋_GB2312" w:eastAsia="仿宋_GB2312" w:cs="仿宋_GB2312"/>
                <w:color w:val="000000"/>
                <w:kern w:val="0"/>
                <w:sz w:val="24"/>
                <w:szCs w:val="24"/>
              </w:rPr>
            </w:pPr>
          </w:p>
          <w:p>
            <w:pPr>
              <w:adjustRightInd w:val="0"/>
              <w:snapToGrid w:val="0"/>
              <w:spacing w:line="240" w:lineRule="auto"/>
              <w:ind w:firstLine="1920" w:firstLineChars="800"/>
              <w:rPr>
                <w:rFonts w:hint="eastAsia" w:ascii="仿宋_GB2312" w:hAnsi="仿宋_GB2312" w:eastAsia="仿宋_GB2312" w:cs="仿宋_GB2312"/>
                <w:color w:val="000000"/>
                <w:kern w:val="0"/>
                <w:sz w:val="24"/>
                <w:szCs w:val="24"/>
              </w:rPr>
            </w:pPr>
          </w:p>
          <w:p>
            <w:pPr>
              <w:adjustRightInd w:val="0"/>
              <w:snapToGrid w:val="0"/>
              <w:spacing w:line="240" w:lineRule="auto"/>
              <w:ind w:firstLine="2520" w:firstLineChars="105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年</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月</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日</w:t>
            </w:r>
          </w:p>
        </w:tc>
      </w:tr>
    </w:tbl>
    <w:p>
      <w:pPr>
        <w:adjustRightInd w:val="0"/>
        <w:snapToGrid w:val="0"/>
        <w:spacing w:line="320" w:lineRule="exact"/>
        <w:rPr>
          <w:rFonts w:hint="eastAsia" w:ascii="仿宋_GB2312" w:hAnsi="仿宋_GB2312" w:eastAsia="仿宋_GB2312" w:cs="仿宋_GB2312"/>
          <w:color w:val="000000"/>
          <w:kern w:val="0"/>
          <w:sz w:val="24"/>
        </w:rPr>
      </w:pPr>
      <w:r>
        <w:rPr>
          <w:rFonts w:hint="eastAsia" w:ascii="黑体" w:hAnsi="黑体" w:eastAsia="黑体" w:cs="黑体"/>
          <w:sz w:val="24"/>
        </w:rPr>
        <w:t>备注：</w:t>
      </w:r>
      <w:r>
        <w:rPr>
          <w:rFonts w:hint="eastAsia" w:ascii="仿宋_GB2312" w:hAnsi="仿宋_GB2312" w:eastAsia="仿宋_GB2312" w:cs="仿宋_GB2312"/>
          <w:sz w:val="24"/>
        </w:rPr>
        <w:t>1.</w:t>
      </w:r>
      <w:r>
        <w:rPr>
          <w:rFonts w:hint="eastAsia" w:ascii="仿宋_GB2312" w:hAnsi="仿宋_GB2312" w:eastAsia="仿宋_GB2312" w:cs="仿宋_GB2312"/>
          <w:color w:val="000000"/>
          <w:kern w:val="0"/>
          <w:sz w:val="24"/>
        </w:rPr>
        <w:t>兽用抗菌药使用量栏目为全年使用制剂数量，换算为原料药的重量。</w:t>
      </w:r>
    </w:p>
    <w:p>
      <w:pPr>
        <w:adjustRightInd w:val="0"/>
        <w:snapToGrid w:val="0"/>
        <w:spacing w:line="3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2.饲料来源（含药物饲料）可多项选择并附详细情况介绍。</w:t>
      </w:r>
    </w:p>
    <w:p>
      <w:pPr>
        <w:widowControl/>
        <w:spacing w:line="590" w:lineRule="exact"/>
        <w:ind w:left="0" w:leftChars="0"/>
        <w:jc w:val="both"/>
        <w:outlineLvl w:val="1"/>
        <w:rPr>
          <w:rFonts w:hint="eastAsia" w:ascii="黑体" w:hAnsi="宋体" w:eastAsia="黑体"/>
          <w:sz w:val="32"/>
          <w:szCs w:val="32"/>
          <w:lang w:val="en-US" w:eastAsia="zh-CN"/>
        </w:rPr>
      </w:pPr>
      <w:r>
        <w:rPr>
          <w:rFonts w:hint="eastAsia" w:ascii="黑体" w:hAnsi="宋体" w:eastAsia="黑体"/>
          <w:sz w:val="32"/>
          <w:szCs w:val="32"/>
          <w:lang w:val="en-US" w:eastAsia="zh-CN"/>
        </w:rPr>
        <w:br w:type="page"/>
      </w:r>
      <w:r>
        <w:rPr>
          <w:rFonts w:hint="eastAsia" w:ascii="黑体" w:hAnsi="宋体" w:eastAsia="黑体"/>
          <w:sz w:val="32"/>
          <w:szCs w:val="32"/>
          <w:lang w:val="en-US" w:eastAsia="zh-CN"/>
        </w:rPr>
        <w:t>附件5</w:t>
      </w:r>
    </w:p>
    <w:p>
      <w:pPr>
        <w:widowControl/>
        <w:spacing w:line="590" w:lineRule="exact"/>
        <w:ind w:left="864" w:leftChars="270"/>
        <w:jc w:val="center"/>
        <w:outlineLvl w:val="1"/>
        <w:rPr>
          <w:rFonts w:hint="eastAsia" w:ascii="方正小标宋简体" w:hAnsi="方正小标宋简体" w:eastAsia="方正小标宋简体" w:cs="方正小标宋简体"/>
          <w:sz w:val="40"/>
          <w:szCs w:val="40"/>
          <w:lang w:val="en-US" w:eastAsia="zh-CN"/>
        </w:rPr>
      </w:pPr>
    </w:p>
    <w:p>
      <w:pPr>
        <w:widowControl/>
        <w:spacing w:line="590" w:lineRule="exact"/>
        <w:ind w:left="0" w:leftChars="0"/>
        <w:jc w:val="center"/>
        <w:outlineLvl w:val="1"/>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参加</w:t>
      </w:r>
      <w:r>
        <w:rPr>
          <w:rFonts w:hint="eastAsia" w:ascii="方正小标宋简体" w:hAnsi="方正小标宋简体" w:eastAsia="方正小标宋简体" w:cs="方正小标宋简体"/>
          <w:b w:val="0"/>
          <w:bCs w:val="0"/>
          <w:sz w:val="44"/>
          <w:szCs w:val="44"/>
        </w:rPr>
        <w:t>兽用抗菌药使用减量化行动</w:t>
      </w:r>
      <w:r>
        <w:rPr>
          <w:rFonts w:hint="eastAsia" w:ascii="方正小标宋简体" w:hAnsi="方正小标宋简体" w:eastAsia="方正小标宋简体" w:cs="方正小标宋简体"/>
          <w:b w:val="0"/>
          <w:bCs w:val="0"/>
          <w:sz w:val="44"/>
          <w:szCs w:val="44"/>
          <w:lang w:val="en-US" w:eastAsia="zh-CN"/>
        </w:rPr>
        <w:t>养殖场</w:t>
      </w:r>
    </w:p>
    <w:p>
      <w:pPr>
        <w:widowControl/>
        <w:spacing w:line="590" w:lineRule="exact"/>
        <w:ind w:left="0" w:leftChars="0"/>
        <w:jc w:val="center"/>
        <w:outlineLvl w:val="1"/>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名单</w:t>
      </w:r>
      <w:r>
        <w:rPr>
          <w:rFonts w:hint="eastAsia" w:ascii="方正小标宋简体" w:hAnsi="方正小标宋简体" w:eastAsia="方正小标宋简体" w:cs="方正小标宋简体"/>
          <w:b w:val="0"/>
          <w:bCs w:val="0"/>
          <w:sz w:val="44"/>
          <w:szCs w:val="44"/>
        </w:rPr>
        <w:t>汇总表</w:t>
      </w:r>
    </w:p>
    <w:p>
      <w:pPr>
        <w:widowControl/>
        <w:spacing w:line="590" w:lineRule="exact"/>
        <w:ind w:firstLine="450" w:firstLineChars="150"/>
        <w:outlineLvl w:val="1"/>
        <w:rPr>
          <w:rFonts w:ascii="仿宋_GB2312" w:hAnsi="新宋体" w:eastAsia="仿宋_GB2312"/>
          <w:sz w:val="30"/>
          <w:szCs w:val="30"/>
        </w:rPr>
      </w:pPr>
    </w:p>
    <w:p>
      <w:pPr>
        <w:widowControl/>
        <w:spacing w:line="590" w:lineRule="exact"/>
        <w:ind w:firstLine="450" w:firstLineChars="150"/>
        <w:outlineLvl w:val="1"/>
        <w:rPr>
          <w:rFonts w:ascii="仿宋_GB2312" w:hAnsi="新宋体" w:eastAsia="仿宋_GB2312"/>
          <w:sz w:val="30"/>
          <w:szCs w:val="30"/>
        </w:rPr>
      </w:pPr>
      <w:r>
        <w:rPr>
          <w:rFonts w:hint="eastAsia" w:ascii="仿宋_GB2312" w:hAnsi="新宋体" w:eastAsia="仿宋_GB2312"/>
          <w:sz w:val="30"/>
          <w:szCs w:val="30"/>
          <w:lang w:val="en-US" w:eastAsia="zh-CN"/>
        </w:rPr>
        <w:t>填报</w:t>
      </w:r>
      <w:r>
        <w:rPr>
          <w:rFonts w:hint="eastAsia" w:ascii="仿宋_GB2312" w:hAnsi="新宋体" w:eastAsia="仿宋_GB2312"/>
          <w:sz w:val="30"/>
          <w:szCs w:val="30"/>
        </w:rPr>
        <w:t>单位</w:t>
      </w:r>
      <w:r>
        <w:rPr>
          <w:rFonts w:ascii="仿宋_GB2312" w:hAnsi="新宋体" w:eastAsia="仿宋_GB2312"/>
          <w:sz w:val="30"/>
          <w:szCs w:val="30"/>
        </w:rPr>
        <w:t>(</w:t>
      </w:r>
      <w:r>
        <w:rPr>
          <w:rFonts w:hint="eastAsia" w:ascii="仿宋_GB2312" w:hAnsi="新宋体" w:eastAsia="仿宋_GB2312"/>
          <w:sz w:val="30"/>
          <w:szCs w:val="30"/>
        </w:rPr>
        <w:t>盖章</w:t>
      </w:r>
      <w:r>
        <w:rPr>
          <w:rFonts w:ascii="仿宋_GB2312" w:hAnsi="新宋体" w:eastAsia="仿宋_GB2312"/>
          <w:sz w:val="30"/>
          <w:szCs w:val="30"/>
        </w:rPr>
        <w:t>)</w:t>
      </w:r>
      <w:r>
        <w:rPr>
          <w:rFonts w:hint="eastAsia" w:ascii="仿宋_GB2312" w:hAnsi="新宋体" w:eastAsia="仿宋_GB2312"/>
          <w:sz w:val="30"/>
          <w:szCs w:val="30"/>
        </w:rPr>
        <w:t>：</w:t>
      </w:r>
      <w:r>
        <w:rPr>
          <w:rFonts w:hint="eastAsia" w:ascii="仿宋_GB2312" w:hAnsi="新宋体" w:eastAsia="仿宋_GB2312"/>
          <w:sz w:val="30"/>
          <w:szCs w:val="30"/>
          <w:lang w:val="en-US" w:eastAsia="zh-CN"/>
        </w:rPr>
        <w:t xml:space="preserve">          </w:t>
      </w:r>
      <w:r>
        <w:rPr>
          <w:rFonts w:hint="eastAsia" w:ascii="仿宋_GB2312" w:hAnsi="新宋体" w:eastAsia="仿宋_GB2312"/>
          <w:sz w:val="30"/>
          <w:szCs w:val="30"/>
        </w:rPr>
        <w:t>联系人：</w:t>
      </w:r>
      <w:r>
        <w:rPr>
          <w:rFonts w:hint="eastAsia" w:ascii="仿宋_GB2312" w:hAnsi="新宋体" w:eastAsia="仿宋_GB2312"/>
          <w:sz w:val="30"/>
          <w:szCs w:val="30"/>
          <w:lang w:val="en-US" w:eastAsia="zh-CN"/>
        </w:rPr>
        <w:t xml:space="preserve">         </w:t>
      </w:r>
      <w:r>
        <w:rPr>
          <w:rFonts w:hint="eastAsia" w:ascii="仿宋_GB2312" w:hAnsi="新宋体" w:eastAsia="仿宋_GB2312"/>
          <w:sz w:val="30"/>
          <w:szCs w:val="30"/>
        </w:rPr>
        <w:t>电话：</w:t>
      </w:r>
    </w:p>
    <w:tbl>
      <w:tblPr>
        <w:tblStyle w:val="5"/>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088"/>
        <w:gridCol w:w="2512"/>
        <w:gridCol w:w="1093"/>
        <w:gridCol w:w="1100"/>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14" w:type="dxa"/>
            <w:tcBorders>
              <w:top w:val="single" w:color="auto" w:sz="4" w:space="0"/>
              <w:left w:val="single" w:color="auto" w:sz="4" w:space="0"/>
              <w:bottom w:val="single" w:color="auto" w:sz="4" w:space="0"/>
              <w:right w:val="single" w:color="auto" w:sz="4" w:space="0"/>
            </w:tcBorders>
            <w:vAlign w:val="bottom"/>
          </w:tcPr>
          <w:p>
            <w:pPr>
              <w:widowControl/>
              <w:spacing w:line="590" w:lineRule="exact"/>
              <w:jc w:val="center"/>
              <w:outlineLvl w:val="1"/>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序号</w:t>
            </w:r>
          </w:p>
        </w:tc>
        <w:tc>
          <w:tcPr>
            <w:tcW w:w="2088" w:type="dxa"/>
            <w:tcBorders>
              <w:top w:val="single" w:color="auto" w:sz="4" w:space="0"/>
              <w:left w:val="single" w:color="auto" w:sz="4" w:space="0"/>
              <w:bottom w:val="single" w:color="auto" w:sz="4" w:space="0"/>
              <w:right w:val="single" w:color="auto" w:sz="4" w:space="0"/>
            </w:tcBorders>
            <w:vAlign w:val="bottom"/>
          </w:tcPr>
          <w:p>
            <w:pPr>
              <w:widowControl/>
              <w:spacing w:line="590" w:lineRule="exact"/>
              <w:jc w:val="center"/>
              <w:outlineLvl w:val="1"/>
              <w:rPr>
                <w:rFonts w:hint="eastAsia" w:ascii="黑体" w:hAnsi="黑体" w:eastAsia="黑体" w:cs="黑体"/>
                <w:b w:val="0"/>
                <w:bCs/>
                <w:sz w:val="28"/>
                <w:szCs w:val="28"/>
              </w:rPr>
            </w:pPr>
            <w:r>
              <w:rPr>
                <w:rFonts w:hint="eastAsia" w:ascii="黑体" w:hAnsi="黑体" w:eastAsia="黑体" w:cs="黑体"/>
                <w:b w:val="0"/>
                <w:bCs/>
                <w:sz w:val="28"/>
                <w:szCs w:val="28"/>
              </w:rPr>
              <w:t>养殖场名称</w:t>
            </w:r>
          </w:p>
        </w:tc>
        <w:tc>
          <w:tcPr>
            <w:tcW w:w="2512" w:type="dxa"/>
            <w:tcBorders>
              <w:top w:val="single" w:color="auto" w:sz="4" w:space="0"/>
              <w:left w:val="single" w:color="auto" w:sz="4" w:space="0"/>
              <w:bottom w:val="single" w:color="auto" w:sz="4" w:space="0"/>
              <w:right w:val="single" w:color="auto" w:sz="4" w:space="0"/>
            </w:tcBorders>
            <w:vAlign w:val="bottom"/>
          </w:tcPr>
          <w:p>
            <w:pPr>
              <w:widowControl/>
              <w:spacing w:line="590" w:lineRule="exact"/>
              <w:jc w:val="center"/>
              <w:outlineLvl w:val="1"/>
              <w:rPr>
                <w:rFonts w:hint="eastAsia" w:ascii="黑体" w:hAnsi="黑体" w:eastAsia="黑体" w:cs="黑体"/>
                <w:b w:val="0"/>
                <w:bCs/>
                <w:sz w:val="28"/>
                <w:szCs w:val="28"/>
              </w:rPr>
            </w:pPr>
            <w:r>
              <w:rPr>
                <w:rFonts w:hint="eastAsia" w:ascii="黑体" w:hAnsi="黑体" w:eastAsia="黑体" w:cs="黑体"/>
                <w:b w:val="0"/>
                <w:bCs/>
                <w:sz w:val="28"/>
                <w:szCs w:val="28"/>
              </w:rPr>
              <w:t>通讯地址</w:t>
            </w:r>
          </w:p>
        </w:tc>
        <w:tc>
          <w:tcPr>
            <w:tcW w:w="1093" w:type="dxa"/>
            <w:tcBorders>
              <w:top w:val="single" w:color="auto" w:sz="4" w:space="0"/>
              <w:left w:val="single" w:color="auto" w:sz="4" w:space="0"/>
              <w:bottom w:val="single" w:color="auto" w:sz="4" w:space="0"/>
              <w:right w:val="single" w:color="auto" w:sz="4" w:space="0"/>
            </w:tcBorders>
            <w:vAlign w:val="bottom"/>
          </w:tcPr>
          <w:p>
            <w:pPr>
              <w:widowControl/>
              <w:spacing w:line="590" w:lineRule="exact"/>
              <w:jc w:val="center"/>
              <w:outlineLvl w:val="1"/>
              <w:rPr>
                <w:rFonts w:hint="eastAsia" w:ascii="黑体" w:hAnsi="黑体" w:eastAsia="黑体" w:cs="黑体"/>
                <w:b w:val="0"/>
                <w:bCs/>
                <w:sz w:val="28"/>
                <w:szCs w:val="28"/>
              </w:rPr>
            </w:pPr>
            <w:r>
              <w:rPr>
                <w:rFonts w:hint="eastAsia" w:ascii="黑体" w:hAnsi="黑体" w:eastAsia="黑体" w:cs="黑体"/>
                <w:b w:val="0"/>
                <w:bCs/>
                <w:sz w:val="28"/>
                <w:szCs w:val="28"/>
              </w:rPr>
              <w:t>联系人</w:t>
            </w:r>
          </w:p>
        </w:tc>
        <w:tc>
          <w:tcPr>
            <w:tcW w:w="1100" w:type="dxa"/>
            <w:tcBorders>
              <w:top w:val="single" w:color="auto" w:sz="4" w:space="0"/>
              <w:left w:val="single" w:color="auto" w:sz="4" w:space="0"/>
              <w:bottom w:val="single" w:color="auto" w:sz="4" w:space="0"/>
              <w:right w:val="single" w:color="auto" w:sz="4" w:space="0"/>
            </w:tcBorders>
            <w:vAlign w:val="bottom"/>
          </w:tcPr>
          <w:p>
            <w:pPr>
              <w:widowControl/>
              <w:spacing w:line="590" w:lineRule="exact"/>
              <w:jc w:val="center"/>
              <w:outlineLvl w:val="1"/>
              <w:rPr>
                <w:rFonts w:hint="eastAsia" w:ascii="黑体" w:hAnsi="黑体" w:eastAsia="黑体" w:cs="黑体"/>
                <w:b w:val="0"/>
                <w:bCs/>
                <w:sz w:val="28"/>
                <w:szCs w:val="28"/>
              </w:rPr>
            </w:pPr>
            <w:r>
              <w:rPr>
                <w:rFonts w:hint="eastAsia" w:ascii="黑体" w:hAnsi="黑体" w:eastAsia="黑体" w:cs="黑体"/>
                <w:b w:val="0"/>
                <w:bCs/>
                <w:sz w:val="28"/>
                <w:szCs w:val="28"/>
              </w:rPr>
              <w:t>手机</w:t>
            </w:r>
          </w:p>
        </w:tc>
        <w:tc>
          <w:tcPr>
            <w:tcW w:w="1448" w:type="dxa"/>
            <w:tcBorders>
              <w:top w:val="single" w:color="auto" w:sz="4" w:space="0"/>
              <w:left w:val="single" w:color="auto" w:sz="4" w:space="0"/>
              <w:bottom w:val="single" w:color="auto" w:sz="4" w:space="0"/>
              <w:right w:val="single" w:color="auto" w:sz="4" w:space="0"/>
            </w:tcBorders>
            <w:vAlign w:val="bottom"/>
          </w:tcPr>
          <w:p>
            <w:pPr>
              <w:widowControl/>
              <w:spacing w:line="590" w:lineRule="exact"/>
              <w:jc w:val="center"/>
              <w:outlineLvl w:val="1"/>
              <w:rPr>
                <w:rFonts w:hint="eastAsia" w:ascii="黑体" w:hAnsi="黑体" w:eastAsia="黑体" w:cs="黑体"/>
                <w:b w:val="0"/>
                <w:bCs/>
                <w:sz w:val="28"/>
                <w:szCs w:val="28"/>
              </w:rPr>
            </w:pPr>
            <w:r>
              <w:rPr>
                <w:rFonts w:hint="eastAsia" w:ascii="黑体" w:hAnsi="黑体" w:eastAsia="黑体" w:cs="黑体"/>
                <w:b w:val="0"/>
                <w:bCs/>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08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512"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093"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100"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44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08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512"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093"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100"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44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08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512"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093"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100"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44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08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512"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093"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100"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44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08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2512"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093"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100"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c>
          <w:tcPr>
            <w:tcW w:w="1448" w:type="dxa"/>
            <w:tcBorders>
              <w:top w:val="single" w:color="auto" w:sz="4" w:space="0"/>
              <w:left w:val="single" w:color="auto" w:sz="4" w:space="0"/>
              <w:bottom w:val="single" w:color="auto" w:sz="4" w:space="0"/>
              <w:right w:val="single" w:color="auto" w:sz="4" w:space="0"/>
            </w:tcBorders>
            <w:vAlign w:val="top"/>
          </w:tcPr>
          <w:p>
            <w:pPr>
              <w:widowControl/>
              <w:spacing w:line="590" w:lineRule="exact"/>
              <w:outlineLvl w:val="1"/>
              <w:rPr>
                <w:rFonts w:hint="eastAsia" w:ascii="黑体" w:hAnsi="黑体" w:eastAsia="黑体" w:cs="黑体"/>
                <w:b w:val="0"/>
                <w:bCs/>
                <w:sz w:val="28"/>
                <w:szCs w:val="28"/>
              </w:rPr>
            </w:pPr>
          </w:p>
        </w:tc>
      </w:tr>
    </w:tbl>
    <w:p>
      <w:pPr>
        <w:spacing w:line="590" w:lineRule="exact"/>
        <w:ind w:firstLine="640" w:firstLineChars="200"/>
        <w:jc w:val="both"/>
        <w:rPr>
          <w:rFonts w:hint="eastAsia" w:ascii="仿宋_GB2312" w:hAnsi="仿宋_GB2312" w:eastAsia="仿宋_GB2312" w:cs="仿宋_GB2312"/>
          <w:snapToGrid w:val="0"/>
          <w:color w:val="FF0000"/>
          <w:kern w:val="0"/>
          <w:sz w:val="32"/>
          <w:szCs w:val="32"/>
          <w:lang w:val="en-US" w:eastAsia="zh-CN"/>
        </w:rPr>
      </w:pPr>
    </w:p>
    <w:p>
      <w:pPr>
        <w:spacing w:line="590" w:lineRule="exact"/>
        <w:ind w:firstLine="640" w:firstLineChars="200"/>
        <w:jc w:val="both"/>
        <w:rPr>
          <w:rFonts w:hint="eastAsia" w:ascii="仿宋_GB2312" w:hAnsi="仿宋_GB2312" w:eastAsia="仿宋_GB2312" w:cs="仿宋_GB2312"/>
          <w:snapToGrid w:val="0"/>
          <w:color w:val="FF0000"/>
          <w:kern w:val="0"/>
          <w:sz w:val="32"/>
          <w:szCs w:val="32"/>
          <w:lang w:val="en-US" w:eastAsia="zh-CN"/>
        </w:rPr>
      </w:pPr>
    </w:p>
    <w:p>
      <w:pPr>
        <w:spacing w:line="590" w:lineRule="exact"/>
        <w:ind w:firstLine="0" w:firstLineChars="0"/>
        <w:jc w:val="both"/>
        <w:rPr>
          <w:rFonts w:hint="eastAsia" w:ascii="仿宋_GB2312" w:hAnsi="仿宋_GB2312" w:eastAsia="仿宋_GB2312" w:cs="仿宋_GB2312"/>
          <w:snapToGrid w:val="0"/>
          <w:color w:val="FF0000"/>
          <w:kern w:val="0"/>
          <w:sz w:val="32"/>
          <w:szCs w:val="32"/>
          <w:lang w:val="en-US" w:eastAsia="zh-CN"/>
        </w:rPr>
      </w:pPr>
    </w:p>
    <w:p>
      <w:pPr>
        <w:widowControl/>
        <w:spacing w:line="590" w:lineRule="exact"/>
        <w:ind w:left="0" w:leftChars="0"/>
        <w:jc w:val="both"/>
        <w:outlineLvl w:val="1"/>
        <w:rPr>
          <w:rFonts w:hint="eastAsia" w:ascii="黑体" w:hAnsi="宋体" w:eastAsia="黑体"/>
          <w:sz w:val="32"/>
          <w:szCs w:val="32"/>
          <w:lang w:val="en-US" w:eastAsia="zh-CN"/>
        </w:rPr>
        <w:sectPr>
          <w:footerReference r:id="rId4" w:type="first"/>
          <w:footerReference r:id="rId3" w:type="default"/>
          <w:pgSz w:w="11906" w:h="16838"/>
          <w:pgMar w:top="1871" w:right="1531" w:bottom="1871" w:left="1531" w:header="851" w:footer="1417" w:gutter="0"/>
          <w:pgNumType w:fmt="decimal"/>
          <w:cols w:space="720" w:num="1"/>
          <w:rtlGutter w:val="0"/>
          <w:docGrid w:type="lines" w:linePitch="590" w:charSpace="0"/>
        </w:sectPr>
      </w:pPr>
    </w:p>
    <w:p>
      <w:pPr>
        <w:widowControl/>
        <w:spacing w:line="590" w:lineRule="exact"/>
        <w:ind w:left="0" w:leftChars="0"/>
        <w:jc w:val="both"/>
        <w:outlineLvl w:val="1"/>
        <w:rPr>
          <w:rFonts w:hint="eastAsia" w:ascii="黑体" w:hAnsi="宋体" w:eastAsia="黑体"/>
          <w:sz w:val="32"/>
          <w:szCs w:val="32"/>
          <w:lang w:val="en-US" w:eastAsia="zh-CN"/>
        </w:rPr>
      </w:pPr>
      <w:r>
        <w:rPr>
          <w:rFonts w:hint="eastAsia" w:ascii="黑体" w:hAnsi="宋体" w:eastAsia="黑体"/>
          <w:b w:val="0"/>
          <w:bCs w:val="0"/>
          <w:sz w:val="32"/>
          <w:szCs w:val="32"/>
          <w:lang w:val="en-US" w:eastAsia="zh-CN"/>
        </w:rPr>
        <w:t xml:space="preserve">附件6   </w:t>
      </w:r>
      <w:r>
        <w:rPr>
          <w:rFonts w:hint="eastAsia" w:ascii="黑体" w:hAnsi="宋体" w:eastAsia="黑体"/>
          <w:sz w:val="32"/>
          <w:szCs w:val="32"/>
          <w:lang w:val="en-US" w:eastAsia="zh-CN"/>
        </w:rPr>
        <w:t xml:space="preserve">           </w:t>
      </w:r>
    </w:p>
    <w:p>
      <w:pPr>
        <w:widowControl/>
        <w:spacing w:line="590" w:lineRule="exact"/>
        <w:ind w:left="0" w:leftChars="0"/>
        <w:jc w:val="center"/>
        <w:outlineLvl w:val="1"/>
        <w:rPr>
          <w:rFonts w:hint="eastAsia" w:ascii="方正小标宋简体" w:hAnsi="方正小标宋简体" w:eastAsia="方正小标宋简体" w:cs="方正小标宋简体"/>
          <w:sz w:val="40"/>
          <w:szCs w:val="40"/>
        </w:rPr>
      </w:pPr>
    </w:p>
    <w:p>
      <w:pPr>
        <w:widowControl/>
        <w:spacing w:line="590" w:lineRule="exact"/>
        <w:ind w:left="0" w:leftChars="0"/>
        <w:jc w:val="center"/>
        <w:outlineLvl w:val="1"/>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兽用抗菌药使用减量化行动</w:t>
      </w:r>
      <w:r>
        <w:rPr>
          <w:rFonts w:hint="eastAsia" w:ascii="方正小标宋简体" w:hAnsi="方正小标宋简体" w:eastAsia="方正小标宋简体" w:cs="方正小标宋简体"/>
          <w:b w:val="0"/>
          <w:bCs w:val="0"/>
          <w:sz w:val="44"/>
          <w:szCs w:val="44"/>
          <w:lang w:val="en-US" w:eastAsia="zh-CN"/>
        </w:rPr>
        <w:t>进度表</w:t>
      </w:r>
    </w:p>
    <w:p>
      <w:pPr>
        <w:widowControl w:val="0"/>
        <w:adjustRightInd w:val="0"/>
        <w:snapToGrid w:val="0"/>
        <w:spacing w:line="320" w:lineRule="exact"/>
        <w:ind w:left="0" w:leftChars="0"/>
        <w:jc w:val="center"/>
        <w:outlineLvl w:val="1"/>
        <w:rPr>
          <w:rFonts w:hint="eastAsia" w:ascii="方正小标宋简体" w:hAnsi="方正小标宋简体" w:eastAsia="方正小标宋简体" w:cs="方正小标宋简体"/>
          <w:b w:val="0"/>
          <w:bCs w:val="0"/>
          <w:sz w:val="44"/>
          <w:szCs w:val="44"/>
          <w:lang w:val="en-US" w:eastAsia="zh-CN"/>
        </w:rPr>
      </w:pPr>
    </w:p>
    <w:p>
      <w:pPr>
        <w:widowControl/>
        <w:spacing w:line="590" w:lineRule="exact"/>
        <w:ind w:firstLine="420" w:firstLineChars="150"/>
        <w:outlineLvl w:val="1"/>
        <w:rPr>
          <w:rFonts w:ascii="仿宋_GB2312" w:hAnsi="新宋体" w:eastAsia="仿宋_GB2312"/>
          <w:sz w:val="28"/>
          <w:szCs w:val="28"/>
        </w:rPr>
      </w:pPr>
      <w:r>
        <w:rPr>
          <w:rFonts w:hint="eastAsia" w:ascii="仿宋_GB2312" w:hAnsi="新宋体" w:eastAsia="仿宋_GB2312"/>
          <w:sz w:val="28"/>
          <w:szCs w:val="28"/>
          <w:lang w:val="en-US" w:eastAsia="zh-CN"/>
        </w:rPr>
        <w:t>填报</w:t>
      </w:r>
      <w:r>
        <w:rPr>
          <w:rFonts w:hint="eastAsia" w:ascii="仿宋_GB2312" w:hAnsi="新宋体" w:eastAsia="仿宋_GB2312"/>
          <w:sz w:val="28"/>
          <w:szCs w:val="28"/>
        </w:rPr>
        <w:t>单位</w:t>
      </w:r>
      <w:r>
        <w:rPr>
          <w:rFonts w:ascii="仿宋_GB2312" w:hAnsi="新宋体" w:eastAsia="仿宋_GB2312"/>
          <w:sz w:val="28"/>
          <w:szCs w:val="28"/>
        </w:rPr>
        <w:t>(</w:t>
      </w:r>
      <w:r>
        <w:rPr>
          <w:rFonts w:hint="eastAsia" w:ascii="仿宋_GB2312" w:hAnsi="新宋体" w:eastAsia="仿宋_GB2312"/>
          <w:sz w:val="28"/>
          <w:szCs w:val="28"/>
        </w:rPr>
        <w:t>盖章</w:t>
      </w:r>
      <w:r>
        <w:rPr>
          <w:rFonts w:ascii="仿宋_GB2312" w:hAnsi="新宋体" w:eastAsia="仿宋_GB2312"/>
          <w:sz w:val="28"/>
          <w:szCs w:val="28"/>
        </w:rPr>
        <w:t>)</w:t>
      </w:r>
      <w:r>
        <w:rPr>
          <w:rFonts w:hint="eastAsia" w:ascii="仿宋_GB2312" w:hAnsi="新宋体" w:eastAsia="仿宋_GB2312"/>
          <w:sz w:val="28"/>
          <w:szCs w:val="28"/>
        </w:rPr>
        <w:t>：</w:t>
      </w:r>
      <w:r>
        <w:rPr>
          <w:rFonts w:hint="eastAsia" w:ascii="仿宋_GB2312" w:hAnsi="新宋体" w:eastAsia="仿宋_GB2312"/>
          <w:sz w:val="28"/>
          <w:szCs w:val="28"/>
          <w:lang w:val="en-US" w:eastAsia="zh-CN"/>
        </w:rPr>
        <w:t xml:space="preserve">                  填报日期</w:t>
      </w:r>
      <w:r>
        <w:rPr>
          <w:rFonts w:hint="eastAsia" w:ascii="仿宋_GB2312" w:hAnsi="新宋体" w:eastAsia="仿宋_GB2312"/>
          <w:sz w:val="28"/>
          <w:szCs w:val="28"/>
        </w:rPr>
        <w:t>：</w:t>
      </w:r>
      <w:r>
        <w:rPr>
          <w:rFonts w:hint="eastAsia" w:ascii="仿宋_GB2312" w:hAnsi="新宋体" w:eastAsia="仿宋_GB2312"/>
          <w:sz w:val="28"/>
          <w:szCs w:val="28"/>
          <w:lang w:val="en-US" w:eastAsia="zh-CN"/>
        </w:rPr>
        <w:t xml:space="preserve">                        </w:t>
      </w:r>
      <w:r>
        <w:rPr>
          <w:rFonts w:hint="eastAsia" w:ascii="仿宋_GB2312" w:hAnsi="新宋体" w:eastAsia="仿宋_GB2312"/>
          <w:sz w:val="28"/>
          <w:szCs w:val="28"/>
        </w:rPr>
        <w:t>联系人</w:t>
      </w:r>
      <w:r>
        <w:rPr>
          <w:rFonts w:hint="eastAsia" w:ascii="仿宋_GB2312" w:hAnsi="新宋体" w:eastAsia="仿宋_GB2312"/>
          <w:sz w:val="28"/>
          <w:szCs w:val="28"/>
          <w:lang w:val="en-US" w:eastAsia="zh-CN"/>
        </w:rPr>
        <w:t>及</w:t>
      </w:r>
      <w:r>
        <w:rPr>
          <w:rFonts w:hint="eastAsia" w:ascii="仿宋_GB2312" w:hAnsi="新宋体" w:eastAsia="仿宋_GB2312"/>
          <w:sz w:val="28"/>
          <w:szCs w:val="28"/>
        </w:rPr>
        <w:t>电话：</w:t>
      </w:r>
    </w:p>
    <w:tbl>
      <w:tblPr>
        <w:tblStyle w:val="5"/>
        <w:tblW w:w="14049" w:type="dxa"/>
        <w:jc w:val="center"/>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976"/>
        <w:gridCol w:w="3125"/>
        <w:gridCol w:w="2311"/>
        <w:gridCol w:w="2311"/>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项目</w:t>
            </w:r>
          </w:p>
        </w:tc>
        <w:tc>
          <w:tcPr>
            <w:tcW w:w="2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1"/>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现有规模养殖场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1"/>
              <w:rPr>
                <w:rFonts w:hint="eastAsia" w:ascii="黑体" w:hAnsi="黑体" w:eastAsia="黑体" w:cs="黑体"/>
                <w:b w:val="0"/>
                <w:bCs/>
                <w:sz w:val="28"/>
                <w:szCs w:val="28"/>
                <w:lang w:eastAsia="zh-CN"/>
              </w:rPr>
            </w:pPr>
            <w:r>
              <w:rPr>
                <w:rFonts w:hint="eastAsia" w:ascii="黑体" w:hAnsi="黑体" w:eastAsia="黑体" w:cs="黑体"/>
                <w:b w:val="0"/>
                <w:bCs/>
                <w:sz w:val="28"/>
                <w:szCs w:val="28"/>
                <w:lang w:val="en-US" w:eastAsia="zh-CN"/>
              </w:rPr>
              <w:t>数量（个）</w:t>
            </w:r>
          </w:p>
        </w:tc>
        <w:tc>
          <w:tcPr>
            <w:tcW w:w="3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1"/>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开展减抗行动养殖场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1"/>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数量（个）</w:t>
            </w:r>
          </w:p>
        </w:tc>
        <w:tc>
          <w:tcPr>
            <w:tcW w:w="2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1"/>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减抗达标养殖场数量（个）</w:t>
            </w:r>
          </w:p>
        </w:tc>
        <w:tc>
          <w:tcPr>
            <w:tcW w:w="2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1"/>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开展宣传培训（人次）</w:t>
            </w: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1"/>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开展技术服务指导（场次）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生猪</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31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12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肉鸡</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31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12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蛋鸡</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31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12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奶牛</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31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12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肉牛</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31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12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肉鸭</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31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12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31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c>
          <w:tcPr>
            <w:tcW w:w="212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1"/>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其他情况说明或意见建议</w:t>
            </w:r>
          </w:p>
        </w:tc>
        <w:tc>
          <w:tcPr>
            <w:tcW w:w="12847"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outlineLvl w:val="1"/>
              <w:rPr>
                <w:rFonts w:hint="eastAsia" w:ascii="仿宋_GB2312" w:hAnsi="仿宋_GB2312" w:eastAsia="仿宋_GB2312" w:cs="仿宋_GB2312"/>
                <w:b w:val="0"/>
                <w:bCs/>
                <w:sz w:val="28"/>
                <w:szCs w:val="2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609000101010101"/>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22865"/>
    <w:rsid w:val="2D722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2022-02-11T07:44:00Z</dcterms:created>
  <dc:creator>李怡欢</dc:creator>
  <cp:lastModifiedBy>李怡欢</cp:lastModifiedBy>
  <dcterms:modified xsi:type="dcterms:W3CDTF">2022-02-11T07:45:25Z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