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6"/>
          <w:sz w:val="2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0"/>
          <w:szCs w:val="28"/>
          <w:lang w:val="en-US" w:eastAsia="zh-CN"/>
        </w:rPr>
        <w:t>世界银行贷款-广东省农产品质量安全提升（示范）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0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0"/>
          <w:szCs w:val="28"/>
          <w:lang w:val="en-US" w:eastAsia="zh-CN"/>
        </w:rPr>
        <w:t>项目研究课题征集汇总表</w:t>
      </w:r>
    </w:p>
    <w:tbl>
      <w:tblPr>
        <w:tblStyle w:val="6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1177"/>
        <w:gridCol w:w="970"/>
        <w:gridCol w:w="2700"/>
        <w:gridCol w:w="3210"/>
        <w:gridCol w:w="3285"/>
        <w:gridCol w:w="1539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8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课题</w:t>
            </w:r>
            <w:r>
              <w:rPr>
                <w:rFonts w:ascii="Times New Roman" w:hAnsi="Times New Roman" w:eastAsia="仿宋_GB2312" w:cs="Times New Roman"/>
                <w:sz w:val="22"/>
              </w:rPr>
              <w:t>名称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类型（正文1-5或其他）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研究的必要性（300字以内）</w:t>
            </w:r>
          </w:p>
        </w:tc>
        <w:tc>
          <w:tcPr>
            <w:tcW w:w="321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研究目的（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凝炼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影响农产品质量安全的风险点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要解决的关键政策/机制/技术/工艺/设备等问题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3</w:t>
            </w:r>
            <w:r>
              <w:rPr>
                <w:rFonts w:ascii="Times New Roman" w:hAnsi="Times New Roman" w:eastAsia="仿宋_GB2312" w:cs="Times New Roman"/>
                <w:sz w:val="22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以内</w:t>
            </w:r>
            <w:r>
              <w:rPr>
                <w:rFonts w:ascii="Times New Roman" w:hAnsi="Times New Roman" w:eastAsia="仿宋_GB2312" w:cs="Times New Roman"/>
                <w:sz w:val="22"/>
              </w:rPr>
              <w:t>）</w:t>
            </w:r>
          </w:p>
        </w:tc>
        <w:tc>
          <w:tcPr>
            <w:tcW w:w="3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研究内容（开展的主要工作，可提出具体建议如技术路线、方案要点等）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（400字以内）</w:t>
            </w:r>
          </w:p>
        </w:tc>
        <w:tc>
          <w:tcPr>
            <w:tcW w:w="153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资金预算（包括材料费/专家费/差旅费/资料费/会议费等）</w:t>
            </w:r>
            <w:r>
              <w:rPr>
                <w:rFonts w:ascii="Times New Roman" w:hAnsi="Times New Roman" w:eastAsia="仿宋_GB2312" w:cs="Times New Roman"/>
                <w:sz w:val="22"/>
              </w:rPr>
              <w:t>（万元）</w:t>
            </w:r>
          </w:p>
        </w:tc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建议</w:t>
            </w:r>
            <w:r>
              <w:rPr>
                <w:rFonts w:ascii="Times New Roman" w:hAnsi="Times New Roman" w:eastAsia="仿宋_GB2312" w:cs="Times New Roman"/>
                <w:sz w:val="22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85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77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70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700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210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285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39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857" w:type="dxa"/>
            <w:vAlign w:val="top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85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85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385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7" w:type="dxa"/>
            <w:vAlign w:val="top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0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85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39" w:type="dxa"/>
            <w:vAlign w:val="top"/>
          </w:tcPr>
          <w:p>
            <w:pPr>
              <w:pStyle w:val="3"/>
              <w:ind w:left="0" w:left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12B4C"/>
    <w:rsid w:val="7DB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styleId="3">
    <w:name w:val="toc 2"/>
    <w:basedOn w:val="1"/>
    <w:next w:val="1"/>
    <w:uiPriority w:val="0"/>
    <w:pPr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2022-03-08T02:10:00Z</dcterms:created>
  <dc:creator>李怡欢</dc:creator>
  <cp:lastModifiedBy>李怡欢</cp:lastModifiedBy>
  <dcterms:modified xsi:type="dcterms:W3CDTF">2022-03-08T02:11:16Z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