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kern w:val="0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-266065</wp:posOffset>
                </wp:positionV>
                <wp:extent cx="419100" cy="762000"/>
                <wp:effectExtent l="0" t="0" r="762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8655" y="1478915"/>
                          <a:ext cx="419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9pt;margin-top:-20.95pt;height:60pt;width:33pt;z-index:251659264;mso-width-relative:page;mso-height-relative:page;" fillcolor="#FFFFFF" filled="t" stroked="f" coordsize="21600,21600" o:gfxdata="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4t/sNkAAAALAQAADwAAAAAAAAAB&#10;ACAAAAAiAAAAZHJzL2Rvd25yZXYueG1sUEsBAhQAFAAAAAgAh07iQELa4q1IAgAAWwQAAA4AAAAA&#10;AAAAAQAgAAAAKAEAAGRycy9lMm9Eb2MueG1sUEsFBgAAAAAGAAYAWQEAAOIFAAAAAA==&#10;">
                <v:path/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2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kern w:val="0"/>
          <w:szCs w:val="32"/>
          <w:lang w:eastAsia="zh-CN"/>
        </w:rPr>
        <w:t>附件</w:t>
      </w:r>
      <w:bookmarkStart w:id="0" w:name="_GoBack"/>
      <w:bookmarkEnd w:id="0"/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  <w:t>同一适宜生态区引种备案主要农作物品种目录（20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  <w:t>批）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kern w:val="0"/>
          <w:szCs w:val="32"/>
          <w:lang w:eastAsia="zh-CN"/>
        </w:rPr>
      </w:pPr>
    </w:p>
    <w:tbl>
      <w:tblPr>
        <w:tblStyle w:val="4"/>
        <w:tblW w:w="133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420"/>
        <w:gridCol w:w="696"/>
        <w:gridCol w:w="1377"/>
        <w:gridCol w:w="1920"/>
        <w:gridCol w:w="3015"/>
        <w:gridCol w:w="1860"/>
        <w:gridCol w:w="1935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14" w:hRule="atLeast"/>
          <w:tblHeader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引种者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育种者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审定编号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引种适宜种植区域和季节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在我省抗性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鉴定结果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泰优韵占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江西现代种业股份有限公司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赣审稻20210081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粤北稻作区作晚造种植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中抗稻瘟病，高感白叶枯病，耐寒性中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4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泰优5776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广东省农业科学院水稻研究所、江西现代种业股份有限公司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桂审稻2021066号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粤北以外稻作区作早造、粤北稻作区作晚造种植。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抗稻瘟病，高感白叶枯病，耐寒性中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6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泰优乡占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江西现代种业股份有限公司、广东省农业科学院水稻研究所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赣审稻20210042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粤北稻作区作晚造种植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中抗稻瘟病，高感白叶枯病，耐寒性中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高峰优1号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桂审稻2020159号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广东中南和西南稻作区作晚造种植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Ansi="仿宋_GB2312"/>
                <w:color w:val="auto"/>
                <w:sz w:val="22"/>
                <w:szCs w:val="22"/>
                <w:lang w:val="en-US" w:eastAsia="zh-CN" w:bidi="ar"/>
              </w:rPr>
              <w:t>抗稻瘟病，中感白叶枯病，</w:t>
            </w:r>
            <w:r>
              <w:rPr>
                <w:rStyle w:val="6"/>
                <w:rFonts w:hAnsi="仿宋_GB2312"/>
                <w:color w:val="auto"/>
                <w:sz w:val="22"/>
                <w:szCs w:val="22"/>
                <w:lang w:val="en-US" w:eastAsia="zh-CN" w:bidi="ar"/>
              </w:rPr>
              <w:t>耐寒性中弱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高峰优5号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广西绿海种业有限公司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桂审稻2020161号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广东中南和西南稻作区作晚造种植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Style w:val="5"/>
                <w:rFonts w:hAnsi="仿宋_GB2312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中抗稻瘟病，中感白叶枯病，耐寒性中弱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恒泰优280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广东现代种业发展有限公司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琼审稻2021014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粤北以外稻作区作晚造种植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抗稻瘟病，中感白叶枯病，耐寒性中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7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13香优1918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北京金色农华种业科技股份有限公司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北京金色农华种业科技股份有限公司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桂审稻2021150号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粤北以外稻作区作晚造种植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抗稻瘟病，中感白叶枯病，耐寒性中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4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吉优1918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北京金色农华种业科技股份有限公司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北京金色农华种业科技股份有限公司、广东省农业科学院水稻研究所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桂审稻2021148号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粤北以外稻作区作晚造种植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抗稻瘟病，感白叶枯病，耐寒性中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4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博II优2877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中国种子集团有限公司三亚分公司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中国种子集团有限公司三亚分公司、中种华南(广州)种业有限公司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琼审稻2019015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粤北以外稻作区作晚造种植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抗稻瘟病，感白叶枯病，耐寒性中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4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隆科丝苗14号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湖南亚华种业有限公司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袁隆平农业高科技股份有限公司、湖南隆平高科种业科学研究院有限公司、湖南亚华种业科学研究院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湘审稻20206029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粤北稻作区作晚造种植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抗稻瘟病，感白叶枯病，耐寒性中强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4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荟甜192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广州极鲜农业有限公司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科荟种业股份有限公司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闽审玉20190002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高抗小斑病，高抗纹枯病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4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嘉华4号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南京嘉华农业发展有限公司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南京嘉华农业发展有限公司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赣审玉20170003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高抗小斑病，高抗纹枯病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4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苏科糯1505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南京嘉华农业发展有限公司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江苏省农业科学院粮食作物研究所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苏审玉20190015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广东省各地春、秋季种植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高抗小斑病，高抗纹枯病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252AF"/>
    <w:rsid w:val="74C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3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hint="eastAsia" w:ascii="仿宋_GB2312" w:hAnsi="Times New Roman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2022-05-26T09:24:00Z</dcterms:created>
  <dc:creator>李怡欢</dc:creator>
  <cp:lastModifiedBy>李怡欢</cp:lastModifiedBy>
  <dcterms:modified xsi:type="dcterms:W3CDTF">2022-05-26T09:24:37Z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