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20" w:lineRule="exact"/>
        <w:jc w:val="center"/>
        <w:rPr>
          <w:rFonts w:eastAsia="黑体"/>
          <w:bCs/>
          <w:color w:val="auto"/>
          <w:sz w:val="44"/>
          <w:szCs w:val="44"/>
        </w:rPr>
      </w:pPr>
    </w:p>
    <w:p>
      <w:pPr>
        <w:adjustRightInd w:val="0"/>
        <w:snapToGrid w:val="0"/>
        <w:spacing w:line="1020" w:lineRule="exact"/>
        <w:jc w:val="center"/>
        <w:rPr>
          <w:rFonts w:hint="eastAsia" w:ascii="方正小标宋简体" w:hAnsi="方正小标宋简体" w:eastAsia="方正小标宋简体" w:cs="方正小标宋简体"/>
          <w:bCs/>
          <w:color w:val="auto"/>
          <w:sz w:val="48"/>
          <w:szCs w:val="48"/>
        </w:rPr>
      </w:pPr>
      <w:bookmarkStart w:id="223" w:name="_GoBack"/>
      <w:r>
        <w:rPr>
          <w:rFonts w:hint="eastAsia" w:ascii="方正小标宋简体" w:hAnsi="方正小标宋简体" w:eastAsia="方正小标宋简体" w:cs="方正小标宋简体"/>
          <w:bCs/>
          <w:color w:val="auto"/>
          <w:sz w:val="48"/>
          <w:szCs w:val="48"/>
        </w:rPr>
        <w:t>2021年省级乡村振兴战略专项省级组织</w:t>
      </w:r>
    </w:p>
    <w:p>
      <w:pPr>
        <w:adjustRightInd w:val="0"/>
        <w:snapToGrid w:val="0"/>
        <w:spacing w:line="1020" w:lineRule="exact"/>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bCs/>
          <w:color w:val="auto"/>
          <w:sz w:val="48"/>
          <w:szCs w:val="48"/>
        </w:rPr>
        <w:t>实施项目绩效自评</w:t>
      </w:r>
      <w:r>
        <w:rPr>
          <w:rFonts w:hint="eastAsia" w:ascii="方正小标宋简体" w:hAnsi="方正小标宋简体" w:eastAsia="方正小标宋简体" w:cs="方正小标宋简体"/>
          <w:color w:val="auto"/>
          <w:sz w:val="48"/>
          <w:szCs w:val="48"/>
        </w:rPr>
        <w:t>报告</w:t>
      </w:r>
    </w:p>
    <w:bookmarkEnd w:id="223"/>
    <w:p>
      <w:pPr>
        <w:spacing w:before="156" w:beforeLines="50" w:after="156" w:afterLines="50"/>
        <w:jc w:val="center"/>
        <w:rPr>
          <w:rFonts w:eastAsia="黑体"/>
          <w:color w:val="auto"/>
          <w:sz w:val="44"/>
          <w:szCs w:val="44"/>
        </w:rPr>
      </w:pPr>
    </w:p>
    <w:p>
      <w:pPr>
        <w:spacing w:before="156" w:beforeLines="50" w:after="156" w:afterLines="50"/>
        <w:rPr>
          <w:rFonts w:eastAsia="黑体"/>
          <w:color w:val="auto"/>
          <w:sz w:val="44"/>
          <w:szCs w:val="44"/>
        </w:rPr>
      </w:pPr>
    </w:p>
    <w:p>
      <w:pPr>
        <w:pStyle w:val="2"/>
        <w:rPr>
          <w:rFonts w:hint="default" w:ascii="Times New Roman" w:hAnsi="Times New Roman" w:eastAsia="黑体"/>
          <w:color w:val="auto"/>
          <w:sz w:val="44"/>
          <w:szCs w:val="44"/>
        </w:rPr>
      </w:pPr>
    </w:p>
    <w:p>
      <w:pPr>
        <w:pStyle w:val="2"/>
        <w:rPr>
          <w:rFonts w:hint="default" w:ascii="Times New Roman" w:hAnsi="Times New Roman"/>
          <w:color w:val="auto"/>
        </w:rPr>
      </w:pPr>
    </w:p>
    <w:p>
      <w:pPr>
        <w:rPr>
          <w:color w:val="auto"/>
        </w:rPr>
      </w:pPr>
    </w:p>
    <w:p>
      <w:pPr>
        <w:pStyle w:val="10"/>
        <w:ind w:firstLine="0" w:firstLineChars="0"/>
        <w:rPr>
          <w:rFonts w:ascii="Times New Roman" w:hAnsi="Times New Roman" w:eastAsia="黑体"/>
          <w:color w:val="auto"/>
          <w:sz w:val="44"/>
          <w:szCs w:val="44"/>
        </w:rPr>
      </w:pPr>
    </w:p>
    <w:p>
      <w:pPr>
        <w:snapToGrid w:val="0"/>
        <w:spacing w:line="360" w:lineRule="auto"/>
        <w:rPr>
          <w:rFonts w:hint="eastAsia" w:ascii="仿宋_GB2312"/>
          <w:color w:val="auto"/>
          <w:sz w:val="32"/>
          <w:szCs w:val="32"/>
        </w:rPr>
      </w:pPr>
      <w:r>
        <w:rPr>
          <w:rFonts w:hint="eastAsia" w:ascii="仿宋_GB2312"/>
          <w:color w:val="auto"/>
          <w:sz w:val="32"/>
          <w:szCs w:val="32"/>
        </w:rPr>
        <w:t xml:space="preserve">          </w:t>
      </w:r>
    </w:p>
    <w:p>
      <w:pPr>
        <w:snapToGrid w:val="0"/>
        <w:spacing w:line="360" w:lineRule="auto"/>
        <w:rPr>
          <w:rFonts w:hint="eastAsia" w:ascii="仿宋_GB2312"/>
          <w:color w:val="auto"/>
          <w:sz w:val="32"/>
          <w:szCs w:val="32"/>
        </w:rPr>
      </w:pPr>
    </w:p>
    <w:p>
      <w:pPr>
        <w:snapToGrid w:val="0"/>
        <w:spacing w:line="360" w:lineRule="auto"/>
        <w:ind w:firstLine="2240" w:firstLineChars="700"/>
        <w:jc w:val="both"/>
        <w:rPr>
          <w:rFonts w:ascii="仿宋_GB2312"/>
          <w:color w:val="auto"/>
          <w:sz w:val="32"/>
          <w:szCs w:val="32"/>
        </w:rPr>
      </w:pPr>
      <w:r>
        <w:rPr>
          <w:rFonts w:hint="eastAsia" w:ascii="仿宋_GB2312"/>
          <w:color w:val="auto"/>
          <w:sz w:val="32"/>
          <w:szCs w:val="32"/>
        </w:rPr>
        <w:t>部门名称：广东省农业农村厅</w:t>
      </w:r>
    </w:p>
    <w:p>
      <w:pPr>
        <w:snapToGrid w:val="0"/>
        <w:spacing w:line="360" w:lineRule="auto"/>
        <w:ind w:firstLine="2240" w:firstLineChars="700"/>
        <w:jc w:val="both"/>
        <w:rPr>
          <w:rFonts w:hint="eastAsia" w:ascii="仿宋_GB2312"/>
          <w:color w:val="auto"/>
          <w:sz w:val="32"/>
          <w:szCs w:val="32"/>
        </w:rPr>
      </w:pPr>
      <w:r>
        <w:rPr>
          <w:rFonts w:hint="eastAsia" w:ascii="仿宋_GB2312"/>
          <w:color w:val="auto"/>
          <w:sz w:val="32"/>
          <w:szCs w:val="32"/>
        </w:rPr>
        <w:t>填报日期</w:t>
      </w:r>
      <w:bookmarkStart w:id="0" w:name="_Toc21411"/>
      <w:r>
        <w:rPr>
          <w:rFonts w:hint="eastAsia" w:ascii="仿宋_GB2312"/>
          <w:color w:val="auto"/>
          <w:sz w:val="32"/>
          <w:szCs w:val="32"/>
        </w:rPr>
        <w:t>：2022年5月31日</w:t>
      </w:r>
    </w:p>
    <w:p>
      <w:pPr>
        <w:pStyle w:val="2"/>
        <w:rPr>
          <w:rFonts w:hint="eastAsia" w:ascii="仿宋_GB2312"/>
          <w:color w:val="auto"/>
          <w:sz w:val="32"/>
          <w:szCs w:val="32"/>
        </w:rPr>
      </w:pPr>
    </w:p>
    <w:p>
      <w:pPr>
        <w:sectPr>
          <w:footerReference r:id="rId3" w:type="default"/>
          <w:pgSz w:w="11906" w:h="16838"/>
          <w:pgMar w:top="1871" w:right="1531" w:bottom="1871" w:left="1531" w:header="851" w:footer="1417" w:gutter="0"/>
          <w:pgBorders>
            <w:top w:val="none" w:sz="0" w:space="0"/>
            <w:left w:val="none" w:sz="0" w:space="0"/>
            <w:bottom w:val="none" w:sz="0" w:space="0"/>
            <w:right w:val="none" w:sz="0" w:space="0"/>
          </w:pgBorders>
          <w:pgNumType w:fmt="decimal" w:start="1"/>
          <w:cols w:space="0" w:num="1"/>
          <w:rtlGutter w:val="0"/>
          <w:docGrid w:type="lines" w:linePitch="595" w:charSpace="0"/>
        </w:sectPr>
      </w:pPr>
    </w:p>
    <w:bookmarkEnd w:id="0"/>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目  录</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楷体_GB2312" w:hAnsi="楷体_GB2312" w:eastAsia="楷体_GB2312" w:cs="楷体_GB2312"/>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一、基本情况</w:t>
      </w:r>
      <w:r>
        <w:rPr>
          <w:rFonts w:hint="default" w:ascii="Arial" w:hAnsi="Arial" w:eastAsia="黑体" w:cs="Arial"/>
          <w:sz w:val="28"/>
          <w:szCs w:val="28"/>
        </w:rPr>
        <w:t>…………………………………………………………………</w:t>
      </w:r>
      <w:r>
        <w:rPr>
          <w:rFonts w:hint="eastAsia" w:ascii="黑体" w:hAnsi="黑体" w:eastAsia="黑体" w:cs="黑体"/>
          <w:sz w:val="28"/>
          <w:szCs w:val="28"/>
        </w:rPr>
        <w:t>1</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99" w:firstLineChars="214"/>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（一）项目基本情况</w:t>
      </w:r>
      <w:r>
        <w:rPr>
          <w:rFonts w:hint="default" w:ascii="Arial" w:hAnsi="Arial" w:eastAsia="黑体" w:cs="Arial"/>
          <w:sz w:val="28"/>
          <w:szCs w:val="28"/>
        </w:rPr>
        <w:t>……………………………………………………</w:t>
      </w:r>
      <w:r>
        <w:rPr>
          <w:rFonts w:hint="eastAsia" w:ascii="楷体_GB2312" w:hAnsi="楷体_GB2312" w:eastAsia="楷体_GB2312" w:cs="楷体_GB2312"/>
          <w:sz w:val="28"/>
          <w:szCs w:val="28"/>
        </w:rPr>
        <w:t>1</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99" w:firstLineChars="214"/>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（二）项目决策情况</w:t>
      </w:r>
      <w:r>
        <w:rPr>
          <w:rFonts w:hint="default" w:ascii="Arial" w:hAnsi="Arial" w:eastAsia="黑体" w:cs="Arial"/>
          <w:sz w:val="28"/>
          <w:szCs w:val="28"/>
        </w:rPr>
        <w:t>……………………………………………………</w:t>
      </w:r>
      <w:r>
        <w:rPr>
          <w:rFonts w:hint="eastAsia" w:ascii="楷体_GB2312" w:hAnsi="楷体_GB2312" w:eastAsia="楷体_GB2312" w:cs="楷体_GB2312"/>
          <w:sz w:val="28"/>
          <w:szCs w:val="28"/>
        </w:rPr>
        <w:t>2</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99" w:firstLineChars="214"/>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（三）绩效目标</w:t>
      </w:r>
      <w:r>
        <w:rPr>
          <w:rFonts w:hint="default" w:ascii="Arial" w:hAnsi="Arial" w:eastAsia="黑体" w:cs="Arial"/>
          <w:sz w:val="28"/>
          <w:szCs w:val="28"/>
        </w:rPr>
        <w:t>…………………………………………………………</w:t>
      </w:r>
      <w:r>
        <w:rPr>
          <w:rFonts w:hint="eastAsia" w:ascii="楷体_GB2312" w:hAnsi="楷体_GB2312" w:eastAsia="楷体_GB2312" w:cs="楷体_GB2312"/>
          <w:sz w:val="28"/>
          <w:szCs w:val="28"/>
        </w:rPr>
        <w:t>5</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二、绩效自评工作组织情况</w:t>
      </w:r>
      <w:r>
        <w:rPr>
          <w:rFonts w:hint="eastAsia" w:ascii="黑体" w:hAnsi="黑体" w:eastAsia="黑体" w:cs="黑体"/>
          <w:sz w:val="28"/>
          <w:szCs w:val="28"/>
          <w:lang w:val="en-US" w:eastAsia="zh-CN"/>
        </w:rPr>
        <w:t xml:space="preserve"> </w:t>
      </w:r>
      <w:r>
        <w:rPr>
          <w:rFonts w:hint="default" w:ascii="Arial" w:hAnsi="Arial" w:eastAsia="黑体" w:cs="Arial"/>
          <w:sz w:val="28"/>
          <w:szCs w:val="28"/>
        </w:rPr>
        <w:t>………………………………………………</w:t>
      </w:r>
      <w:r>
        <w:rPr>
          <w:rFonts w:hint="eastAsia" w:ascii="黑体" w:hAnsi="黑体" w:eastAsia="黑体" w:cs="黑体"/>
          <w:sz w:val="28"/>
          <w:szCs w:val="28"/>
        </w:rPr>
        <w:t>12</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三、绩效自评结论</w:t>
      </w:r>
      <w:r>
        <w:rPr>
          <w:rFonts w:hint="eastAsia" w:ascii="黑体" w:hAnsi="黑体" w:eastAsia="黑体" w:cs="黑体"/>
          <w:sz w:val="28"/>
          <w:szCs w:val="28"/>
          <w:lang w:val="en-US" w:eastAsia="zh-CN"/>
        </w:rPr>
        <w:t xml:space="preserve"> </w:t>
      </w:r>
      <w:r>
        <w:rPr>
          <w:rFonts w:hint="default" w:ascii="Arial" w:hAnsi="Arial" w:eastAsia="黑体" w:cs="Arial"/>
          <w:sz w:val="28"/>
          <w:szCs w:val="28"/>
        </w:rPr>
        <w:t>…………………………………………………………</w:t>
      </w:r>
      <w:r>
        <w:rPr>
          <w:rFonts w:hint="eastAsia" w:ascii="黑体" w:hAnsi="黑体" w:eastAsia="黑体" w:cs="黑体"/>
          <w:sz w:val="28"/>
          <w:szCs w:val="28"/>
        </w:rPr>
        <w:t>13</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四、绩效指标分析</w:t>
      </w:r>
      <w:r>
        <w:rPr>
          <w:rFonts w:hint="eastAsia" w:ascii="黑体" w:hAnsi="黑体" w:eastAsia="黑体" w:cs="黑体"/>
          <w:sz w:val="28"/>
          <w:szCs w:val="28"/>
          <w:lang w:val="en-US" w:eastAsia="zh-CN"/>
        </w:rPr>
        <w:t xml:space="preserve"> </w:t>
      </w:r>
      <w:r>
        <w:rPr>
          <w:rFonts w:hint="default" w:ascii="Arial" w:hAnsi="Arial" w:eastAsia="黑体" w:cs="Arial"/>
          <w:sz w:val="28"/>
          <w:szCs w:val="28"/>
        </w:rPr>
        <w:t>…………………………………………………………</w:t>
      </w:r>
      <w:r>
        <w:rPr>
          <w:rFonts w:hint="eastAsia" w:ascii="黑体" w:hAnsi="黑体" w:eastAsia="黑体" w:cs="黑体"/>
          <w:sz w:val="28"/>
          <w:szCs w:val="28"/>
        </w:rPr>
        <w:t>14</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（一）决策分析</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15</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（二）管理分析</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19</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（三）产出分析</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21</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（四）效益实现度分析</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24</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五、主要绩效</w:t>
      </w:r>
      <w:r>
        <w:rPr>
          <w:rFonts w:hint="eastAsia" w:ascii="黑体" w:hAnsi="黑体" w:eastAsia="黑体" w:cs="黑体"/>
          <w:sz w:val="28"/>
          <w:szCs w:val="28"/>
          <w:lang w:val="en-US" w:eastAsia="zh-CN"/>
        </w:rPr>
        <w:t xml:space="preserve"> </w:t>
      </w:r>
      <w:r>
        <w:rPr>
          <w:rFonts w:hint="default" w:ascii="Arial" w:hAnsi="Arial" w:eastAsia="黑体" w:cs="Arial"/>
          <w:sz w:val="28"/>
          <w:szCs w:val="28"/>
        </w:rPr>
        <w:t>………………………………………………………………</w:t>
      </w:r>
      <w:r>
        <w:rPr>
          <w:rFonts w:hint="eastAsia" w:ascii="黑体" w:hAnsi="黑体" w:eastAsia="黑体" w:cs="黑体"/>
          <w:sz w:val="28"/>
          <w:szCs w:val="28"/>
        </w:rPr>
        <w:t>27</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（一）科技兴农</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27</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（二）农业农村监测检测</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29</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（三）农业农村宣传推广和综合管理及能力建设</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30</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（四）农业农村重点试点示范及基地建设</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31</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（五）现代农业产业园建设</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34</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六、存在问题</w:t>
      </w:r>
      <w:r>
        <w:rPr>
          <w:rFonts w:hint="eastAsia" w:ascii="黑体" w:hAnsi="黑体" w:eastAsia="黑体" w:cs="黑体"/>
          <w:sz w:val="28"/>
          <w:szCs w:val="28"/>
          <w:lang w:val="en-US" w:eastAsia="zh-CN"/>
        </w:rPr>
        <w:t xml:space="preserve"> </w:t>
      </w:r>
      <w:r>
        <w:rPr>
          <w:rFonts w:hint="default" w:ascii="Arial" w:hAnsi="Arial" w:eastAsia="黑体" w:cs="Arial"/>
          <w:sz w:val="28"/>
          <w:szCs w:val="28"/>
        </w:rPr>
        <w:t>………………………………………………………………</w:t>
      </w:r>
      <w:r>
        <w:rPr>
          <w:rFonts w:hint="eastAsia" w:ascii="黑体" w:hAnsi="黑体" w:eastAsia="黑体" w:cs="黑体"/>
          <w:sz w:val="28"/>
          <w:szCs w:val="28"/>
        </w:rPr>
        <w:t>35</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79" w:firstLineChars="207"/>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（一）个别项目资金支出率较低，项目支出率差异较大</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35</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79" w:firstLineChars="207"/>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（二）部分项目管理流程有待优化，影响建设项目规范性</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35</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79" w:firstLineChars="207"/>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（三）财政政策与产业园政策存在差距，企业经营难度大</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36</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七、下一步工作计划</w:t>
      </w:r>
      <w:r>
        <w:rPr>
          <w:rFonts w:hint="eastAsia" w:ascii="黑体" w:hAnsi="黑体" w:eastAsia="黑体" w:cs="黑体"/>
          <w:sz w:val="28"/>
          <w:szCs w:val="28"/>
          <w:lang w:val="en-US" w:eastAsia="zh-CN"/>
        </w:rPr>
        <w:t xml:space="preserve"> </w:t>
      </w:r>
      <w:r>
        <w:rPr>
          <w:rFonts w:hint="default" w:ascii="Arial" w:hAnsi="Arial" w:eastAsia="黑体" w:cs="Arial"/>
          <w:sz w:val="28"/>
          <w:szCs w:val="28"/>
        </w:rPr>
        <w:t>………………………………………………………</w:t>
      </w:r>
      <w:r>
        <w:rPr>
          <w:rFonts w:hint="eastAsia" w:ascii="黑体" w:hAnsi="黑体" w:eastAsia="黑体" w:cs="黑体"/>
          <w:sz w:val="28"/>
          <w:szCs w:val="28"/>
        </w:rPr>
        <w:t>36</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99" w:firstLineChars="214"/>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（一）优化资金管理流程，加强业务培训和典型经验推广</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36</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99" w:firstLineChars="214"/>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（二）强化项目实施单位的主体责任，健全项目监督管理机制</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37</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99" w:firstLineChars="214"/>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（三）优化产业园建设政策措施，保障产业园建设有序推进</w:t>
      </w:r>
      <w:r>
        <w:rPr>
          <w:rFonts w:hint="eastAsia" w:ascii="楷体_GB2312" w:hAnsi="楷体_GB2312" w:eastAsia="楷体_GB2312" w:cs="楷体_GB2312"/>
          <w:sz w:val="28"/>
          <w:szCs w:val="28"/>
          <w:lang w:val="en-US" w:eastAsia="zh-CN"/>
        </w:rPr>
        <w:t xml:space="preserve"> </w:t>
      </w:r>
      <w:r>
        <w:rPr>
          <w:rFonts w:hint="default" w:ascii="Arial" w:hAnsi="Arial" w:eastAsia="黑体" w:cs="Arial"/>
          <w:sz w:val="28"/>
          <w:szCs w:val="28"/>
        </w:rPr>
        <w:t>……</w:t>
      </w:r>
      <w:r>
        <w:rPr>
          <w:rFonts w:hint="eastAsia" w:ascii="楷体_GB2312" w:hAnsi="楷体_GB2312" w:eastAsia="楷体_GB2312" w:cs="楷体_GB2312"/>
          <w:sz w:val="28"/>
          <w:szCs w:val="28"/>
        </w:rPr>
        <w:t>37</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rPr>
        <w:t xml:space="preserve"> </w:t>
      </w:r>
      <w:r>
        <w:rPr>
          <w:rFonts w:hint="default" w:ascii="Arial" w:hAnsi="Arial" w:eastAsia="黑体" w:cs="Arial"/>
          <w:sz w:val="28"/>
          <w:szCs w:val="28"/>
        </w:rPr>
        <w:t>…………………………………………………………………………</w:t>
      </w:r>
      <w:r>
        <w:rPr>
          <w:rFonts w:hint="eastAsia" w:ascii="黑体" w:hAnsi="黑体" w:eastAsia="黑体" w:cs="黑体"/>
          <w:sz w:val="28"/>
          <w:szCs w:val="28"/>
        </w:rPr>
        <w:t>39</w:t>
      </w:r>
    </w:p>
    <w:p>
      <w:pPr>
        <w:adjustRightInd w:val="0"/>
        <w:snapToGrid w:val="0"/>
        <w:spacing w:line="590" w:lineRule="exact"/>
        <w:ind w:firstLine="640" w:firstLineChars="200"/>
        <w:rPr>
          <w:rFonts w:hint="eastAsia" w:ascii="仿宋_GB2312" w:hAnsi="仿宋_GB2312" w:cs="仿宋_GB2312"/>
          <w:color w:val="auto"/>
          <w:sz w:val="32"/>
          <w:szCs w:val="32"/>
          <w:lang w:bidi="ar"/>
        </w:rPr>
        <w:sectPr>
          <w:headerReference r:id="rId4" w:type="default"/>
          <w:footerReference r:id="rId6" w:type="default"/>
          <w:headerReference r:id="rId5" w:type="even"/>
          <w:footerReference r:id="rId7" w:type="even"/>
          <w:pgSz w:w="11906" w:h="16838"/>
          <w:pgMar w:top="1871" w:right="1531" w:bottom="1871" w:left="1531" w:header="851" w:footer="1417" w:gutter="0"/>
          <w:pgBorders>
            <w:top w:val="none" w:sz="0" w:space="0"/>
            <w:left w:val="none" w:sz="0" w:space="0"/>
            <w:bottom w:val="none" w:sz="0" w:space="0"/>
            <w:right w:val="none" w:sz="0" w:space="0"/>
          </w:pgBorders>
          <w:pgNumType w:fmt="decimal" w:start="1"/>
          <w:cols w:space="0" w:num="1"/>
          <w:rtlGutter w:val="0"/>
          <w:docGrid w:type="lines" w:linePitch="595" w:charSpace="0"/>
        </w:sectPr>
      </w:pPr>
    </w:p>
    <w:p>
      <w:pPr>
        <w:adjustRightInd w:val="0"/>
        <w:snapToGrid w:val="0"/>
        <w:spacing w:line="59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lang w:bidi="ar"/>
        </w:rPr>
        <w:t>为检验2021年省级乡村振兴战略省级组织实施项目资金（以下简称“专项资金”）使用绩效，检验专项资金预期绩效目标的实现程度、支出效率和综合效果，进一步强化绩效管理成效，全面推进我省乡村振兴战略工作，根据《广东省财政厅关于做好2022年省级财政重点绩效评价工作的通知》（粤财绩函〔2022〕3号）的相关要求，我厅对专项资金使用情况组织开展了绩效自评。评价基准日为2021年12月31日。</w:t>
      </w:r>
    </w:p>
    <w:p>
      <w:pPr>
        <w:keepNext/>
        <w:keepLines/>
        <w:adjustRightInd w:val="0"/>
        <w:snapToGrid w:val="0"/>
        <w:spacing w:line="590" w:lineRule="exact"/>
        <w:ind w:firstLine="640" w:firstLineChars="200"/>
        <w:outlineLvl w:val="0"/>
        <w:rPr>
          <w:rFonts w:hint="eastAsia" w:ascii="黑体" w:hAnsi="黑体" w:eastAsia="黑体" w:cs="黑体"/>
          <w:color w:val="auto"/>
          <w:kern w:val="0"/>
          <w:sz w:val="32"/>
          <w:szCs w:val="32"/>
        </w:rPr>
      </w:pPr>
      <w:bookmarkStart w:id="1" w:name="_Toc6861"/>
      <w:bookmarkStart w:id="2" w:name="_Toc11752"/>
      <w:bookmarkStart w:id="3" w:name="_Toc27308"/>
      <w:bookmarkStart w:id="4" w:name="_Toc30733"/>
      <w:bookmarkStart w:id="5" w:name="_Toc17224"/>
      <w:bookmarkStart w:id="6" w:name="_Toc104847451"/>
      <w:r>
        <w:rPr>
          <w:rFonts w:hint="eastAsia" w:ascii="黑体" w:hAnsi="黑体" w:eastAsia="黑体" w:cs="黑体"/>
          <w:color w:val="auto"/>
          <w:kern w:val="0"/>
          <w:sz w:val="32"/>
          <w:szCs w:val="32"/>
        </w:rPr>
        <w:t>一、基本情况</w:t>
      </w:r>
      <w:bookmarkEnd w:id="1"/>
      <w:bookmarkEnd w:id="2"/>
      <w:bookmarkEnd w:id="3"/>
      <w:bookmarkEnd w:id="4"/>
      <w:bookmarkEnd w:id="5"/>
      <w:bookmarkEnd w:id="6"/>
    </w:p>
    <w:p>
      <w:pPr>
        <w:keepNext/>
        <w:keepLines/>
        <w:adjustRightInd w:val="0"/>
        <w:snapToGrid w:val="0"/>
        <w:spacing w:line="590" w:lineRule="exact"/>
        <w:ind w:firstLine="640" w:firstLineChars="200"/>
        <w:outlineLvl w:val="1"/>
        <w:rPr>
          <w:rFonts w:hint="eastAsia" w:ascii="楷体_GB2312" w:hAnsi="楷体_GB2312" w:eastAsia="楷体_GB2312" w:cs="楷体_GB2312"/>
          <w:b w:val="0"/>
          <w:bCs w:val="0"/>
          <w:color w:val="auto"/>
          <w:kern w:val="0"/>
          <w:sz w:val="32"/>
          <w:szCs w:val="32"/>
        </w:rPr>
      </w:pPr>
      <w:bookmarkStart w:id="7" w:name="_Toc14529"/>
      <w:bookmarkStart w:id="8" w:name="_Toc512491956"/>
      <w:bookmarkStart w:id="9" w:name="_Toc29650"/>
      <w:bookmarkStart w:id="10" w:name="_Toc22256"/>
      <w:bookmarkStart w:id="11" w:name="_Toc15195"/>
      <w:bookmarkStart w:id="12" w:name="_Toc3336"/>
      <w:bookmarkStart w:id="13" w:name="_Toc104847452"/>
      <w:r>
        <w:rPr>
          <w:rFonts w:hint="eastAsia" w:ascii="楷体_GB2312" w:hAnsi="楷体_GB2312" w:eastAsia="楷体_GB2312" w:cs="楷体_GB2312"/>
          <w:b w:val="0"/>
          <w:bCs w:val="0"/>
          <w:color w:val="auto"/>
          <w:kern w:val="0"/>
          <w:sz w:val="32"/>
          <w:szCs w:val="32"/>
        </w:rPr>
        <w:t>（一）项目基本情况</w:t>
      </w:r>
      <w:bookmarkEnd w:id="7"/>
      <w:bookmarkEnd w:id="8"/>
      <w:bookmarkEnd w:id="9"/>
      <w:bookmarkEnd w:id="10"/>
      <w:bookmarkEnd w:id="11"/>
      <w:bookmarkEnd w:id="12"/>
      <w:bookmarkEnd w:id="13"/>
      <w:bookmarkStart w:id="14" w:name="_Toc512491958"/>
    </w:p>
    <w:p>
      <w:pPr>
        <w:pStyle w:val="10"/>
        <w:adjustRightInd w:val="0"/>
        <w:snapToGrid w:val="0"/>
        <w:spacing w:line="590" w:lineRule="exact"/>
        <w:ind w:firstLine="64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十四五</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时期是全面建成小康社会、乘势而上开启全面建设社会主义现代化国家新征程的第一个五年，也是全面实施乡村振兴战略、加快推进农业农村现代化的关键五年</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要力争农业农村现代化取得阶段性重大进展，加快跟上全省经济社会发展步伐，有力推动城乡和区域差距逐步缩小、发展协调性明显增强，实现巩固拓展脱贫攻坚成果同乡村振兴有效衔接。</w:t>
      </w:r>
    </w:p>
    <w:p>
      <w:pPr>
        <w:widowControl/>
        <w:adjustRightInd w:val="0"/>
        <w:snapToGrid w:val="0"/>
        <w:spacing w:line="590" w:lineRule="exact"/>
        <w:ind w:firstLine="640" w:firstLineChars="200"/>
        <w:jc w:val="both"/>
        <w:rPr>
          <w:rFonts w:hint="eastAsia" w:ascii="仿宋_GB2312" w:hAnsi="仿宋_GB2312" w:eastAsia="仿宋_GB2312" w:cs="仿宋_GB2312"/>
          <w:b/>
          <w:bCs/>
          <w:color w:val="auto"/>
          <w:kern w:val="0"/>
          <w:sz w:val="32"/>
          <w:szCs w:val="32"/>
        </w:rPr>
      </w:pPr>
      <w:r>
        <w:rPr>
          <w:rFonts w:hint="eastAsia" w:ascii="仿宋_GB2312" w:hAnsi="仿宋_GB2312" w:cs="仿宋_GB2312"/>
          <w:color w:val="auto"/>
          <w:sz w:val="32"/>
          <w:szCs w:val="32"/>
          <w:lang w:bidi="ar"/>
        </w:rPr>
        <w:t>2021年专项资金的设立服务于我省乡村振兴战略总体规划以及我厅年度农业产业发展重点工作需要，主要政策依据包括《乡村振兴战略规划（2018-2022年）》《农业农村部 广东省人民政府共同推进广东乡村振兴战略实施合作框架协议（2019-2022年）》《广东省人民政府关于印发广东省推进农业农村现代化“十四五”规划的通知》（粤府〔2021〕56号）等。为全力落实省委、省政府的部署</w:t>
      </w:r>
      <w:r>
        <w:rPr>
          <w:rFonts w:hint="eastAsia" w:ascii="仿宋_GB2312" w:hAnsi="仿宋_GB2312" w:cs="仿宋_GB2312"/>
          <w:color w:val="auto"/>
          <w:sz w:val="32"/>
          <w:szCs w:val="32"/>
          <w:lang w:eastAsia="zh-CN" w:bidi="ar"/>
        </w:rPr>
        <w:t>安排</w:t>
      </w:r>
      <w:r>
        <w:rPr>
          <w:rFonts w:hint="eastAsia" w:ascii="仿宋_GB2312" w:hAnsi="仿宋_GB2312" w:cs="仿宋_GB2312"/>
          <w:color w:val="auto"/>
          <w:sz w:val="32"/>
          <w:szCs w:val="32"/>
          <w:lang w:bidi="ar"/>
        </w:rPr>
        <w:t>，2021年省财政共</w:t>
      </w:r>
      <w:r>
        <w:rPr>
          <w:rFonts w:hint="eastAsia" w:ascii="仿宋_GB2312" w:hAnsi="仿宋_GB2312" w:cs="仿宋_GB2312"/>
          <w:color w:val="auto"/>
          <w:sz w:val="32"/>
          <w:szCs w:val="32"/>
          <w:lang w:eastAsia="zh-CN" w:bidi="ar"/>
        </w:rPr>
        <w:t>下达</w:t>
      </w:r>
      <w:r>
        <w:rPr>
          <w:rFonts w:hint="eastAsia" w:ascii="仿宋_GB2312" w:hAnsi="仿宋_GB2312" w:cs="仿宋_GB2312"/>
          <w:color w:val="auto"/>
          <w:sz w:val="32"/>
          <w:szCs w:val="32"/>
          <w:lang w:bidi="ar"/>
        </w:rPr>
        <w:t>专项资金111721万元用于支持</w:t>
      </w:r>
      <w:r>
        <w:rPr>
          <w:rFonts w:ascii="仿宋_GB2312" w:hAnsi="仿宋_GB2312" w:cs="仿宋_GB2312"/>
          <w:color w:val="auto"/>
          <w:kern w:val="0"/>
          <w:sz w:val="32"/>
          <w:szCs w:val="32"/>
          <w:lang w:bidi="ar"/>
        </w:rPr>
        <w:t>全省</w:t>
      </w:r>
      <w:r>
        <w:rPr>
          <w:rFonts w:hint="eastAsia" w:ascii="仿宋_GB2312" w:hAnsi="仿宋_GB2312" w:eastAsia="仿宋_GB2312" w:cs="仿宋_GB2312"/>
          <w:color w:val="auto"/>
          <w:kern w:val="0"/>
          <w:sz w:val="32"/>
          <w:szCs w:val="32"/>
          <w:lang w:bidi="ar"/>
        </w:rPr>
        <w:t>“</w:t>
      </w:r>
      <w:r>
        <w:rPr>
          <w:rFonts w:ascii="仿宋_GB2312" w:hAnsi="仿宋_GB2312" w:cs="仿宋_GB2312"/>
          <w:color w:val="auto"/>
          <w:kern w:val="0"/>
          <w:sz w:val="32"/>
          <w:szCs w:val="32"/>
          <w:lang w:bidi="ar"/>
        </w:rPr>
        <w:t>三农</w:t>
      </w:r>
      <w:r>
        <w:rPr>
          <w:rFonts w:hint="eastAsia" w:ascii="仿宋_GB2312" w:hAnsi="仿宋_GB2312" w:eastAsia="仿宋_GB2312" w:cs="仿宋_GB2312"/>
          <w:color w:val="auto"/>
          <w:kern w:val="0"/>
          <w:sz w:val="32"/>
          <w:szCs w:val="32"/>
          <w:lang w:bidi="ar"/>
        </w:rPr>
        <w:t>”</w:t>
      </w:r>
      <w:r>
        <w:rPr>
          <w:rFonts w:ascii="仿宋_GB2312" w:hAnsi="仿宋_GB2312" w:cs="仿宋_GB2312"/>
          <w:color w:val="auto"/>
          <w:kern w:val="0"/>
          <w:sz w:val="32"/>
          <w:szCs w:val="32"/>
          <w:lang w:bidi="ar"/>
        </w:rPr>
        <w:t>工作重心将转向全面推进乡村振兴、加快农业农村现代化</w:t>
      </w:r>
      <w:r>
        <w:rPr>
          <w:rFonts w:hint="eastAsia" w:ascii="仿宋_GB2312" w:hAnsi="仿宋_GB2312" w:cs="仿宋_GB2312"/>
          <w:color w:val="auto"/>
          <w:kern w:val="0"/>
          <w:sz w:val="32"/>
          <w:szCs w:val="32"/>
          <w:lang w:bidi="ar"/>
        </w:rPr>
        <w:t>。</w:t>
      </w:r>
      <w:r>
        <w:rPr>
          <w:rFonts w:hint="eastAsia" w:ascii="仿宋_GB2312" w:hAnsi="仿宋_GB2312" w:cs="仿宋_GB2312"/>
          <w:color w:val="auto"/>
          <w:sz w:val="32"/>
          <w:szCs w:val="32"/>
          <w:lang w:bidi="ar"/>
        </w:rPr>
        <w:t>资金分为5个政策任务（使用方向）：科技兴农、农业监测检测、农业农村宣传推广和综合管理及能力建设、农业农村重点试点示范及基地建设、现代农业产业园建设资金</w:t>
      </w:r>
      <w:r>
        <w:rPr>
          <w:rFonts w:hint="eastAsia" w:ascii="仿宋_GB2312" w:hAnsi="仿宋_GB2312" w:cs="仿宋_GB2312"/>
          <w:color w:val="auto"/>
          <w:sz w:val="32"/>
          <w:szCs w:val="32"/>
          <w:lang w:eastAsia="zh-CN" w:bidi="ar"/>
        </w:rPr>
        <w:t>（</w:t>
      </w:r>
      <w:r>
        <w:rPr>
          <w:rFonts w:hint="eastAsia" w:ascii="仿宋_GB2312" w:hAnsi="仿宋_GB2312" w:cs="仿宋_GB2312"/>
          <w:color w:val="auto"/>
          <w:sz w:val="32"/>
          <w:szCs w:val="32"/>
          <w:lang w:val="en-US" w:eastAsia="zh-CN" w:bidi="ar"/>
        </w:rPr>
        <w:t>2020）</w:t>
      </w:r>
      <w:r>
        <w:rPr>
          <w:rFonts w:hint="eastAsia" w:ascii="仿宋_GB2312" w:hAnsi="仿宋_GB2312" w:cs="仿宋_GB2312"/>
          <w:color w:val="auto"/>
          <w:sz w:val="32"/>
          <w:szCs w:val="32"/>
          <w:lang w:bidi="ar"/>
        </w:rPr>
        <w:t>。</w:t>
      </w:r>
      <w:bookmarkStart w:id="15" w:name="_Toc18048"/>
      <w:bookmarkStart w:id="16" w:name="_Toc10811"/>
      <w:bookmarkStart w:id="17" w:name="_Toc17298"/>
    </w:p>
    <w:p>
      <w:pPr>
        <w:keepNext/>
        <w:keepLines/>
        <w:adjustRightInd w:val="0"/>
        <w:snapToGrid w:val="0"/>
        <w:spacing w:line="590" w:lineRule="exact"/>
        <w:ind w:firstLine="640" w:firstLineChars="200"/>
        <w:outlineLvl w:val="1"/>
        <w:rPr>
          <w:rFonts w:hint="eastAsia" w:ascii="楷体_GB2312" w:hAnsi="楷体_GB2312" w:eastAsia="楷体_GB2312" w:cs="楷体_GB2312"/>
          <w:b w:val="0"/>
          <w:bCs w:val="0"/>
          <w:color w:val="auto"/>
          <w:kern w:val="0"/>
          <w:sz w:val="32"/>
          <w:szCs w:val="32"/>
        </w:rPr>
      </w:pPr>
      <w:bookmarkStart w:id="18" w:name="_Toc24146"/>
      <w:bookmarkStart w:id="19" w:name="_Toc27436"/>
      <w:bookmarkStart w:id="20" w:name="_Toc104847453"/>
      <w:r>
        <w:rPr>
          <w:rFonts w:hint="eastAsia" w:ascii="楷体_GB2312" w:hAnsi="楷体_GB2312" w:eastAsia="楷体_GB2312" w:cs="楷体_GB2312"/>
          <w:b w:val="0"/>
          <w:bCs w:val="0"/>
          <w:color w:val="auto"/>
          <w:kern w:val="0"/>
          <w:sz w:val="32"/>
          <w:szCs w:val="32"/>
        </w:rPr>
        <w:t>（二）项目决策情况</w:t>
      </w:r>
      <w:bookmarkEnd w:id="14"/>
      <w:bookmarkEnd w:id="15"/>
      <w:bookmarkEnd w:id="16"/>
      <w:bookmarkEnd w:id="17"/>
      <w:bookmarkEnd w:id="18"/>
      <w:bookmarkEnd w:id="19"/>
      <w:bookmarkEnd w:id="20"/>
    </w:p>
    <w:p>
      <w:pPr>
        <w:pStyle w:val="10"/>
        <w:adjustRightInd w:val="0"/>
        <w:snapToGrid w:val="0"/>
        <w:spacing w:line="590" w:lineRule="exact"/>
        <w:ind w:firstLine="643"/>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1.资金额度与分配方式。</w:t>
      </w:r>
    </w:p>
    <w:p>
      <w:pPr>
        <w:pStyle w:val="10"/>
        <w:adjustRightInd w:val="0"/>
        <w:snapToGrid w:val="0"/>
        <w:spacing w:line="59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根据《中共广东省委 广东省人民政府关于推进乡村振兴战略的实施意见》《广东省人民政府关于印发广东省省级财政专项资金管理办法（试行）的通知》《广东省人民政府关于加强统筹进一步深化预算管理制度改革的实施意见》《广东省涉农资金统筹整合管理办法》等文件，以及一系列农业农村工作和乡村振兴战略相关法律法规政策文件，省财政设立省级乡村振兴战略专项省级组织实施项目资金，用于支持省直单位和部分市县的乡村振兴战略项目。2021年专项资金总盘子为111721万元。我厅按相关政策、省级专项资金管理办法和《关于印发新修订的&lt;广东省农业农村厅财务管理规定（2021年修订稿）&gt;等8项制度》等制度，</w:t>
      </w:r>
      <w:r>
        <w:rPr>
          <w:rFonts w:hint="eastAsia" w:ascii="仿宋_GB2312" w:hAnsi="仿宋_GB2312" w:eastAsia="仿宋_GB2312" w:cs="仿宋_GB2312"/>
          <w:color w:val="auto"/>
          <w:sz w:val="32"/>
          <w:szCs w:val="32"/>
        </w:rPr>
        <w:t>采用公开申报和集体研究的项目制及因素法等分配方式，以</w:t>
      </w:r>
      <w:r>
        <w:rPr>
          <w:rFonts w:hint="eastAsia" w:ascii="仿宋_GB2312" w:hAnsi="仿宋_GB2312" w:eastAsia="仿宋_GB2312" w:cs="仿宋_GB2312"/>
          <w:color w:val="auto"/>
          <w:sz w:val="32"/>
          <w:szCs w:val="32"/>
          <w:lang w:bidi="ar"/>
        </w:rPr>
        <w:t>《关于报送2021年省级乡村振兴战略专项省级项目资金（第一批）安排计划的函》《关于报送2021年省供销社农业面源污染专项资金安排方案的函》《关于商请加快下达2021年乡村振兴战略专项省级项目资金的函》《关于报送2021年省级乡村振兴战略专项省级项目资金（第2批）安排计划的函》《关于报送2021年广东省农业农村厅乡村振兴战略专项省级项目资金（第3批）安排计划的函》等文件向省财政厅报送</w:t>
      </w:r>
      <w:r>
        <w:rPr>
          <w:rFonts w:hint="eastAsia" w:ascii="仿宋_GB2312" w:hAnsi="仿宋_GB2312" w:eastAsia="仿宋_GB2312" w:cs="仿宋_GB2312"/>
          <w:color w:val="auto"/>
          <w:sz w:val="32"/>
          <w:szCs w:val="32"/>
        </w:rPr>
        <w:t>专项资金分配方案，省财政厅复核后经预算管理程序将专项资金下达有关项目实施单位。（详见表1-1、1-2）</w:t>
      </w:r>
    </w:p>
    <w:p>
      <w:pPr>
        <w:pStyle w:val="10"/>
        <w:ind w:firstLine="198" w:firstLineChars="62"/>
        <w:rPr>
          <w:rFonts w:hint="eastAsia" w:ascii="仿宋_GB2312" w:eastAsia="仿宋_GB2312"/>
          <w:color w:val="auto"/>
          <w:sz w:val="32"/>
          <w:szCs w:val="32"/>
        </w:rPr>
      </w:pPr>
    </w:p>
    <w:p>
      <w:pPr>
        <w:jc w:val="center"/>
        <w:rPr>
          <w:rFonts w:ascii="黑体" w:hAnsi="宋体" w:eastAsia="黑体" w:cs="黑体"/>
          <w:color w:val="auto"/>
          <w:sz w:val="28"/>
          <w:szCs w:val="28"/>
          <w:lang w:bidi="ar"/>
        </w:rPr>
      </w:pPr>
      <w:r>
        <w:rPr>
          <w:rFonts w:hint="eastAsia" w:ascii="黑体" w:hAnsi="宋体" w:eastAsia="黑体" w:cs="黑体"/>
          <w:color w:val="auto"/>
          <w:sz w:val="28"/>
          <w:szCs w:val="28"/>
          <w:lang w:bidi="ar"/>
        </w:rPr>
        <w:t>表1-1 专项资金下达文件汇总表</w:t>
      </w:r>
    </w:p>
    <w:tbl>
      <w:tblPr>
        <w:tblStyle w:val="8"/>
        <w:tblW w:w="21588" w:type="dxa"/>
        <w:tblInd w:w="98" w:type="dxa"/>
        <w:tblLayout w:type="fixed"/>
        <w:tblCellMar>
          <w:top w:w="0" w:type="dxa"/>
          <w:left w:w="108" w:type="dxa"/>
          <w:bottom w:w="0" w:type="dxa"/>
          <w:right w:w="108" w:type="dxa"/>
        </w:tblCellMar>
      </w:tblPr>
      <w:tblGrid>
        <w:gridCol w:w="9288"/>
        <w:gridCol w:w="240"/>
        <w:gridCol w:w="12060"/>
      </w:tblGrid>
      <w:tr>
        <w:tblPrEx>
          <w:tblLayout w:type="fixed"/>
          <w:tblCellMar>
            <w:top w:w="0" w:type="dxa"/>
            <w:left w:w="108" w:type="dxa"/>
            <w:bottom w:w="0" w:type="dxa"/>
            <w:right w:w="108" w:type="dxa"/>
          </w:tblCellMar>
        </w:tblPrEx>
        <w:trPr>
          <w:trHeight w:val="1976" w:hRule="atLeast"/>
        </w:trPr>
        <w:tc>
          <w:tcPr>
            <w:tcW w:w="9288" w:type="dxa"/>
            <w:tcBorders>
              <w:top w:val="nil"/>
              <w:left w:val="nil"/>
              <w:bottom w:val="nil"/>
              <w:right w:val="nil"/>
            </w:tcBorders>
            <w:shd w:val="clear" w:color="auto" w:fill="auto"/>
            <w:noWrap/>
            <w:vAlign w:val="center"/>
          </w:tcPr>
          <w:tbl>
            <w:tblPr>
              <w:tblStyle w:val="8"/>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211"/>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782" w:type="dxa"/>
                  <w:tcBorders>
                    <w:tl2br w:val="nil"/>
                    <w:tr2bl w:val="nil"/>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序号</w:t>
                  </w:r>
                </w:p>
              </w:tc>
              <w:tc>
                <w:tcPr>
                  <w:tcW w:w="2211" w:type="dxa"/>
                  <w:tcBorders>
                    <w:tl2br w:val="nil"/>
                    <w:tr2bl w:val="nil"/>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下达时间</w:t>
                  </w:r>
                </w:p>
              </w:tc>
              <w:tc>
                <w:tcPr>
                  <w:tcW w:w="5968" w:type="dxa"/>
                  <w:tcBorders>
                    <w:tl2br w:val="nil"/>
                    <w:tr2bl w:val="nil"/>
                  </w:tcBorders>
                  <w:shd w:val="clear" w:color="auto" w:fill="auto"/>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下达文件名称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w:t>
                  </w:r>
                </w:p>
              </w:tc>
              <w:tc>
                <w:tcPr>
                  <w:tcW w:w="2211"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2021年5月10日</w:t>
                  </w:r>
                </w:p>
              </w:tc>
              <w:tc>
                <w:tcPr>
                  <w:tcW w:w="5968" w:type="dxa"/>
                  <w:tcBorders>
                    <w:tl2br w:val="nil"/>
                    <w:tr2bl w:val="nil"/>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《广东省财政厅关于安排2021年省级乡村振兴战略专项省级组织实施项目资金（第1批）的通知》（粤财农〔2021〕37号）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w:t>
                  </w:r>
                </w:p>
              </w:tc>
              <w:tc>
                <w:tcPr>
                  <w:tcW w:w="2211"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2021年5月29日</w:t>
                  </w:r>
                </w:p>
              </w:tc>
              <w:tc>
                <w:tcPr>
                  <w:tcW w:w="5968" w:type="dxa"/>
                  <w:tcBorders>
                    <w:tl2br w:val="nil"/>
                    <w:tr2bl w:val="nil"/>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《关于安排2021年省级乡村振兴战略专项省级组织实施项目资金（第2批）的通知》（粤财农〔2021〕59号）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3</w:t>
                  </w:r>
                </w:p>
              </w:tc>
              <w:tc>
                <w:tcPr>
                  <w:tcW w:w="2211"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2021年5月29日</w:t>
                  </w:r>
                </w:p>
              </w:tc>
              <w:tc>
                <w:tcPr>
                  <w:tcW w:w="5968" w:type="dxa"/>
                  <w:tcBorders>
                    <w:tl2br w:val="nil"/>
                    <w:tr2bl w:val="nil"/>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《广东省财政厅关于下达2020年省级现代农业产业园省级补助资金（第二期)的通知》（粤财农〔2021〕39号）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4</w:t>
                  </w:r>
                </w:p>
              </w:tc>
              <w:tc>
                <w:tcPr>
                  <w:tcW w:w="2211"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2021年7月20日</w:t>
                  </w:r>
                </w:p>
              </w:tc>
              <w:tc>
                <w:tcPr>
                  <w:tcW w:w="5968" w:type="dxa"/>
                  <w:tcBorders>
                    <w:tl2br w:val="nil"/>
                    <w:tr2bl w:val="nil"/>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《广东省财政厅关于安排2021年省级乡村振兴战略专项省级组织实施项目资金（第3批）的通知》（粤财农〔2021〕73号）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5</w:t>
                  </w:r>
                </w:p>
              </w:tc>
              <w:tc>
                <w:tcPr>
                  <w:tcW w:w="2211"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2021年7月29日</w:t>
                  </w:r>
                </w:p>
              </w:tc>
              <w:tc>
                <w:tcPr>
                  <w:tcW w:w="5968" w:type="dxa"/>
                  <w:tcBorders>
                    <w:tl2br w:val="nil"/>
                    <w:tr2bl w:val="nil"/>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《广东省财政厅关于下达2020年省级现代农业产业园省级补助资金（第三期)的通知》（粤财农〔2021〕96号）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6</w:t>
                  </w:r>
                </w:p>
              </w:tc>
              <w:tc>
                <w:tcPr>
                  <w:tcW w:w="2211"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2021年10月21日</w:t>
                  </w:r>
                </w:p>
              </w:tc>
              <w:tc>
                <w:tcPr>
                  <w:tcW w:w="5968" w:type="dxa"/>
                  <w:tcBorders>
                    <w:tl2br w:val="nil"/>
                    <w:tr2bl w:val="nil"/>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《广东省财政厅关于安排2021年省级乡村振兴战略专项省级项目资金（第4批）的通知》（粤财农〔2021〕125号）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7</w:t>
                  </w:r>
                </w:p>
              </w:tc>
              <w:tc>
                <w:tcPr>
                  <w:tcW w:w="2211" w:type="dxa"/>
                  <w:tcBorders>
                    <w:tl2br w:val="nil"/>
                    <w:tr2bl w:val="nil"/>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2021年12月20日</w:t>
                  </w:r>
                </w:p>
              </w:tc>
              <w:tc>
                <w:tcPr>
                  <w:tcW w:w="5968" w:type="dxa"/>
                  <w:tcBorders>
                    <w:tl2br w:val="nil"/>
                    <w:tr2bl w:val="nil"/>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《广东省财政厅关于安排2021年省级乡村振兴战略专项省级项目资金（第5批）的通知》（粤财农〔2021〕170号）</w:t>
                  </w:r>
                </w:p>
              </w:tc>
            </w:tr>
          </w:tbl>
          <w:p>
            <w:pPr>
              <w:widowControl/>
              <w:jc w:val="left"/>
              <w:textAlignment w:val="center"/>
              <w:rPr>
                <w:rFonts w:ascii="宋体" w:hAnsi="宋体" w:eastAsia="宋体" w:cs="宋体"/>
                <w:color w:val="auto"/>
                <w:sz w:val="22"/>
                <w:szCs w:val="22"/>
              </w:rPr>
            </w:pPr>
          </w:p>
        </w:tc>
        <w:tc>
          <w:tcPr>
            <w:tcW w:w="240" w:type="dxa"/>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auto"/>
                <w:sz w:val="22"/>
                <w:szCs w:val="22"/>
              </w:rPr>
            </w:pPr>
          </w:p>
        </w:tc>
        <w:tc>
          <w:tcPr>
            <w:tcW w:w="12060" w:type="dxa"/>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auto"/>
                <w:sz w:val="22"/>
                <w:szCs w:val="22"/>
              </w:rPr>
            </w:pPr>
          </w:p>
        </w:tc>
      </w:tr>
    </w:tbl>
    <w:p>
      <w:pPr>
        <w:pStyle w:val="10"/>
        <w:ind w:firstLine="198" w:firstLineChars="62"/>
        <w:rPr>
          <w:rFonts w:hint="eastAsia" w:ascii="仿宋_GB2312" w:hAnsi="宋体" w:eastAsia="仿宋_GB2312" w:cs="黑体"/>
          <w:color w:val="auto"/>
          <w:sz w:val="32"/>
          <w:szCs w:val="32"/>
          <w:lang w:bidi="ar"/>
        </w:rPr>
      </w:pPr>
    </w:p>
    <w:p>
      <w:pPr>
        <w:jc w:val="left"/>
        <w:rPr>
          <w:rFonts w:hint="eastAsia" w:ascii="黑体" w:hAnsi="宋体" w:eastAsia="黑体" w:cs="黑体"/>
          <w:color w:val="auto"/>
          <w:sz w:val="28"/>
          <w:szCs w:val="28"/>
          <w:lang w:bidi="ar"/>
        </w:rPr>
      </w:pPr>
      <w:r>
        <w:rPr>
          <w:rFonts w:hint="eastAsia" w:ascii="黑体" w:hAnsi="宋体" w:eastAsia="黑体" w:cs="黑体"/>
          <w:color w:val="auto"/>
          <w:sz w:val="28"/>
          <w:szCs w:val="28"/>
          <w:lang w:bidi="ar"/>
        </w:rPr>
        <w:br w:type="page"/>
      </w:r>
    </w:p>
    <w:p>
      <w:pPr>
        <w:jc w:val="center"/>
        <w:rPr>
          <w:rFonts w:ascii="仿宋_GB2312" w:eastAsia="黑体"/>
          <w:color w:val="auto"/>
          <w:sz w:val="32"/>
          <w:szCs w:val="32"/>
        </w:rPr>
      </w:pPr>
      <w:r>
        <w:rPr>
          <w:rFonts w:hint="eastAsia" w:ascii="黑体" w:hAnsi="宋体" w:eastAsia="黑体" w:cs="黑体"/>
          <w:color w:val="auto"/>
          <w:sz w:val="28"/>
          <w:szCs w:val="28"/>
          <w:lang w:bidi="ar"/>
        </w:rPr>
        <w:t>表1-2 按政策任务专项资金分配情况表</w:t>
      </w:r>
    </w:p>
    <w:tbl>
      <w:tblPr>
        <w:tblStyle w:val="8"/>
        <w:tblW w:w="9148" w:type="dxa"/>
        <w:tblInd w:w="0" w:type="dxa"/>
        <w:tblLayout w:type="fixed"/>
        <w:tblCellMar>
          <w:top w:w="0" w:type="dxa"/>
          <w:left w:w="108" w:type="dxa"/>
          <w:bottom w:w="0" w:type="dxa"/>
          <w:right w:w="108" w:type="dxa"/>
        </w:tblCellMar>
      </w:tblPr>
      <w:tblGrid>
        <w:gridCol w:w="693"/>
        <w:gridCol w:w="3323"/>
        <w:gridCol w:w="2507"/>
        <w:gridCol w:w="1286"/>
        <w:gridCol w:w="1339"/>
      </w:tblGrid>
      <w:tr>
        <w:tblPrEx>
          <w:tblLayout w:type="fixed"/>
          <w:tblCellMar>
            <w:top w:w="0" w:type="dxa"/>
            <w:left w:w="108" w:type="dxa"/>
            <w:bottom w:w="0" w:type="dxa"/>
            <w:right w:w="108" w:type="dxa"/>
          </w:tblCellMar>
        </w:tblPrEx>
        <w:trPr>
          <w:trHeight w:val="280" w:hRule="atLeast"/>
        </w:trPr>
        <w:tc>
          <w:tcPr>
            <w:tcW w:w="9148" w:type="dxa"/>
            <w:gridSpan w:val="5"/>
            <w:tcBorders>
              <w:top w:val="nil"/>
              <w:left w:val="nil"/>
              <w:bottom w:val="single" w:color="auto" w:sz="4" w:space="0"/>
              <w:right w:val="nil"/>
            </w:tcBorders>
            <w:shd w:val="clear" w:color="auto" w:fill="auto"/>
            <w:noWrap/>
            <w:vAlign w:val="center"/>
          </w:tcPr>
          <w:p>
            <w:pPr>
              <w:widowControl w:val="0"/>
              <w:adjustRightInd w:val="0"/>
              <w:snapToGrid w:val="0"/>
              <w:jc w:val="right"/>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单位：万元</w:t>
            </w:r>
          </w:p>
        </w:tc>
      </w:tr>
      <w:tr>
        <w:tblPrEx>
          <w:tblLayout w:type="fixed"/>
          <w:tblCellMar>
            <w:top w:w="0" w:type="dxa"/>
            <w:left w:w="108" w:type="dxa"/>
            <w:bottom w:w="0" w:type="dxa"/>
            <w:right w:w="108" w:type="dxa"/>
          </w:tblCellMar>
        </w:tblPrEx>
        <w:trPr>
          <w:trHeight w:val="28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序号</w:t>
            </w:r>
          </w:p>
        </w:tc>
        <w:tc>
          <w:tcPr>
            <w:tcW w:w="3323" w:type="dxa"/>
            <w:tcBorders>
              <w:top w:val="nil"/>
              <w:left w:val="nil"/>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政策任务名称</w:t>
            </w:r>
          </w:p>
        </w:tc>
        <w:tc>
          <w:tcPr>
            <w:tcW w:w="2507" w:type="dxa"/>
            <w:tcBorders>
              <w:top w:val="nil"/>
              <w:left w:val="nil"/>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下达资金文件文号</w:t>
            </w:r>
          </w:p>
        </w:tc>
        <w:tc>
          <w:tcPr>
            <w:tcW w:w="1286" w:type="dxa"/>
            <w:tcBorders>
              <w:top w:val="nil"/>
              <w:left w:val="nil"/>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预算金额</w:t>
            </w:r>
          </w:p>
        </w:tc>
        <w:tc>
          <w:tcPr>
            <w:tcW w:w="1339" w:type="dxa"/>
            <w:tcBorders>
              <w:top w:val="nil"/>
              <w:left w:val="nil"/>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实际下达金额</w:t>
            </w:r>
          </w:p>
        </w:tc>
      </w:tr>
      <w:tr>
        <w:tblPrEx>
          <w:tblLayout w:type="fixed"/>
          <w:tblCellMar>
            <w:top w:w="0" w:type="dxa"/>
            <w:left w:w="108" w:type="dxa"/>
            <w:bottom w:w="0" w:type="dxa"/>
            <w:right w:w="108" w:type="dxa"/>
          </w:tblCellMar>
        </w:tblPrEx>
        <w:trPr>
          <w:trHeight w:val="300" w:hRule="atLeast"/>
        </w:trPr>
        <w:tc>
          <w:tcPr>
            <w:tcW w:w="65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合计</w:t>
            </w:r>
          </w:p>
        </w:tc>
        <w:tc>
          <w:tcPr>
            <w:tcW w:w="1286"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111721</w:t>
            </w:r>
          </w:p>
        </w:tc>
        <w:tc>
          <w:tcPr>
            <w:tcW w:w="1339"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111721</w:t>
            </w:r>
          </w:p>
        </w:tc>
      </w:tr>
      <w:tr>
        <w:tblPrEx>
          <w:tblLayout w:type="fixed"/>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w:t>
            </w:r>
          </w:p>
        </w:tc>
        <w:tc>
          <w:tcPr>
            <w:tcW w:w="3323"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科技兴农</w:t>
            </w:r>
          </w:p>
        </w:tc>
        <w:tc>
          <w:tcPr>
            <w:tcW w:w="2507"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粤财农〔2021〕37号、粤财农〔2021〕73号、</w:t>
            </w:r>
          </w:p>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粤财农〔2021〕59号、</w:t>
            </w:r>
          </w:p>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粤财农〔2021〕125号、粤财农〔2021〕170号</w:t>
            </w:r>
          </w:p>
        </w:tc>
        <w:tc>
          <w:tcPr>
            <w:tcW w:w="1286"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22682</w:t>
            </w:r>
          </w:p>
        </w:tc>
        <w:tc>
          <w:tcPr>
            <w:tcW w:w="1339"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22682</w:t>
            </w:r>
          </w:p>
        </w:tc>
      </w:tr>
      <w:tr>
        <w:tblPrEx>
          <w:tblLayout w:type="fixed"/>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w:t>
            </w:r>
          </w:p>
        </w:tc>
        <w:tc>
          <w:tcPr>
            <w:tcW w:w="3323"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农业农村监测检测</w:t>
            </w:r>
          </w:p>
        </w:tc>
        <w:tc>
          <w:tcPr>
            <w:tcW w:w="250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p>
        </w:tc>
        <w:tc>
          <w:tcPr>
            <w:tcW w:w="1286"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12985</w:t>
            </w:r>
          </w:p>
        </w:tc>
        <w:tc>
          <w:tcPr>
            <w:tcW w:w="1339"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12985</w:t>
            </w:r>
          </w:p>
        </w:tc>
      </w:tr>
      <w:tr>
        <w:tblPrEx>
          <w:tblLayout w:type="fixed"/>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3</w:t>
            </w:r>
          </w:p>
        </w:tc>
        <w:tc>
          <w:tcPr>
            <w:tcW w:w="3323"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农业农村宣传推广和综合管理及能力建设</w:t>
            </w:r>
          </w:p>
        </w:tc>
        <w:tc>
          <w:tcPr>
            <w:tcW w:w="250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p>
        </w:tc>
        <w:tc>
          <w:tcPr>
            <w:tcW w:w="1286"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14097</w:t>
            </w:r>
          </w:p>
        </w:tc>
        <w:tc>
          <w:tcPr>
            <w:tcW w:w="1339"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14097</w:t>
            </w:r>
          </w:p>
        </w:tc>
      </w:tr>
      <w:tr>
        <w:tblPrEx>
          <w:tblLayout w:type="fixed"/>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4</w:t>
            </w:r>
          </w:p>
        </w:tc>
        <w:tc>
          <w:tcPr>
            <w:tcW w:w="3323"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农业农村重点试点示范及基地建设</w:t>
            </w:r>
          </w:p>
        </w:tc>
        <w:tc>
          <w:tcPr>
            <w:tcW w:w="250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p>
        </w:tc>
        <w:tc>
          <w:tcPr>
            <w:tcW w:w="1286"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11957</w:t>
            </w:r>
          </w:p>
        </w:tc>
        <w:tc>
          <w:tcPr>
            <w:tcW w:w="1339"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11957</w:t>
            </w:r>
          </w:p>
        </w:tc>
      </w:tr>
      <w:tr>
        <w:tblPrEx>
          <w:tblLayout w:type="fixed"/>
          <w:tblCellMar>
            <w:top w:w="0" w:type="dxa"/>
            <w:left w:w="108" w:type="dxa"/>
            <w:bottom w:w="0" w:type="dxa"/>
            <w:right w:w="108" w:type="dxa"/>
          </w:tblCellMar>
        </w:tblPrEx>
        <w:trPr>
          <w:trHeight w:val="56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5</w:t>
            </w:r>
          </w:p>
        </w:tc>
        <w:tc>
          <w:tcPr>
            <w:tcW w:w="3323"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现代农业产业园建设</w:t>
            </w:r>
          </w:p>
        </w:tc>
        <w:tc>
          <w:tcPr>
            <w:tcW w:w="2507"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粤财农〔2021〕39号、粤财农〔2021〕96号</w:t>
            </w:r>
          </w:p>
        </w:tc>
        <w:tc>
          <w:tcPr>
            <w:tcW w:w="1286"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50000</w:t>
            </w:r>
          </w:p>
        </w:tc>
        <w:tc>
          <w:tcPr>
            <w:tcW w:w="1339" w:type="dxa"/>
            <w:tcBorders>
              <w:top w:val="nil"/>
              <w:left w:val="nil"/>
              <w:bottom w:val="single" w:color="auto" w:sz="4" w:space="0"/>
              <w:right w:val="single" w:color="auto"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50000</w:t>
            </w:r>
          </w:p>
        </w:tc>
      </w:tr>
    </w:tbl>
    <w:p>
      <w:pPr>
        <w:pStyle w:val="10"/>
        <w:ind w:firstLine="198" w:firstLineChars="62"/>
        <w:rPr>
          <w:rFonts w:hint="eastAsia" w:ascii="仿宋_GB2312" w:eastAsia="仿宋_GB2312"/>
          <w:color w:val="auto"/>
          <w:sz w:val="32"/>
          <w:szCs w:val="32"/>
        </w:rPr>
      </w:pPr>
    </w:p>
    <w:p>
      <w:pPr>
        <w:pStyle w:val="6"/>
        <w:adjustRightInd w:val="0"/>
        <w:snapToGrid w:val="0"/>
        <w:spacing w:line="590" w:lineRule="exact"/>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2.资金主要用途。</w:t>
      </w:r>
    </w:p>
    <w:p>
      <w:pPr>
        <w:pStyle w:val="10"/>
        <w:numPr>
          <w:ilvl w:val="0"/>
          <w:numId w:val="2"/>
        </w:numPr>
        <w:adjustRightInd w:val="0"/>
        <w:snapToGrid w:val="0"/>
        <w:spacing w:line="590" w:lineRule="exact"/>
        <w:ind w:firstLine="64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科技兴农。</w:t>
      </w:r>
    </w:p>
    <w:p>
      <w:pPr>
        <w:pStyle w:val="10"/>
        <w:adjustRightInd w:val="0"/>
        <w:snapToGrid w:val="0"/>
        <w:spacing w:line="590" w:lineRule="exact"/>
        <w:ind w:firstLine="64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资金主要用于：一是新品种新技术新装备研发及示范推广；二是种子工程建设及种质资源保护；三是农产品区域试验；四是创新创业人才培训和新型农民培训；五是重大规划及课题研究等方向。</w:t>
      </w:r>
    </w:p>
    <w:p>
      <w:pPr>
        <w:pStyle w:val="10"/>
        <w:numPr>
          <w:ilvl w:val="0"/>
          <w:numId w:val="2"/>
        </w:numPr>
        <w:adjustRightInd w:val="0"/>
        <w:snapToGrid w:val="0"/>
        <w:spacing w:line="590" w:lineRule="exact"/>
        <w:ind w:firstLine="64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农业农村监测检测。</w:t>
      </w:r>
    </w:p>
    <w:p>
      <w:pPr>
        <w:pStyle w:val="10"/>
        <w:adjustRightInd w:val="0"/>
        <w:snapToGrid w:val="0"/>
        <w:spacing w:line="590" w:lineRule="exact"/>
        <w:ind w:firstLine="64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资金主要用于：加强农产品监测检测，维护食品安安全，及时发现农业生产中存在的问题和风险，提升病虫害、疫情防控能力。</w:t>
      </w:r>
    </w:p>
    <w:p>
      <w:pPr>
        <w:pStyle w:val="10"/>
        <w:numPr>
          <w:ilvl w:val="0"/>
          <w:numId w:val="2"/>
        </w:numPr>
        <w:adjustRightInd w:val="0"/>
        <w:snapToGrid w:val="0"/>
        <w:spacing w:line="590" w:lineRule="exact"/>
        <w:ind w:firstLine="64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农业农村宣传推广和综合管理及能力建设。</w:t>
      </w:r>
    </w:p>
    <w:p>
      <w:pPr>
        <w:pStyle w:val="10"/>
        <w:adjustRightInd w:val="0"/>
        <w:snapToGrid w:val="0"/>
        <w:spacing w:line="590" w:lineRule="exact"/>
        <w:ind w:firstLine="64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资金主要用于：扩大广东省农业品牌影响力，提升品牌价值，提高产品销售额；加强国内国际农业技术品牌交流；宣传推广我省农业农村领域工作经验、典型案例。进行农业农村重大项目前期调研、中期检查跟踪、后期验收、绩效评价等工作。</w:t>
      </w:r>
    </w:p>
    <w:p>
      <w:pPr>
        <w:pStyle w:val="10"/>
        <w:numPr>
          <w:ilvl w:val="0"/>
          <w:numId w:val="2"/>
        </w:numPr>
        <w:adjustRightInd w:val="0"/>
        <w:snapToGrid w:val="0"/>
        <w:spacing w:line="590" w:lineRule="exact"/>
        <w:ind w:firstLine="64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农业农村重点试点示范及基地建设。</w:t>
      </w:r>
    </w:p>
    <w:p>
      <w:pPr>
        <w:pStyle w:val="10"/>
        <w:adjustRightInd w:val="0"/>
        <w:snapToGrid w:val="0"/>
        <w:spacing w:line="590" w:lineRule="exact"/>
        <w:ind w:firstLine="640" w:firstLineChars="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资金主要用于：一是耕地污染治理试点；二是农膜污染治理、农药包装废弃物回收等农村重点示范及基地建设；三是围绕农业面源污染治理示范体系开展试点县（市）供销合作社实施农作物病虫害统防统治社会化服务、肥料统配统施和农作物营养解决方案与植保解决方案服务等，建立以化肥减量控污和农药减量控害为主要内容的省供销社农业面源污染治理示范体系。</w:t>
      </w:r>
    </w:p>
    <w:p>
      <w:pPr>
        <w:pStyle w:val="10"/>
        <w:numPr>
          <w:ilvl w:val="0"/>
          <w:numId w:val="2"/>
        </w:numPr>
        <w:adjustRightInd w:val="0"/>
        <w:snapToGrid w:val="0"/>
        <w:spacing w:line="590" w:lineRule="exact"/>
        <w:ind w:firstLine="64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现代农业产业园建设。</w:t>
      </w:r>
    </w:p>
    <w:p>
      <w:pPr>
        <w:adjustRightInd w:val="0"/>
        <w:snapToGrid w:val="0"/>
        <w:spacing w:line="590" w:lineRule="exact"/>
        <w:ind w:firstLine="640" w:firstLineChars="200"/>
        <w:rPr>
          <w:rFonts w:hint="eastAsia" w:ascii="仿宋_GB2312" w:hAnsi="仿宋_GB2312" w:eastAsia="仿宋_GB2312" w:cs="仿宋_GB2312"/>
          <w:b/>
          <w:bCs/>
          <w:color w:val="auto"/>
          <w:kern w:val="0"/>
          <w:sz w:val="32"/>
          <w:szCs w:val="32"/>
        </w:rPr>
      </w:pPr>
      <w:bookmarkStart w:id="21" w:name="_Toc5103"/>
      <w:bookmarkStart w:id="22" w:name="_Toc512491961"/>
      <w:bookmarkStart w:id="23" w:name="_Toc1569"/>
      <w:bookmarkStart w:id="24" w:name="_Toc3821"/>
      <w:r>
        <w:rPr>
          <w:rFonts w:hint="eastAsia" w:ascii="仿宋_GB2312" w:hAnsi="仿宋_GB2312" w:cs="仿宋_GB2312"/>
          <w:color w:val="auto"/>
          <w:sz w:val="32"/>
          <w:szCs w:val="32"/>
          <w:lang w:bidi="ar"/>
        </w:rPr>
        <w:t>资金主要用于：鼓励支持区域公用品牌创建、扩大产业规模、加工工艺研发及系列产品开发、联结农户的物流电商平台、贷款贴息撬动社会资本投资等方面；允许支持农业设施、农业机械装备、土地流转、产业融合、科技研发与信息支撑等方面；不得用于建设楼堂馆所，不得用于企业经营性开支和债务等一般性支出。</w:t>
      </w:r>
    </w:p>
    <w:p>
      <w:pPr>
        <w:keepNext/>
        <w:keepLines/>
        <w:adjustRightInd w:val="0"/>
        <w:snapToGrid w:val="0"/>
        <w:spacing w:line="590" w:lineRule="exact"/>
        <w:ind w:firstLine="640" w:firstLineChars="200"/>
        <w:outlineLvl w:val="1"/>
        <w:rPr>
          <w:rFonts w:hint="eastAsia" w:ascii="楷体_GB2312" w:hAnsi="楷体_GB2312" w:eastAsia="楷体_GB2312" w:cs="楷体_GB2312"/>
          <w:b w:val="0"/>
          <w:bCs w:val="0"/>
          <w:color w:val="auto"/>
          <w:kern w:val="0"/>
          <w:sz w:val="32"/>
          <w:szCs w:val="32"/>
        </w:rPr>
      </w:pPr>
      <w:bookmarkStart w:id="25" w:name="_Toc10568"/>
      <w:bookmarkStart w:id="26" w:name="_Toc104847454"/>
      <w:bookmarkStart w:id="27" w:name="_Toc21161"/>
      <w:r>
        <w:rPr>
          <w:rFonts w:hint="eastAsia" w:ascii="楷体_GB2312" w:hAnsi="楷体_GB2312" w:eastAsia="楷体_GB2312" w:cs="楷体_GB2312"/>
          <w:b w:val="0"/>
          <w:bCs w:val="0"/>
          <w:color w:val="auto"/>
          <w:kern w:val="0"/>
          <w:sz w:val="32"/>
          <w:szCs w:val="32"/>
        </w:rPr>
        <w:t>（三）绩效目标</w:t>
      </w:r>
      <w:bookmarkEnd w:id="21"/>
      <w:bookmarkEnd w:id="22"/>
      <w:bookmarkEnd w:id="23"/>
      <w:bookmarkEnd w:id="24"/>
      <w:bookmarkEnd w:id="25"/>
      <w:bookmarkEnd w:id="26"/>
      <w:bookmarkEnd w:id="27"/>
    </w:p>
    <w:p>
      <w:pPr>
        <w:adjustRightInd w:val="0"/>
        <w:snapToGrid w:val="0"/>
        <w:spacing w:line="590" w:lineRule="exact"/>
        <w:ind w:firstLine="640" w:firstLineChars="200"/>
        <w:rPr>
          <w:rFonts w:ascii="仿宋_GB2312" w:hAnsi="仿宋_GB2312" w:cs="仿宋_GB2312"/>
          <w:color w:val="auto"/>
          <w:sz w:val="32"/>
          <w:szCs w:val="32"/>
        </w:rPr>
      </w:pPr>
      <w:r>
        <w:rPr>
          <w:rFonts w:hint="eastAsia" w:ascii="仿宋_GB2312" w:hAnsi="仿宋_GB2312" w:cs="仿宋_GB2312"/>
          <w:color w:val="auto"/>
          <w:kern w:val="0"/>
          <w:sz w:val="32"/>
          <w:szCs w:val="32"/>
          <w:lang w:bidi="ar"/>
        </w:rPr>
        <w:t>根据《2021年一级项目预算绩效目标申报表》，2021年省级乡村振兴战略专项省级组织实施项目资金既定绩效目标和绩效指标包括：</w:t>
      </w:r>
    </w:p>
    <w:p>
      <w:pPr>
        <w:pStyle w:val="6"/>
        <w:adjustRightInd w:val="0"/>
        <w:snapToGrid w:val="0"/>
        <w:spacing w:line="590" w:lineRule="exact"/>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1.科技兴农。</w:t>
      </w:r>
    </w:p>
    <w:p>
      <w:pPr>
        <w:adjustRightInd w:val="0"/>
        <w:snapToGrid w:val="0"/>
        <w:spacing w:line="590" w:lineRule="exact"/>
        <w:ind w:firstLine="643" w:firstLineChars="200"/>
        <w:rPr>
          <w:rFonts w:ascii="仿宋_GB2312" w:hAnsi="仿宋_GB2312" w:cs="仿宋_GB2312"/>
          <w:color w:val="auto"/>
          <w:sz w:val="32"/>
          <w:szCs w:val="32"/>
          <w:lang w:bidi="ar"/>
        </w:rPr>
      </w:pPr>
      <w:r>
        <w:rPr>
          <w:rFonts w:hint="eastAsia" w:ascii="仿宋_GB2312" w:hAnsi="仿宋_GB2312" w:cs="仿宋_GB2312"/>
          <w:b/>
          <w:bCs/>
          <w:color w:val="auto"/>
          <w:sz w:val="32"/>
          <w:szCs w:val="32"/>
          <w:lang w:bidi="ar"/>
        </w:rPr>
        <w:t>2021年绩效目标：</w:t>
      </w:r>
      <w:r>
        <w:rPr>
          <w:rFonts w:hint="eastAsia" w:ascii="仿宋_GB2312" w:hAnsi="仿宋_GB2312" w:cs="仿宋_GB2312"/>
          <w:color w:val="auto"/>
          <w:sz w:val="32"/>
          <w:szCs w:val="32"/>
          <w:lang w:bidi="ar"/>
        </w:rPr>
        <w:t>一是</w:t>
      </w:r>
      <w:r>
        <w:rPr>
          <w:rFonts w:ascii="仿宋_GB2312" w:hAnsi="仿宋_GB2312" w:cs="仿宋_GB2312"/>
          <w:color w:val="auto"/>
          <w:sz w:val="32"/>
          <w:szCs w:val="32"/>
          <w:lang w:bidi="ar"/>
        </w:rPr>
        <w:t>新品种新技术新装备研发及示范推广</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继续支持51个省级现代农业产业技术体系创新团队建设</w:t>
      </w:r>
      <w:r>
        <w:rPr>
          <w:rFonts w:hint="eastAsia" w:ascii="仿宋_GB2312" w:hAnsi="仿宋_GB2312" w:cs="仿宋_GB2312"/>
          <w:color w:val="auto"/>
          <w:sz w:val="32"/>
          <w:szCs w:val="32"/>
          <w:lang w:bidi="ar"/>
        </w:rPr>
        <w:t>，</w:t>
      </w:r>
      <w:r>
        <w:rPr>
          <w:rFonts w:hint="eastAsia" w:ascii="仿宋_GB2312" w:hAnsi="仿宋_GB2312" w:eastAsia="仿宋_GB2312" w:cs="仿宋_GB2312"/>
          <w:color w:val="auto"/>
          <w:sz w:val="32"/>
          <w:szCs w:val="32"/>
        </w:rPr>
        <w:t>研发、示范、推广一批新品种（系）、新产品、新技术，制定一批</w:t>
      </w:r>
      <w:r>
        <w:rPr>
          <w:rFonts w:hint="eastAsia" w:ascii="仿宋_GB2312" w:hAnsi="仿宋_GB2312" w:eastAsia="仿宋_GB2312" w:cs="仿宋_GB2312"/>
          <w:snapToGrid w:val="0"/>
          <w:color w:val="auto"/>
          <w:kern w:val="0"/>
          <w:sz w:val="32"/>
          <w:szCs w:val="32"/>
        </w:rPr>
        <w:t>生产技术标准或规程</w:t>
      </w:r>
      <w:r>
        <w:rPr>
          <w:rFonts w:hint="eastAsia" w:ascii="仿宋_GB2312" w:hAnsi="仿宋_GB2312" w:eastAsia="仿宋_GB2312" w:cs="仿宋_GB2312"/>
          <w:color w:val="auto"/>
          <w:sz w:val="32"/>
          <w:szCs w:val="32"/>
        </w:rPr>
        <w:t>，</w:t>
      </w:r>
      <w:r>
        <w:rPr>
          <w:rFonts w:ascii="仿宋_GB2312" w:hAnsi="仿宋_GB2312" w:cs="仿宋_GB2312"/>
          <w:color w:val="auto"/>
          <w:sz w:val="32"/>
          <w:szCs w:val="32"/>
          <w:lang w:bidi="ar"/>
        </w:rPr>
        <w:t>筛选一批新品种试验</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提高我省现代农业</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现代渔业发展综合研发及示范推广能力。</w:t>
      </w:r>
      <w:r>
        <w:rPr>
          <w:rFonts w:hint="eastAsia" w:ascii="仿宋_GB2312" w:hAnsi="仿宋_GB2312" w:cs="仿宋_GB2312"/>
          <w:color w:val="auto"/>
          <w:sz w:val="32"/>
          <w:szCs w:val="32"/>
          <w:lang w:bidi="ar"/>
        </w:rPr>
        <w:t>二是</w:t>
      </w:r>
      <w:r>
        <w:rPr>
          <w:rFonts w:ascii="仿宋_GB2312" w:hAnsi="仿宋_GB2312" w:cs="仿宋_GB2312"/>
          <w:color w:val="auto"/>
          <w:sz w:val="32"/>
          <w:szCs w:val="32"/>
          <w:lang w:bidi="ar"/>
        </w:rPr>
        <w:t>种子工程建设及种质资源保护等</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在荔枝主产区建成200亩以上的优质荔枝品种采穗圃</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建设南药、甘蔗</w:t>
      </w:r>
      <w:r>
        <w:rPr>
          <w:rFonts w:hint="eastAsia" w:ascii="仿宋_GB2312" w:hAnsi="仿宋_GB2312" w:cs="仿宋_GB2312"/>
          <w:color w:val="auto"/>
          <w:sz w:val="32"/>
          <w:szCs w:val="32"/>
          <w:lang w:bidi="ar"/>
        </w:rPr>
        <w:t>各</w:t>
      </w:r>
      <w:r>
        <w:rPr>
          <w:rFonts w:ascii="仿宋_GB2312" w:hAnsi="仿宋_GB2312" w:cs="仿宋_GB2312"/>
          <w:color w:val="auto"/>
          <w:sz w:val="32"/>
          <w:szCs w:val="32"/>
          <w:lang w:bidi="ar"/>
        </w:rPr>
        <w:t>100亩以上的良种繁育基地</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育成或筛选具有重大应用前景的新品种2个以上</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发放南繁科研育种基地地租补助及南繁服务中心管理工作经费</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支持一批国家和省级畜禽遗传资源保种场</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建成广东省种猪遗传评估中心，开展区域性种猪跨场遗传评估，引领种猪基因组选择育种和联合育种的实施。</w:t>
      </w:r>
      <w:r>
        <w:rPr>
          <w:rFonts w:hint="eastAsia" w:ascii="仿宋_GB2312" w:hAnsi="仿宋_GB2312" w:cs="仿宋_GB2312"/>
          <w:color w:val="auto"/>
          <w:sz w:val="32"/>
          <w:szCs w:val="32"/>
          <w:lang w:bidi="ar"/>
        </w:rPr>
        <w:t>三是</w:t>
      </w:r>
      <w:r>
        <w:rPr>
          <w:rFonts w:ascii="仿宋_GB2312" w:hAnsi="仿宋_GB2312" w:cs="仿宋_GB2312"/>
          <w:color w:val="auto"/>
          <w:sz w:val="32"/>
          <w:szCs w:val="32"/>
          <w:lang w:bidi="ar"/>
        </w:rPr>
        <w:t>农产品区域试验</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省级开展水稻、大豆、玉米等农作物新品种田间试验约600个</w:t>
      </w:r>
      <w:r>
        <w:rPr>
          <w:rFonts w:hint="eastAsia" w:ascii="仿宋_GB2312" w:hAnsi="仿宋_GB2312" w:cs="仿宋_GB2312"/>
          <w:color w:val="auto"/>
          <w:sz w:val="32"/>
          <w:szCs w:val="32"/>
          <w:lang w:bidi="ar"/>
        </w:rPr>
        <w:t>（次）</w:t>
      </w:r>
      <w:r>
        <w:rPr>
          <w:rFonts w:ascii="仿宋_GB2312" w:hAnsi="仿宋_GB2312" w:cs="仿宋_GB2312"/>
          <w:color w:val="auto"/>
          <w:sz w:val="32"/>
          <w:szCs w:val="32"/>
          <w:lang w:bidi="ar"/>
        </w:rPr>
        <w:t>以上</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完成约600个水稻新品种稻米品质鉴定</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完成约350个水稻新品种稻瘟病、白叶枯病抗性鉴定</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完成约50个丝苗米新品种香味检测</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完成约100个水稻新品种耐寒性鉴定</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完成约80个玉米新品种品质、抗病性鉴定</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完成约3个大豆新品种品质和抗性鉴定。</w:t>
      </w:r>
      <w:r>
        <w:rPr>
          <w:rFonts w:hint="eastAsia" w:ascii="仿宋_GB2312" w:hAnsi="仿宋_GB2312" w:cs="仿宋_GB2312"/>
          <w:color w:val="auto"/>
          <w:sz w:val="32"/>
          <w:szCs w:val="32"/>
          <w:lang w:bidi="ar"/>
        </w:rPr>
        <w:t>四是</w:t>
      </w:r>
      <w:r>
        <w:rPr>
          <w:rFonts w:ascii="仿宋_GB2312" w:hAnsi="仿宋_GB2312" w:cs="仿宋_GB2312"/>
          <w:color w:val="auto"/>
          <w:sz w:val="32"/>
          <w:szCs w:val="32"/>
          <w:lang w:bidi="ar"/>
        </w:rPr>
        <w:t>创新创业人才培训和新型农民培训</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完成当年度的培训人数等任务。</w:t>
      </w:r>
      <w:r>
        <w:rPr>
          <w:rFonts w:hint="eastAsia" w:ascii="仿宋_GB2312" w:hAnsi="仿宋_GB2312" w:cs="仿宋_GB2312"/>
          <w:color w:val="auto"/>
          <w:sz w:val="32"/>
          <w:szCs w:val="32"/>
          <w:lang w:bidi="ar"/>
        </w:rPr>
        <w:t>五是</w:t>
      </w:r>
      <w:r>
        <w:rPr>
          <w:rFonts w:ascii="仿宋_GB2312" w:hAnsi="仿宋_GB2312" w:cs="仿宋_GB2312"/>
          <w:color w:val="auto"/>
          <w:sz w:val="32"/>
          <w:szCs w:val="32"/>
          <w:lang w:bidi="ar"/>
        </w:rPr>
        <w:t>重大规划及课题研究</w:t>
      </w:r>
      <w:r>
        <w:rPr>
          <w:rFonts w:hint="eastAsia" w:ascii="仿宋_GB2312" w:hAnsi="仿宋_GB2312" w:cs="仿宋_GB2312"/>
          <w:color w:val="auto"/>
          <w:sz w:val="32"/>
          <w:szCs w:val="32"/>
          <w:lang w:bidi="ar"/>
        </w:rPr>
        <w:t>：</w:t>
      </w:r>
      <w:r>
        <w:rPr>
          <w:rFonts w:ascii="仿宋_GB2312" w:hAnsi="仿宋_GB2312" w:cs="仿宋_GB2312"/>
          <w:color w:val="auto"/>
          <w:sz w:val="32"/>
          <w:szCs w:val="32"/>
          <w:lang w:bidi="ar"/>
        </w:rPr>
        <w:t>完成高质量课题研究20份以上。</w:t>
      </w:r>
    </w:p>
    <w:p>
      <w:pPr>
        <w:pStyle w:val="10"/>
        <w:ind w:firstLine="198" w:firstLineChars="62"/>
        <w:rPr>
          <w:rFonts w:ascii="仿宋_GB2312" w:eastAsia="仿宋_GB2312"/>
          <w:color w:val="auto"/>
          <w:sz w:val="32"/>
          <w:szCs w:val="32"/>
        </w:rPr>
      </w:pPr>
    </w:p>
    <w:p>
      <w:pPr>
        <w:spacing w:line="240" w:lineRule="auto"/>
        <w:ind w:firstLine="0" w:firstLineChars="0"/>
        <w:jc w:val="left"/>
        <w:rPr>
          <w:rFonts w:hint="eastAsia" w:ascii="黑体" w:hAnsi="黑体" w:eastAsia="黑体" w:cs="黑体"/>
          <w:bCs/>
          <w:color w:val="auto"/>
          <w:sz w:val="28"/>
          <w:szCs w:val="28"/>
        </w:rPr>
      </w:pPr>
      <w:r>
        <w:rPr>
          <w:rFonts w:hint="eastAsia" w:ascii="黑体" w:hAnsi="黑体" w:eastAsia="黑体" w:cs="黑体"/>
          <w:bCs/>
          <w:color w:val="auto"/>
          <w:sz w:val="28"/>
          <w:szCs w:val="28"/>
        </w:rPr>
        <w:br w:type="page"/>
      </w:r>
    </w:p>
    <w:p>
      <w:pPr>
        <w:spacing w:line="360" w:lineRule="auto"/>
        <w:ind w:firstLine="560" w:firstLineChars="200"/>
        <w:jc w:val="center"/>
        <w:rPr>
          <w:bCs/>
          <w:color w:val="auto"/>
        </w:rPr>
      </w:pPr>
      <w:r>
        <w:rPr>
          <w:rFonts w:hint="eastAsia" w:ascii="黑体" w:hAnsi="黑体" w:eastAsia="黑体" w:cs="黑体"/>
          <w:bCs/>
          <w:color w:val="auto"/>
          <w:sz w:val="28"/>
          <w:szCs w:val="28"/>
        </w:rPr>
        <w:t>表1-3 2021年科技兴农绩效指标</w:t>
      </w:r>
    </w:p>
    <w:tbl>
      <w:tblPr>
        <w:tblStyle w:val="8"/>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249"/>
        <w:gridCol w:w="404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blHeader/>
          <w:jc w:val="center"/>
        </w:trPr>
        <w:tc>
          <w:tcPr>
            <w:tcW w:w="1448"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一级指标</w:t>
            </w:r>
          </w:p>
        </w:tc>
        <w:tc>
          <w:tcPr>
            <w:tcW w:w="1249"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二级指标</w:t>
            </w:r>
          </w:p>
        </w:tc>
        <w:tc>
          <w:tcPr>
            <w:tcW w:w="4040"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三级指标</w:t>
            </w:r>
          </w:p>
        </w:tc>
        <w:tc>
          <w:tcPr>
            <w:tcW w:w="2200"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当年度目标值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产出指标</w:t>
            </w:r>
          </w:p>
        </w:tc>
        <w:tc>
          <w:tcPr>
            <w:tcW w:w="1249"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数量指标</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收集入库农业农村重大科技新成果（项）</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培育优良新品种（个）</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培育一批高产、优质、高效新品种（个）</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试验新品种数量（个）</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制定一批技术标准和规程</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建立省级农业科技创新团队（个）</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转化、推广、应用一批新产品、新技术</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课题研究完成率（%）</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noWrap/>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完成相应培训人数（人）</w:t>
            </w:r>
          </w:p>
        </w:tc>
        <w:tc>
          <w:tcPr>
            <w:tcW w:w="2200" w:type="dxa"/>
            <w:shd w:val="clear" w:color="auto" w:fill="auto"/>
            <w:noWrap/>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推广成果、品种、技术（个）</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质量指标</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广东省农业技术推广奖评审奖励发放率（%）</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项目结项验收合格率（%）</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培训人员合格率（%）</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时效指标</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培训项目完成时间</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2021年12月31日</w:t>
            </w:r>
            <w:r>
              <w:rPr>
                <w:rFonts w:ascii="仿宋_GB2312" w:hAnsi="仿宋_GB2312" w:cs="仿宋_GB2312"/>
                <w:color w:val="auto"/>
                <w:sz w:val="24"/>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项目实施周期</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2021年1月1日</w:t>
            </w:r>
            <w:r>
              <w:rPr>
                <w:rFonts w:hint="eastAsia" w:ascii="仿宋_GB2312" w:hAnsi="仿宋_GB2312" w:cs="仿宋_GB2312"/>
                <w:color w:val="auto"/>
                <w:sz w:val="24"/>
              </w:rPr>
              <w:t>-</w:t>
            </w:r>
            <w:r>
              <w:rPr>
                <w:rFonts w:ascii="仿宋_GB2312" w:hAnsi="仿宋_GB2312" w:cs="仿宋_GB2312"/>
                <w:color w:val="auto"/>
                <w:sz w:val="24"/>
              </w:rPr>
              <w:t>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成本指标</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财政投入比（%）</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效益指标</w:t>
            </w:r>
          </w:p>
        </w:tc>
        <w:tc>
          <w:tcPr>
            <w:tcW w:w="1249"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社会效益</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提高全省农业科技进步贡献率（%）</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社会效益</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形成一批易推广、成本低、效果好的适用技术完成率（%）</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hint="eastAsia" w:ascii="仿宋_GB2312" w:hAnsi="仿宋_GB2312" w:cs="仿宋_GB2312"/>
                <w:color w:val="auto"/>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经济效益</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拉动社会投资</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环境效益</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减少污染</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可持续影响</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对我省科技兴农事业的影响</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249"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服务对象满意度</w:t>
            </w:r>
          </w:p>
        </w:tc>
        <w:tc>
          <w:tcPr>
            <w:tcW w:w="404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培训对象满意度（%）</w:t>
            </w:r>
          </w:p>
        </w:tc>
        <w:tc>
          <w:tcPr>
            <w:tcW w:w="2200"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≥80</w:t>
            </w:r>
          </w:p>
        </w:tc>
      </w:tr>
    </w:tbl>
    <w:p>
      <w:pPr>
        <w:widowControl/>
        <w:jc w:val="left"/>
        <w:rPr>
          <w:rFonts w:hint="eastAsia" w:ascii="仿宋_GB2312" w:hAnsi="仿宋_GB2312" w:cs="仿宋_GB2312"/>
          <w:color w:val="auto"/>
          <w:kern w:val="0"/>
          <w:sz w:val="32"/>
          <w:szCs w:val="32"/>
          <w:lang w:bidi="ar"/>
        </w:rPr>
      </w:pPr>
      <w:r>
        <w:rPr>
          <w:rFonts w:hint="eastAsia" w:ascii="仿宋_GB2312" w:hAnsi="仿宋_GB2312" w:cs="仿宋_GB2312"/>
          <w:color w:val="auto"/>
          <w:kern w:val="0"/>
          <w:sz w:val="32"/>
          <w:szCs w:val="32"/>
          <w:lang w:bidi="ar"/>
        </w:rPr>
        <w:br w:type="page"/>
      </w:r>
    </w:p>
    <w:p>
      <w:pPr>
        <w:pStyle w:val="6"/>
        <w:adjustRightInd w:val="0"/>
        <w:snapToGrid w:val="0"/>
        <w:spacing w:line="590" w:lineRule="exact"/>
        <w:ind w:left="0" w:leftChars="0" w:firstLine="643" w:firstLineChars="200"/>
        <w:rPr>
          <w:rFonts w:ascii="仿宋_GB2312" w:eastAsia="仿宋_GB2312"/>
          <w:b/>
          <w:bCs/>
          <w:color w:val="auto"/>
          <w:sz w:val="32"/>
          <w:szCs w:val="32"/>
        </w:rPr>
      </w:pPr>
      <w:r>
        <w:rPr>
          <w:rFonts w:hint="eastAsia" w:ascii="仿宋_GB2312" w:eastAsia="仿宋_GB2312"/>
          <w:b/>
          <w:bCs/>
          <w:color w:val="auto"/>
          <w:sz w:val="32"/>
          <w:szCs w:val="32"/>
        </w:rPr>
        <w:t>2.农业农村监测检测。</w:t>
      </w:r>
    </w:p>
    <w:p>
      <w:pPr>
        <w:adjustRightInd w:val="0"/>
        <w:snapToGrid w:val="0"/>
        <w:spacing w:line="590" w:lineRule="exact"/>
        <w:ind w:firstLine="643" w:firstLineChars="200"/>
        <w:rPr>
          <w:rFonts w:ascii="仿宋_GB2312" w:hAnsi="仿宋_GB2312" w:cs="仿宋_GB2312"/>
          <w:color w:val="auto"/>
          <w:sz w:val="32"/>
          <w:szCs w:val="32"/>
          <w:lang w:bidi="ar"/>
        </w:rPr>
      </w:pPr>
      <w:r>
        <w:rPr>
          <w:rFonts w:hint="eastAsia" w:ascii="仿宋_GB2312" w:hAnsi="仿宋_GB2312" w:cs="仿宋_GB2312"/>
          <w:b/>
          <w:bCs/>
          <w:color w:val="auto"/>
          <w:sz w:val="32"/>
          <w:szCs w:val="32"/>
          <w:lang w:bidi="ar"/>
        </w:rPr>
        <w:t>2021年绩效目标：</w:t>
      </w:r>
      <w:r>
        <w:rPr>
          <w:rFonts w:hint="eastAsia" w:ascii="仿宋_GB2312" w:hAnsi="仿宋_GB2312" w:cs="仿宋_GB2312"/>
          <w:color w:val="auto"/>
          <w:sz w:val="32"/>
          <w:szCs w:val="32"/>
          <w:lang w:bidi="ar"/>
        </w:rPr>
        <w:t>加强农产品监测</w:t>
      </w:r>
      <w:r>
        <w:rPr>
          <w:rFonts w:hint="eastAsia" w:ascii="仿宋_GB2312"/>
          <w:color w:val="auto"/>
          <w:sz w:val="32"/>
          <w:szCs w:val="32"/>
        </w:rPr>
        <w:t>检</w:t>
      </w:r>
      <w:r>
        <w:rPr>
          <w:rFonts w:hint="eastAsia" w:ascii="仿宋_GB2312" w:hAnsi="仿宋_GB2312" w:cs="仿宋_GB2312"/>
          <w:color w:val="auto"/>
          <w:sz w:val="32"/>
          <w:szCs w:val="32"/>
          <w:lang w:bidi="ar"/>
        </w:rPr>
        <w:t>测，维护食品安全，及时发现农业生产中存在的问题和风险，提升病虫害、疫情防控能力。一是农产品质量监测检测。2021年12月31日前年度省级农产品质量安全定量检测样品数达到1万个以上。二是种子、种质监测检测。100%完成省级应承担的作物种子常规检测外的真实性、转基因成分等检测任务；100%完成</w:t>
      </w:r>
      <w:r>
        <w:rPr>
          <w:rFonts w:hint="eastAsia"/>
          <w:color w:val="auto"/>
          <w:sz w:val="32"/>
          <w:szCs w:val="32"/>
        </w:rPr>
        <w:t>农业农村部</w:t>
      </w:r>
      <w:r>
        <w:rPr>
          <w:rFonts w:hint="eastAsia" w:ascii="仿宋_GB2312" w:hAnsi="仿宋_GB2312" w:cs="仿宋_GB2312"/>
          <w:color w:val="auto"/>
          <w:sz w:val="32"/>
          <w:szCs w:val="32"/>
          <w:lang w:bidi="ar"/>
        </w:rPr>
        <w:t>部署开展的种子监督检查工作任务；种畜禽质量监督检查工作任务完成率≥95%；畜禽生产性能合格率≥85%。三是耕地土壤肥力监测检测等。组织全省111个县（市、区）完成野外调查和样品采集量≥5000个，在完成调查取样、样品检测、等级评价、报告撰写后，发布耕地质量等级评价报告。组织全省33个</w:t>
      </w:r>
      <w:r>
        <w:rPr>
          <w:rFonts w:hint="eastAsia"/>
          <w:color w:val="auto"/>
          <w:sz w:val="32"/>
          <w:szCs w:val="32"/>
        </w:rPr>
        <w:t>土壤墒情</w:t>
      </w:r>
      <w:r>
        <w:rPr>
          <w:rFonts w:hint="eastAsia" w:ascii="仿宋_GB2312" w:hAnsi="仿宋_GB2312" w:cs="仿宋_GB2312"/>
          <w:color w:val="auto"/>
          <w:sz w:val="32"/>
          <w:szCs w:val="32"/>
          <w:lang w:bidi="ar"/>
        </w:rPr>
        <w:t>监测点开展监测工作。四是动植物疫病监测检测资金。兽药生产企业监督检查抽检完成率达100%；做好全省强制免疫疫苗、消毒药等应急物资的发放、调运和管控；建设27个省界防疫道口检查站。五是饲料、农业转基因、外来生物调查、面源污染等其他监测检测资金。</w:t>
      </w:r>
    </w:p>
    <w:p>
      <w:pPr>
        <w:widowControl/>
        <w:jc w:val="left"/>
        <w:rPr>
          <w:rFonts w:hint="eastAsia" w:ascii="仿宋_GB2312" w:hAnsi="黑体" w:cs="黑体"/>
          <w:color w:val="auto"/>
          <w:sz w:val="32"/>
          <w:szCs w:val="32"/>
        </w:rPr>
      </w:pPr>
    </w:p>
    <w:p>
      <w:pPr>
        <w:spacing w:before="0" w:beforeLines="-2147483648"/>
        <w:jc w:val="left"/>
        <w:rPr>
          <w:rFonts w:hint="eastAsia" w:ascii="黑体" w:hAnsi="黑体" w:eastAsia="黑体" w:cs="黑体"/>
          <w:color w:val="auto"/>
          <w:sz w:val="28"/>
          <w:szCs w:val="28"/>
        </w:rPr>
      </w:pPr>
      <w:r>
        <w:rPr>
          <w:rFonts w:hint="eastAsia" w:ascii="黑体" w:hAnsi="黑体" w:eastAsia="黑体" w:cs="黑体"/>
          <w:color w:val="auto"/>
          <w:sz w:val="28"/>
          <w:szCs w:val="28"/>
        </w:rPr>
        <w:br w:type="page"/>
      </w:r>
    </w:p>
    <w:p>
      <w:pPr>
        <w:spacing w:before="156" w:beforeLines="50"/>
        <w:jc w:val="center"/>
        <w:rPr>
          <w:rFonts w:ascii="黑体" w:hAnsi="黑体" w:eastAsia="黑体" w:cs="黑体"/>
          <w:color w:val="auto"/>
          <w:sz w:val="28"/>
          <w:szCs w:val="28"/>
        </w:rPr>
      </w:pPr>
      <w:r>
        <w:rPr>
          <w:rFonts w:hint="eastAsia" w:ascii="黑体" w:hAnsi="黑体" w:eastAsia="黑体" w:cs="黑体"/>
          <w:color w:val="auto"/>
          <w:sz w:val="28"/>
          <w:szCs w:val="28"/>
        </w:rPr>
        <w:t>表1-4 2021年农业农村监测检测绩效指标</w:t>
      </w:r>
    </w:p>
    <w:tbl>
      <w:tblPr>
        <w:tblStyle w:val="8"/>
        <w:tblW w:w="8613" w:type="dxa"/>
        <w:tblInd w:w="0" w:type="dxa"/>
        <w:tblLayout w:type="fixed"/>
        <w:tblCellMar>
          <w:top w:w="0" w:type="dxa"/>
          <w:left w:w="108" w:type="dxa"/>
          <w:bottom w:w="0" w:type="dxa"/>
          <w:right w:w="108" w:type="dxa"/>
        </w:tblCellMar>
      </w:tblPr>
      <w:tblGrid>
        <w:gridCol w:w="1416"/>
        <w:gridCol w:w="1246"/>
        <w:gridCol w:w="4250"/>
        <w:gridCol w:w="1701"/>
      </w:tblGrid>
      <w:tr>
        <w:tblPrEx>
          <w:tblLayout w:type="fixed"/>
          <w:tblCellMar>
            <w:top w:w="0" w:type="dxa"/>
            <w:left w:w="108" w:type="dxa"/>
            <w:bottom w:w="0" w:type="dxa"/>
            <w:right w:w="108" w:type="dxa"/>
          </w:tblCellMar>
        </w:tblPrEx>
        <w:trPr>
          <w:trHeight w:val="300" w:hRule="atLeast"/>
          <w:tblHeader/>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一级指标</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二级指标</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三级指标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当年度目标值</w:t>
            </w:r>
          </w:p>
        </w:tc>
      </w:tr>
      <w:tr>
        <w:tblPrEx>
          <w:tblLayout w:type="fixed"/>
          <w:tblCellMar>
            <w:top w:w="0" w:type="dxa"/>
            <w:left w:w="108" w:type="dxa"/>
            <w:bottom w:w="0" w:type="dxa"/>
            <w:right w:w="108" w:type="dxa"/>
          </w:tblCellMar>
        </w:tblPrEx>
        <w:trPr>
          <w:trHeight w:val="300"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产出指标</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数量指标</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省级农产品质量安全检测样品数量（个）</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w:t>
            </w:r>
            <w:r>
              <w:rPr>
                <w:rFonts w:ascii="仿宋_GB2312" w:hAnsi="仿宋_GB2312" w:cs="仿宋_GB2312"/>
                <w:color w:val="auto"/>
                <w:sz w:val="24"/>
              </w:rPr>
              <w:t>10000</w:t>
            </w:r>
          </w:p>
        </w:tc>
      </w:tr>
      <w:tr>
        <w:tblPrEx>
          <w:tblLayout w:type="fixed"/>
          <w:tblCellMar>
            <w:top w:w="0" w:type="dxa"/>
            <w:left w:w="108" w:type="dxa"/>
            <w:bottom w:w="0" w:type="dxa"/>
            <w:right w:w="108" w:type="dxa"/>
          </w:tblCellMar>
        </w:tblPrEx>
        <w:trPr>
          <w:trHeight w:val="573"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群体免疫密度（</w:t>
            </w:r>
            <w:r>
              <w:rPr>
                <w:rFonts w:ascii="仿宋_GB2312" w:hAnsi="仿宋_GB2312" w:cs="仿宋_GB2312"/>
                <w:color w:val="auto"/>
                <w:sz w:val="24"/>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70</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野外调查和样品采集量（个）</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w:t>
            </w:r>
            <w:r>
              <w:rPr>
                <w:rFonts w:ascii="仿宋_GB2312" w:hAnsi="仿宋_GB2312" w:cs="仿宋_GB2312"/>
                <w:color w:val="auto"/>
                <w:sz w:val="24"/>
              </w:rPr>
              <w:t>2000</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土壤墒情监测点开展数量（个）</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w:t>
            </w:r>
            <w:r>
              <w:rPr>
                <w:rFonts w:ascii="仿宋_GB2312" w:hAnsi="仿宋_GB2312" w:cs="仿宋_GB2312"/>
                <w:color w:val="auto"/>
                <w:sz w:val="24"/>
              </w:rPr>
              <w:t>30</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4250" w:type="dxa"/>
            <w:tcBorders>
              <w:top w:val="single" w:color="000000" w:sz="4" w:space="0"/>
              <w:left w:val="single" w:color="000000" w:sz="4" w:space="0"/>
              <w:bottom w:val="nil"/>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补助省界防疫道口检查站（个）</w:t>
            </w:r>
          </w:p>
        </w:tc>
        <w:tc>
          <w:tcPr>
            <w:tcW w:w="1701" w:type="dxa"/>
            <w:tcBorders>
              <w:top w:val="single" w:color="000000" w:sz="4" w:space="0"/>
              <w:left w:val="single" w:color="000000" w:sz="4" w:space="0"/>
              <w:bottom w:val="nil"/>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27</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tc>
        <w:tc>
          <w:tcPr>
            <w:tcW w:w="4250" w:type="dxa"/>
            <w:tcBorders>
              <w:top w:val="nil"/>
              <w:left w:val="single" w:color="000000" w:sz="4" w:space="0"/>
              <w:bottom w:val="single" w:color="000000" w:sz="4" w:space="0"/>
              <w:right w:val="single" w:color="000000" w:sz="4" w:space="0"/>
            </w:tcBorders>
            <w:shd w:val="clear" w:color="auto" w:fill="auto"/>
            <w:noWrap/>
            <w:vAlign w:val="center"/>
          </w:tcPr>
          <w:p/>
        </w:tc>
        <w:tc>
          <w:tcPr>
            <w:tcW w:w="1701" w:type="dxa"/>
            <w:tcBorders>
              <w:top w:val="nil"/>
              <w:left w:val="single" w:color="000000" w:sz="4" w:space="0"/>
              <w:bottom w:val="single" w:color="000000" w:sz="4" w:space="0"/>
              <w:right w:val="single" w:color="000000" w:sz="4" w:space="0"/>
            </w:tcBorders>
            <w:shd w:val="clear" w:color="auto" w:fill="auto"/>
            <w:noWrap/>
            <w:vAlign w:val="center"/>
          </w:tcP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质量指标</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“三品一标”产品监测合格率（</w:t>
            </w:r>
            <w:r>
              <w:rPr>
                <w:rFonts w:ascii="仿宋_GB2312" w:hAnsi="仿宋_GB2312" w:cs="仿宋_GB2312"/>
                <w:color w:val="auto"/>
                <w:sz w:val="24"/>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98</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病死动物无害化处理率（</w:t>
            </w:r>
            <w:r>
              <w:rPr>
                <w:rFonts w:ascii="仿宋_GB2312" w:hAnsi="仿宋_GB2312" w:cs="仿宋_GB2312"/>
                <w:color w:val="auto"/>
                <w:sz w:val="24"/>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70</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种子监督检查工作任务完成率（</w:t>
            </w:r>
            <w:r>
              <w:rPr>
                <w:rFonts w:ascii="仿宋_GB2312" w:hAnsi="仿宋_GB2312" w:cs="仿宋_GB2312"/>
                <w:color w:val="auto"/>
                <w:sz w:val="24"/>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100%</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种畜禽质量监督检查工作任务完成率（</w:t>
            </w:r>
            <w:r>
              <w:rPr>
                <w:rFonts w:ascii="仿宋_GB2312" w:hAnsi="仿宋_GB2312" w:cs="仿宋_GB2312"/>
                <w:color w:val="auto"/>
                <w:sz w:val="24"/>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w:t>
            </w:r>
            <w:r>
              <w:rPr>
                <w:rFonts w:ascii="仿宋_GB2312" w:hAnsi="仿宋_GB2312" w:cs="仿宋_GB2312"/>
                <w:color w:val="auto"/>
                <w:sz w:val="24"/>
              </w:rPr>
              <w:t>95%</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时效指标</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项目整体完成时间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2021</w:t>
            </w:r>
            <w:r>
              <w:rPr>
                <w:rFonts w:ascii="仿宋_GB2312" w:hAnsi="仿宋_GB2312" w:cs="仿宋_GB2312"/>
                <w:color w:val="auto"/>
                <w:sz w:val="24"/>
              </w:rPr>
              <w:t>年12月前</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成本指标</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财政投入比（</w:t>
            </w:r>
            <w:r>
              <w:rPr>
                <w:rFonts w:ascii="仿宋_GB2312" w:hAnsi="仿宋_GB2312" w:cs="仿宋_GB2312"/>
                <w:color w:val="auto"/>
                <w:sz w:val="24"/>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100</w:t>
            </w:r>
          </w:p>
        </w:tc>
      </w:tr>
      <w:tr>
        <w:tblPrEx>
          <w:tblLayout w:type="fixed"/>
          <w:tblCellMar>
            <w:top w:w="0" w:type="dxa"/>
            <w:left w:w="108" w:type="dxa"/>
            <w:bottom w:w="0" w:type="dxa"/>
            <w:right w:w="108" w:type="dxa"/>
          </w:tblCellMar>
        </w:tblPrEx>
        <w:trPr>
          <w:trHeight w:val="300"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效益指标</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社会效益</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重大农作物病虫危害损失率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≦8%</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屠宰环节病害猪无害化处理率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100%</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主要农作物病虫绿色防控覆盖率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80%</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经济效益</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增收带动能力</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增加</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环境效益</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农业生产农药使用量增长率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0%</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可持续影响</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对农业监测检测的影响（年）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1</w:t>
            </w:r>
          </w:p>
        </w:tc>
      </w:tr>
      <w:tr>
        <w:tblPrEx>
          <w:tblLayout w:type="fixed"/>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textAlignment w:val="center"/>
              <w:rPr>
                <w:rFonts w:ascii="仿宋_GB2312" w:hAnsi="仿宋_GB2312" w:cs="仿宋_GB2312"/>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服务对象满意度</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农户对农产品监测检测满意度</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≥85%</w:t>
            </w:r>
          </w:p>
        </w:tc>
      </w:tr>
    </w:tbl>
    <w:p>
      <w:pPr>
        <w:widowControl/>
        <w:jc w:val="left"/>
        <w:rPr>
          <w:rFonts w:hint="eastAsia" w:ascii="仿宋_GB2312"/>
          <w:b/>
          <w:bCs/>
          <w:color w:val="auto"/>
          <w:sz w:val="32"/>
          <w:szCs w:val="32"/>
        </w:rPr>
      </w:pPr>
    </w:p>
    <w:p>
      <w:pPr>
        <w:widowControl/>
        <w:adjustRightInd w:val="0"/>
        <w:snapToGrid w:val="0"/>
        <w:spacing w:line="560" w:lineRule="exact"/>
        <w:ind w:left="600" w:leftChars="200"/>
        <w:jc w:val="left"/>
        <w:rPr>
          <w:rFonts w:ascii="仿宋_GB2312"/>
          <w:b/>
          <w:bCs/>
          <w:color w:val="auto"/>
          <w:sz w:val="32"/>
          <w:szCs w:val="32"/>
        </w:rPr>
      </w:pPr>
      <w:r>
        <w:rPr>
          <w:rFonts w:hint="eastAsia" w:ascii="仿宋_GB2312"/>
          <w:b/>
          <w:bCs/>
          <w:color w:val="auto"/>
          <w:sz w:val="32"/>
          <w:szCs w:val="32"/>
        </w:rPr>
        <w:t>3.农业农村宣传推广和综合管理及能力建设。</w:t>
      </w:r>
    </w:p>
    <w:p>
      <w:pPr>
        <w:adjustRightInd w:val="0"/>
        <w:snapToGrid w:val="0"/>
        <w:spacing w:line="560" w:lineRule="exact"/>
        <w:ind w:firstLine="643" w:firstLineChars="200"/>
        <w:rPr>
          <w:rFonts w:ascii="仿宋_GB2312" w:hAnsi="仿宋_GB2312" w:cs="仿宋_GB2312"/>
          <w:color w:val="auto"/>
          <w:sz w:val="32"/>
          <w:szCs w:val="32"/>
          <w:lang w:bidi="ar"/>
        </w:rPr>
      </w:pPr>
      <w:r>
        <w:rPr>
          <w:rFonts w:hint="eastAsia" w:ascii="仿宋_GB2312" w:hAnsi="仿宋_GB2312" w:cs="仿宋_GB2312"/>
          <w:b/>
          <w:bCs/>
          <w:color w:val="auto"/>
          <w:sz w:val="32"/>
          <w:szCs w:val="32"/>
          <w:lang w:bidi="ar"/>
        </w:rPr>
        <w:t>2021年绩效目标：</w:t>
      </w:r>
      <w:r>
        <w:rPr>
          <w:rFonts w:hint="eastAsia" w:ascii="仿宋_GB2312" w:hAnsi="仿宋_GB2312" w:cs="仿宋_GB2312"/>
          <w:color w:val="auto"/>
          <w:sz w:val="32"/>
          <w:szCs w:val="32"/>
          <w:lang w:bidi="ar"/>
        </w:rPr>
        <w:t>一是宣传推广：扩大广东省农业品牌影响力，提升品牌价值，提高产品销售额；加强国内国际农业技术品牌交流；宣传推广我省农业农村领域工作经验、典型案例。二是农业农村项目事前事中事后工作经费：根据《关于印发《广东省涉农资金统筹整合管理办法（2020年修订)》的通知》(粤财农〔2020〕106号)提取相关工作经费，主要用于农业农村重大项目前期调研、中期检查跟踪、后期验收、绩效评价等工作。三是信息化建设：完成信息化项目建设，提高信息化管理能力，基础数据基本实现无纸化管理。四是东西部扶贫市场运营补助和市场培育：降低消费扶贫产品展销成本，助力广东省扶贫协作、对口支援、对口合作、泛珠三角合作等省（区、市）和省内21个地市的消费扶贫产品进入粤港澳大湾区市场，逐步推动交易市场做大、做强。五是代建项目：动物疫控中心和农产品质量安全中心，两个基建项目资金拨付完成，开始动工建设。</w:t>
      </w:r>
    </w:p>
    <w:p>
      <w:pPr>
        <w:spacing w:before="156" w:beforeLines="50"/>
        <w:jc w:val="center"/>
        <w:rPr>
          <w:rFonts w:ascii="黑体" w:hAnsi="黑体" w:eastAsia="黑体" w:cs="黑体"/>
          <w:color w:val="auto"/>
          <w:sz w:val="28"/>
          <w:szCs w:val="28"/>
        </w:rPr>
      </w:pPr>
      <w:r>
        <w:rPr>
          <w:rFonts w:hint="eastAsia" w:ascii="黑体" w:hAnsi="黑体" w:eastAsia="黑体" w:cs="黑体"/>
          <w:color w:val="auto"/>
          <w:sz w:val="28"/>
          <w:szCs w:val="28"/>
        </w:rPr>
        <w:t>表1-5  2021年农业农村宣传推广和综合管理及能力建设绩效指标</w:t>
      </w:r>
    </w:p>
    <w:tbl>
      <w:tblPr>
        <w:tblStyle w:val="8"/>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396"/>
        <w:gridCol w:w="37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183"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一级指标</w:t>
            </w:r>
          </w:p>
        </w:tc>
        <w:tc>
          <w:tcPr>
            <w:tcW w:w="1396"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二级指标</w:t>
            </w:r>
          </w:p>
        </w:tc>
        <w:tc>
          <w:tcPr>
            <w:tcW w:w="3766"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三级指标</w:t>
            </w:r>
          </w:p>
        </w:tc>
        <w:tc>
          <w:tcPr>
            <w:tcW w:w="2268"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4"/>
              </w:rPr>
            </w:pPr>
            <w:r>
              <w:rPr>
                <w:rFonts w:hint="eastAsia" w:ascii="黑体" w:hAnsi="黑体" w:eastAsia="黑体" w:cs="黑体"/>
                <w:color w:val="auto"/>
                <w:sz w:val="24"/>
              </w:rPr>
              <w:t>当年度目标值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183"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产出指标</w:t>
            </w:r>
          </w:p>
        </w:tc>
        <w:tc>
          <w:tcPr>
            <w:tcW w:w="1396"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数量指标</w:t>
            </w: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开工代建项目个数（个）</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组织开展农业农村方面专题宣传推介活动（场）</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新建信息化系统个数（个）</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农业农村重大项目前期调研完成率（%）</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专项资金绩效评价覆盖率（%）</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质量指标</w:t>
            </w: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示范基地硬件设施达标率（%）</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数据机房安全、保障信息系统的正常运转率（%）</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时效指标</w:t>
            </w: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代建项目动工率（%）</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新建信息化项目完成率（%）</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专项资金绩效评价覆盖率（%）</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按省财政厅规定时间完成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成本指标</w:t>
            </w: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财政投入比（%）</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83" w:type="dxa"/>
            <w:vMerge w:val="restart"/>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效益指标</w:t>
            </w:r>
          </w:p>
        </w:tc>
        <w:tc>
          <w:tcPr>
            <w:tcW w:w="139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社会效益</w:t>
            </w: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农业农村宣传推广</w:t>
            </w:r>
            <w:r>
              <w:rPr>
                <w:rFonts w:hint="eastAsia" w:ascii="仿宋_GB2312" w:hAnsi="仿宋_GB2312" w:cs="仿宋_GB2312"/>
                <w:color w:val="auto"/>
                <w:sz w:val="24"/>
              </w:rPr>
              <w:t>和</w:t>
            </w:r>
            <w:r>
              <w:rPr>
                <w:rFonts w:ascii="仿宋_GB2312" w:hAnsi="仿宋_GB2312" w:cs="仿宋_GB2312"/>
                <w:color w:val="auto"/>
                <w:sz w:val="24"/>
              </w:rPr>
              <w:t>综合管理及能力建设</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可持续影响</w:t>
            </w: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对农业农村宣传推广</w:t>
            </w:r>
            <w:r>
              <w:rPr>
                <w:rFonts w:hint="eastAsia" w:ascii="仿宋_GB2312" w:hAnsi="仿宋_GB2312" w:cs="仿宋_GB2312"/>
                <w:color w:val="auto"/>
                <w:sz w:val="24"/>
              </w:rPr>
              <w:t>和</w:t>
            </w:r>
            <w:r>
              <w:rPr>
                <w:rFonts w:ascii="仿宋_GB2312" w:hAnsi="仿宋_GB2312" w:cs="仿宋_GB2312"/>
                <w:color w:val="auto"/>
                <w:sz w:val="24"/>
              </w:rPr>
              <w:t>综合管理及能力建设（年）</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83" w:type="dxa"/>
            <w:vMerge w:val="continue"/>
            <w:shd w:val="clear" w:color="auto" w:fill="auto"/>
            <w:vAlign w:val="center"/>
          </w:tcPr>
          <w:p>
            <w:pPr>
              <w:widowControl w:val="0"/>
              <w:adjustRightInd w:val="0"/>
              <w:snapToGrid w:val="0"/>
              <w:jc w:val="center"/>
              <w:textAlignment w:val="center"/>
              <w:rPr>
                <w:rFonts w:ascii="仿宋_GB2312" w:hAnsi="仿宋_GB2312" w:cs="仿宋_GB2312"/>
                <w:color w:val="auto"/>
                <w:sz w:val="24"/>
              </w:rPr>
            </w:pPr>
          </w:p>
        </w:tc>
        <w:tc>
          <w:tcPr>
            <w:tcW w:w="139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服务对象满意度</w:t>
            </w:r>
          </w:p>
        </w:tc>
        <w:tc>
          <w:tcPr>
            <w:tcW w:w="3766"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信息系统用户满意度（%）</w:t>
            </w:r>
          </w:p>
        </w:tc>
        <w:tc>
          <w:tcPr>
            <w:tcW w:w="2268" w:type="dxa"/>
            <w:shd w:val="clear" w:color="auto" w:fill="auto"/>
            <w:vAlign w:val="center"/>
          </w:tcPr>
          <w:p>
            <w:pPr>
              <w:widowControl w:val="0"/>
              <w:adjustRightInd w:val="0"/>
              <w:snapToGrid w:val="0"/>
              <w:jc w:val="center"/>
              <w:textAlignment w:val="center"/>
              <w:rPr>
                <w:rFonts w:ascii="仿宋_GB2312" w:hAnsi="仿宋_GB2312" w:cs="仿宋_GB2312"/>
                <w:color w:val="auto"/>
                <w:sz w:val="24"/>
              </w:rPr>
            </w:pPr>
            <w:r>
              <w:rPr>
                <w:rFonts w:ascii="仿宋_GB2312" w:hAnsi="仿宋_GB2312" w:cs="仿宋_GB2312"/>
                <w:color w:val="auto"/>
                <w:sz w:val="24"/>
              </w:rPr>
              <w:t>80</w:t>
            </w:r>
          </w:p>
        </w:tc>
      </w:tr>
    </w:tbl>
    <w:p>
      <w:pPr>
        <w:widowControl/>
        <w:spacing w:line="590" w:lineRule="exact"/>
        <w:ind w:left="0" w:leftChars="0" w:firstLine="643" w:firstLineChars="200"/>
        <w:jc w:val="left"/>
        <w:rPr>
          <w:rFonts w:ascii="仿宋_GB2312"/>
          <w:b/>
          <w:bCs/>
          <w:color w:val="auto"/>
          <w:sz w:val="32"/>
          <w:szCs w:val="32"/>
        </w:rPr>
      </w:pPr>
      <w:r>
        <w:rPr>
          <w:rFonts w:hint="eastAsia" w:ascii="仿宋_GB2312"/>
          <w:b/>
          <w:bCs/>
          <w:color w:val="auto"/>
          <w:sz w:val="32"/>
          <w:szCs w:val="32"/>
        </w:rPr>
        <w:t>4.农业农村重点试点示范及基地建设。</w:t>
      </w:r>
    </w:p>
    <w:p>
      <w:pPr>
        <w:spacing w:line="590" w:lineRule="exact"/>
        <w:ind w:firstLine="643" w:firstLineChars="200"/>
        <w:rPr>
          <w:rFonts w:ascii="仿宋_GB2312" w:hAnsi="仿宋_GB2312" w:cs="仿宋_GB2312"/>
          <w:color w:val="auto"/>
          <w:sz w:val="32"/>
          <w:szCs w:val="32"/>
          <w:lang w:bidi="ar"/>
        </w:rPr>
      </w:pPr>
      <w:r>
        <w:rPr>
          <w:rFonts w:hint="eastAsia" w:ascii="仿宋_GB2312" w:hAnsi="仿宋_GB2312" w:cs="仿宋_GB2312"/>
          <w:b/>
          <w:bCs/>
          <w:color w:val="auto"/>
          <w:sz w:val="32"/>
          <w:szCs w:val="32"/>
          <w:lang w:bidi="ar"/>
        </w:rPr>
        <w:t>2021年绩效目标：</w:t>
      </w:r>
      <w:r>
        <w:rPr>
          <w:rFonts w:hint="eastAsia" w:ascii="仿宋_GB2312" w:hAnsi="仿宋_GB2312" w:cs="仿宋_GB2312"/>
          <w:color w:val="auto"/>
          <w:sz w:val="32"/>
          <w:szCs w:val="32"/>
          <w:lang w:bidi="ar"/>
        </w:rPr>
        <w:t>一是耕地污染治理试点：建设省级受污染耕地安全利用集中推进示范区，省级示范区受污染耕地安全利用率达到90%以上。二是农膜污染治理、农药包装废弃物回收等农村重点示范及基地建设：建设省级示范基地5个以上，示范基地面积500亩以上。三是农业农村污染治理项目（含世行面源污染）：偿还世界银行贷款本金及世界银行贷款利息。四是农业面源污染项目（含省供销社）：围绕农业面源污染治理示范体系开展试点县（市）供销合作社实施农作物病虫害统防统治社会化服务、肥料统配统施和农作物营养解决方案与植保解决方案服务等，建立以化肥减量控污和农药减量控害为主要内容的省供销社农业面源污染治理示范体系。</w:t>
      </w:r>
    </w:p>
    <w:p>
      <w:pPr>
        <w:spacing w:before="156" w:beforeLines="50"/>
        <w:jc w:val="center"/>
        <w:rPr>
          <w:rFonts w:ascii="黑体" w:hAnsi="黑体" w:eastAsia="黑体" w:cs="黑体"/>
          <w:color w:val="auto"/>
          <w:sz w:val="28"/>
          <w:szCs w:val="28"/>
        </w:rPr>
      </w:pPr>
      <w:r>
        <w:rPr>
          <w:rFonts w:hint="eastAsia" w:ascii="黑体" w:hAnsi="黑体" w:eastAsia="黑体" w:cs="黑体"/>
          <w:color w:val="auto"/>
          <w:sz w:val="28"/>
          <w:szCs w:val="28"/>
        </w:rPr>
        <w:t>表1-6 2021年农业农村重点试点示范及基地建设绩效指标</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75"/>
        <w:gridCol w:w="4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blHeader/>
        </w:trPr>
        <w:tc>
          <w:tcPr>
            <w:tcW w:w="1178"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2"/>
                <w:szCs w:val="22"/>
              </w:rPr>
            </w:pPr>
            <w:r>
              <w:rPr>
                <w:rFonts w:hint="eastAsia" w:ascii="黑体" w:hAnsi="黑体" w:eastAsia="黑体" w:cs="黑体"/>
                <w:color w:val="auto"/>
                <w:kern w:val="0"/>
                <w:sz w:val="22"/>
                <w:szCs w:val="22"/>
                <w:lang w:bidi="ar"/>
              </w:rPr>
              <w:t>一级指标</w:t>
            </w:r>
          </w:p>
        </w:tc>
        <w:tc>
          <w:tcPr>
            <w:tcW w:w="1175"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2"/>
                <w:szCs w:val="22"/>
              </w:rPr>
            </w:pPr>
            <w:r>
              <w:rPr>
                <w:rFonts w:hint="eastAsia" w:ascii="黑体" w:hAnsi="黑体" w:eastAsia="黑体" w:cs="黑体"/>
                <w:color w:val="auto"/>
                <w:kern w:val="0"/>
                <w:sz w:val="22"/>
                <w:szCs w:val="22"/>
                <w:lang w:bidi="ar"/>
              </w:rPr>
              <w:t>二级指标</w:t>
            </w:r>
          </w:p>
        </w:tc>
        <w:tc>
          <w:tcPr>
            <w:tcW w:w="4276"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2"/>
                <w:szCs w:val="22"/>
              </w:rPr>
            </w:pPr>
            <w:r>
              <w:rPr>
                <w:rFonts w:hint="eastAsia" w:ascii="黑体" w:hAnsi="黑体" w:eastAsia="黑体" w:cs="黑体"/>
                <w:color w:val="auto"/>
                <w:kern w:val="0"/>
                <w:sz w:val="22"/>
                <w:szCs w:val="22"/>
                <w:lang w:bidi="ar"/>
              </w:rPr>
              <w:t>三级指标</w:t>
            </w:r>
          </w:p>
        </w:tc>
        <w:tc>
          <w:tcPr>
            <w:tcW w:w="2126" w:type="dxa"/>
            <w:shd w:val="clear" w:color="auto" w:fill="auto"/>
            <w:vAlign w:val="center"/>
          </w:tcPr>
          <w:p>
            <w:pPr>
              <w:widowControl w:val="0"/>
              <w:adjustRightInd w:val="0"/>
              <w:snapToGrid w:val="0"/>
              <w:jc w:val="center"/>
              <w:textAlignment w:val="center"/>
              <w:rPr>
                <w:rFonts w:hint="eastAsia" w:ascii="黑体" w:hAnsi="黑体" w:eastAsia="黑体" w:cs="黑体"/>
                <w:color w:val="auto"/>
                <w:sz w:val="22"/>
                <w:szCs w:val="22"/>
              </w:rPr>
            </w:pPr>
            <w:r>
              <w:rPr>
                <w:rFonts w:hint="eastAsia" w:ascii="黑体" w:hAnsi="黑体" w:eastAsia="黑体" w:cs="黑体"/>
                <w:color w:val="auto"/>
                <w:kern w:val="0"/>
                <w:sz w:val="22"/>
                <w:szCs w:val="22"/>
                <w:lang w:bidi="ar"/>
              </w:rPr>
              <w:t>当年度目标值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78" w:type="dxa"/>
            <w:vMerge w:val="restart"/>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产出指标</w:t>
            </w:r>
          </w:p>
        </w:tc>
        <w:tc>
          <w:tcPr>
            <w:tcW w:w="1175" w:type="dxa"/>
            <w:vMerge w:val="restart"/>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数量指标</w:t>
            </w: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建设受污染耕地安全利用集中推进示范区面积（亩）</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建设省级示范基地（个）</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省级示范基地基地面积（亩）</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COD减排量（吨）</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氨氮减排量（吨）</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vMerge w:val="restart"/>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质量指标</w:t>
            </w: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世界银行贷款本金及世界银行贷款利息拨付率(%)</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项目结项验收合格率(%)</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时效指标</w:t>
            </w: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项目实施周期</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2021年1月1日-2021年12月31日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成本指标</w:t>
            </w: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财政投入比(%)</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78" w:type="dxa"/>
            <w:vMerge w:val="restart"/>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效益指标</w:t>
            </w:r>
          </w:p>
        </w:tc>
        <w:tc>
          <w:tcPr>
            <w:tcW w:w="1175"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社会效益</w:t>
            </w: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促进农民增收</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逐步提升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经济效益</w:t>
            </w: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工程利用情况</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已建成工程实际利用数量占比不低于60%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环境效益</w:t>
            </w: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省级示范区受污染耕地安全利用率(%)</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可持续影响</w:t>
            </w: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农业面污染防治水平</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78" w:type="dxa"/>
            <w:vMerge w:val="continue"/>
            <w:shd w:val="clear" w:color="auto" w:fill="auto"/>
            <w:vAlign w:val="center"/>
          </w:tcPr>
          <w:p>
            <w:pPr>
              <w:adjustRightInd w:val="0"/>
              <w:snapToGrid w:val="0"/>
              <w:jc w:val="center"/>
              <w:rPr>
                <w:rFonts w:ascii="仿宋_GB2312" w:hAnsi="宋体" w:cs="仿宋_GB2312"/>
                <w:color w:val="auto"/>
                <w:sz w:val="22"/>
                <w:szCs w:val="22"/>
              </w:rPr>
            </w:pPr>
          </w:p>
        </w:tc>
        <w:tc>
          <w:tcPr>
            <w:tcW w:w="1175"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服务对象满意度</w:t>
            </w:r>
          </w:p>
        </w:tc>
        <w:tc>
          <w:tcPr>
            <w:tcW w:w="427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项目区域群众满意度(%)</w:t>
            </w:r>
          </w:p>
        </w:tc>
        <w:tc>
          <w:tcPr>
            <w:tcW w:w="2126" w:type="dxa"/>
            <w:shd w:val="clear" w:color="auto" w:fill="auto"/>
            <w:vAlign w:val="center"/>
          </w:tcPr>
          <w:p>
            <w:pPr>
              <w:widowControl w:val="0"/>
              <w:adjustRightInd w:val="0"/>
              <w:snapToGrid w:val="0"/>
              <w:jc w:val="center"/>
              <w:textAlignment w:val="center"/>
              <w:rPr>
                <w:rFonts w:ascii="仿宋_GB2312" w:hAnsi="宋体" w:cs="仿宋_GB2312"/>
                <w:color w:val="auto"/>
                <w:sz w:val="22"/>
                <w:szCs w:val="22"/>
              </w:rPr>
            </w:pPr>
            <w:r>
              <w:rPr>
                <w:rFonts w:ascii="仿宋_GB2312" w:hAnsi="宋体" w:cs="仿宋_GB2312"/>
                <w:color w:val="auto"/>
                <w:kern w:val="0"/>
                <w:sz w:val="22"/>
                <w:szCs w:val="22"/>
                <w:lang w:bidi="ar"/>
              </w:rPr>
              <w:t>85%</w:t>
            </w:r>
          </w:p>
        </w:tc>
      </w:tr>
    </w:tbl>
    <w:p>
      <w:pPr>
        <w:widowControl/>
        <w:jc w:val="left"/>
        <w:rPr>
          <w:rFonts w:hint="eastAsia"/>
          <w:color w:val="auto"/>
          <w:sz w:val="32"/>
          <w:szCs w:val="28"/>
        </w:rPr>
      </w:pPr>
    </w:p>
    <w:p>
      <w:pPr>
        <w:widowControl w:val="0"/>
        <w:adjustRightInd w:val="0"/>
        <w:snapToGrid w:val="0"/>
        <w:spacing w:line="590" w:lineRule="exact"/>
        <w:ind w:left="0" w:leftChars="0" w:firstLine="643" w:firstLineChars="200"/>
        <w:jc w:val="both"/>
        <w:rPr>
          <w:rFonts w:hint="eastAsia" w:ascii="仿宋_GB2312" w:hAnsi="仿宋_GB2312" w:cs="仿宋_GB2312"/>
          <w:b/>
          <w:bCs/>
          <w:color w:val="auto"/>
          <w:sz w:val="32"/>
          <w:szCs w:val="32"/>
        </w:rPr>
      </w:pPr>
      <w:r>
        <w:rPr>
          <w:rFonts w:hint="eastAsia" w:ascii="仿宋_GB2312" w:hAnsi="仿宋_GB2312" w:cs="仿宋_GB2312"/>
          <w:b/>
          <w:bCs/>
          <w:color w:val="auto"/>
          <w:sz w:val="32"/>
          <w:szCs w:val="32"/>
        </w:rPr>
        <w:t>5.现代农业产业园建设。</w:t>
      </w:r>
    </w:p>
    <w:p>
      <w:pPr>
        <w:adjustRightInd w:val="0"/>
        <w:snapToGrid w:val="0"/>
        <w:spacing w:line="590" w:lineRule="exact"/>
        <w:ind w:firstLine="643" w:firstLineChars="200"/>
        <w:rPr>
          <w:rFonts w:ascii="仿宋_GB2312" w:hAnsi="仿宋_GB2312" w:cs="仿宋_GB2312"/>
          <w:bCs/>
          <w:color w:val="auto"/>
          <w:sz w:val="32"/>
          <w:szCs w:val="32"/>
        </w:rPr>
      </w:pPr>
      <w:bookmarkStart w:id="28" w:name="_Hlk79671600"/>
      <w:bookmarkStart w:id="29" w:name="_Hlk79680207"/>
      <w:r>
        <w:rPr>
          <w:rFonts w:hint="eastAsia" w:ascii="仿宋_GB2312" w:hAnsi="仿宋_GB2312" w:cs="仿宋_GB2312"/>
          <w:b/>
          <w:color w:val="auto"/>
          <w:sz w:val="32"/>
          <w:szCs w:val="32"/>
        </w:rPr>
        <w:t>总体绩效目标：</w:t>
      </w:r>
      <w:r>
        <w:rPr>
          <w:rFonts w:hint="eastAsia" w:ascii="仿宋_GB2312" w:hAnsi="仿宋_GB2312" w:cs="仿宋_GB2312"/>
          <w:bCs/>
          <w:color w:val="auto"/>
          <w:sz w:val="32"/>
          <w:szCs w:val="32"/>
        </w:rPr>
        <w:t>围绕大区域、引进大企业、依靠大科技、做强大品牌、形成大产业的要求，聚焦丝苗米、生猪、家禽、岭南水果、蔬菜、茶叶、南药、花卉、油茶、水产、农产品冷链物流等主导产业，建设30个以上省级现代农业产业园。</w:t>
      </w:r>
    </w:p>
    <w:p>
      <w:pPr>
        <w:adjustRightInd w:val="0"/>
        <w:snapToGrid w:val="0"/>
        <w:spacing w:line="590" w:lineRule="exact"/>
        <w:ind w:firstLine="643" w:firstLineChars="200"/>
        <w:rPr>
          <w:rFonts w:ascii="仿宋_GB2312" w:hAnsi="仿宋_GB2312" w:cs="仿宋_GB2312"/>
          <w:color w:val="auto"/>
          <w:sz w:val="32"/>
          <w:szCs w:val="32"/>
        </w:rPr>
      </w:pPr>
      <w:r>
        <w:rPr>
          <w:rFonts w:hint="eastAsia" w:ascii="仿宋_GB2312" w:hAnsi="仿宋_GB2312" w:cs="仿宋_GB2312"/>
          <w:b/>
          <w:color w:val="auto"/>
          <w:sz w:val="32"/>
          <w:szCs w:val="32"/>
        </w:rPr>
        <w:t>2021年度绩效目标：</w:t>
      </w:r>
      <w:r>
        <w:rPr>
          <w:rFonts w:hint="eastAsia" w:ascii="仿宋_GB2312" w:hAnsi="仿宋_GB2312" w:cs="仿宋_GB2312"/>
          <w:bCs/>
          <w:color w:val="auto"/>
          <w:sz w:val="32"/>
          <w:szCs w:val="32"/>
        </w:rPr>
        <w:t>建</w:t>
      </w:r>
      <w:r>
        <w:rPr>
          <w:rFonts w:hint="eastAsia" w:ascii="仿宋_GB2312" w:hAnsi="仿宋_GB2312" w:cs="仿宋_GB2312"/>
          <w:color w:val="auto"/>
          <w:sz w:val="32"/>
          <w:szCs w:val="32"/>
        </w:rPr>
        <w:t>设30个以上省级现代农业产业园，培育特色鲜明的“粤字号”知名农业品牌，提升市场知名度和占有率，年度财政资金使用完毕。</w:t>
      </w:r>
      <w:bookmarkEnd w:id="28"/>
      <w:bookmarkEnd w:id="29"/>
      <w:bookmarkStart w:id="30" w:name="_Toc18552"/>
      <w:bookmarkStart w:id="31" w:name="_Toc31750"/>
      <w:bookmarkStart w:id="32" w:name="_Toc17236"/>
    </w:p>
    <w:p>
      <w:pPr>
        <w:adjustRightInd w:val="0"/>
        <w:snapToGrid w:val="0"/>
        <w:spacing w:line="59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说明：2021年省级现代农业产业园建设资金50000万元是2020年安排的省级现代农业产业园建设项目的一部分预算资金，2020年底前已拨付了预算资金的近80%，2021年拨付余下的预算资金。2021年50000万元资金是延续性项目，与2020年已下达拨付的省级现代农业产业园建设资金175000万元总体上属于相同的建设内容和绩效目标。</w:t>
      </w:r>
    </w:p>
    <w:p>
      <w:pPr>
        <w:numPr>
          <w:ilvl w:val="0"/>
          <w:numId w:val="3"/>
        </w:numPr>
        <w:adjustRightInd w:val="0"/>
        <w:snapToGrid w:val="0"/>
        <w:spacing w:line="590" w:lineRule="exact"/>
        <w:ind w:firstLine="640" w:firstLineChars="200"/>
        <w:outlineLvl w:val="0"/>
        <w:rPr>
          <w:rFonts w:hint="eastAsia" w:ascii="黑体" w:hAnsi="黑体" w:eastAsia="黑体" w:cs="黑体"/>
          <w:color w:val="auto"/>
          <w:kern w:val="0"/>
          <w:sz w:val="32"/>
          <w:szCs w:val="32"/>
        </w:rPr>
      </w:pPr>
      <w:bookmarkStart w:id="33" w:name="_Toc104847455"/>
      <w:bookmarkStart w:id="34" w:name="_Toc24670"/>
      <w:bookmarkStart w:id="35" w:name="_Toc1357"/>
      <w:r>
        <w:rPr>
          <w:rFonts w:hint="eastAsia" w:ascii="黑体" w:hAnsi="黑体" w:eastAsia="黑体" w:cs="黑体"/>
          <w:color w:val="auto"/>
          <w:kern w:val="0"/>
          <w:sz w:val="32"/>
          <w:szCs w:val="32"/>
        </w:rPr>
        <w:t>绩效自评工作组织情况</w:t>
      </w:r>
      <w:bookmarkEnd w:id="30"/>
      <w:bookmarkEnd w:id="31"/>
      <w:bookmarkEnd w:id="32"/>
      <w:bookmarkEnd w:id="33"/>
      <w:bookmarkEnd w:id="34"/>
      <w:bookmarkEnd w:id="35"/>
      <w:bookmarkStart w:id="36" w:name="_Toc13161"/>
      <w:bookmarkStart w:id="37" w:name="_Toc9908"/>
      <w:bookmarkStart w:id="38" w:name="_Toc15256"/>
    </w:p>
    <w:p>
      <w:pPr>
        <w:adjustRightInd w:val="0"/>
        <w:snapToGrid w:val="0"/>
        <w:spacing w:line="590" w:lineRule="exact"/>
        <w:ind w:firstLine="640" w:firstLineChars="200"/>
        <w:jc w:val="both"/>
        <w:rPr>
          <w:rFonts w:hint="eastAsia" w:ascii="仿宋_GB2312" w:hAnsi="仿宋_GB2312" w:cs="仿宋_GB2312"/>
          <w:color w:val="auto"/>
          <w:sz w:val="32"/>
          <w:szCs w:val="32"/>
        </w:rPr>
      </w:pPr>
      <w:r>
        <w:rPr>
          <w:rFonts w:hint="eastAsia" w:ascii="仿宋_GB2312" w:hAnsi="仿宋_GB2312" w:cs="仿宋_GB2312"/>
          <w:color w:val="auto"/>
          <w:sz w:val="32"/>
          <w:szCs w:val="32"/>
          <w:lang w:bidi="ar"/>
        </w:rPr>
        <w:t>根据《广东省财政厅关于做好2022年省级财政重点绩效评价工作的通知》（粤财绩函</w:t>
      </w:r>
      <w:r>
        <w:rPr>
          <w:rFonts w:hint="eastAsia" w:ascii="仿宋_GB2312" w:hAnsi="仿宋_GB2312" w:cs="仿宋_GB2312"/>
          <w:color w:val="auto"/>
          <w:sz w:val="32"/>
          <w:szCs w:val="32"/>
        </w:rPr>
        <w:t>〔2022〕</w:t>
      </w:r>
      <w:r>
        <w:rPr>
          <w:rFonts w:hint="eastAsia" w:ascii="仿宋_GB2312" w:hAnsi="仿宋_GB2312" w:cs="仿宋_GB2312"/>
          <w:color w:val="auto"/>
          <w:sz w:val="32"/>
          <w:szCs w:val="32"/>
          <w:lang w:bidi="ar"/>
        </w:rPr>
        <w:t>3号），我厅印发《关于做好省农业农村厅2022省级财政重点绩效评价工作的通知（厅内）》《关于做好2022年省级财政重点绩效评价工作的通知》（粤农农函〔2022〕395号）布置绩效自评工作，通知厅本部有关处室、省直和市县项目实施单位严格按照省财政厅重点绩效评价工作要求，</w:t>
      </w:r>
      <w:r>
        <w:rPr>
          <w:rFonts w:hint="eastAsia" w:ascii="仿宋_GB2312" w:hAnsi="仿宋_GB2312" w:cs="仿宋_GB2312"/>
          <w:color w:val="auto"/>
          <w:sz w:val="32"/>
          <w:szCs w:val="32"/>
        </w:rPr>
        <w:t>高度重视，加强领导，</w:t>
      </w:r>
      <w:r>
        <w:rPr>
          <w:rFonts w:hint="eastAsia" w:ascii="仿宋_GB2312" w:hAnsi="仿宋_GB2312" w:cs="仿宋_GB2312"/>
          <w:color w:val="auto"/>
          <w:sz w:val="32"/>
          <w:szCs w:val="32"/>
          <w:lang w:bidi="ar"/>
        </w:rPr>
        <w:t>认真做好2021年省级乡村振兴战略省级专项组织实施项目资金绩效自评。</w:t>
      </w:r>
      <w:r>
        <w:rPr>
          <w:rFonts w:hint="eastAsia" w:ascii="仿宋_GB2312" w:hAnsi="仿宋_GB2312" w:cs="仿宋_GB2312"/>
          <w:color w:val="auto"/>
          <w:sz w:val="32"/>
          <w:szCs w:val="32"/>
        </w:rPr>
        <w:t>包括：撰写自评报告，填写绩效目标自评表，并按自评材料清单提供相关佐证材料。省直和地市业务主管部门将自评材料收集汇总后，以正式函件报送我厅。省直和地市项目实施单位按要求提交了自评报告、绩效自评表及佐证材料等。根据对省直和地市自评材料的审核分析汇总情况，综合形成并向省财政厅报送2021年省级乡村振兴战略省级专项组织实施项目资金绩效自评报告，包括5个政策任务的项目绩效自评指标评分表和相关佐证材料等。</w:t>
      </w:r>
    </w:p>
    <w:p>
      <w:pPr>
        <w:keepNext w:val="0"/>
        <w:keepLines w:val="0"/>
        <w:numPr>
          <w:ilvl w:val="0"/>
          <w:numId w:val="4"/>
        </w:numPr>
        <w:adjustRightInd w:val="0"/>
        <w:snapToGrid w:val="0"/>
        <w:spacing w:line="590" w:lineRule="exact"/>
        <w:ind w:firstLine="640" w:firstLineChars="200"/>
        <w:outlineLvl w:val="0"/>
        <w:rPr>
          <w:rFonts w:hint="eastAsia" w:ascii="黑体" w:hAnsi="黑体" w:eastAsia="黑体" w:cs="黑体"/>
          <w:color w:val="auto"/>
          <w:kern w:val="0"/>
          <w:sz w:val="32"/>
          <w:szCs w:val="32"/>
        </w:rPr>
      </w:pPr>
      <w:bookmarkStart w:id="39" w:name="_Toc104847456"/>
      <w:bookmarkStart w:id="40" w:name="_Toc6274"/>
      <w:bookmarkStart w:id="41" w:name="_Toc3679"/>
      <w:r>
        <w:rPr>
          <w:rFonts w:hint="eastAsia" w:ascii="黑体" w:hAnsi="黑体" w:eastAsia="黑体" w:cs="黑体"/>
          <w:color w:val="auto"/>
          <w:kern w:val="0"/>
          <w:sz w:val="32"/>
          <w:szCs w:val="32"/>
        </w:rPr>
        <w:t>绩效自评结论</w:t>
      </w:r>
      <w:bookmarkEnd w:id="36"/>
      <w:bookmarkEnd w:id="37"/>
      <w:bookmarkEnd w:id="38"/>
      <w:bookmarkEnd w:id="39"/>
      <w:bookmarkEnd w:id="40"/>
      <w:bookmarkEnd w:id="41"/>
    </w:p>
    <w:p>
      <w:pPr>
        <w:pStyle w:val="6"/>
        <w:widowControl w:val="0"/>
        <w:adjustRightInd w:val="0"/>
        <w:snapToGrid w:val="0"/>
        <w:spacing w:line="590" w:lineRule="exact"/>
        <w:ind w:left="0" w:leftChars="0" w:firstLine="640"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综合省直和地市项目实施单位自评材料的审核分析结果，依据省财政厅既定的评价指标体系和评分标准，我厅对</w:t>
      </w:r>
      <w:r>
        <w:rPr>
          <w:rFonts w:hint="eastAsia" w:ascii="仿宋_GB2312" w:hAnsi="仿宋_GB2312" w:eastAsia="仿宋_GB2312" w:cs="仿宋_GB2312"/>
          <w:color w:val="auto"/>
          <w:kern w:val="0"/>
          <w:sz w:val="32"/>
          <w:szCs w:val="32"/>
          <w:lang w:bidi="ar"/>
        </w:rPr>
        <w:t>2021年省级乡村振兴战略专项省级组织实施项目资金</w:t>
      </w:r>
      <w:r>
        <w:rPr>
          <w:rFonts w:hint="eastAsia" w:ascii="仿宋_GB2312" w:hAnsi="仿宋_GB2312" w:eastAsia="仿宋_GB2312" w:cs="仿宋_GB2312"/>
          <w:color w:val="auto"/>
          <w:sz w:val="32"/>
          <w:szCs w:val="32"/>
        </w:rPr>
        <w:t>从决策、过程、产出和效益等四个维度进行绩效自评。通过对自评材料进行审核、汇总和分析，综合评定“</w:t>
      </w:r>
      <w:r>
        <w:rPr>
          <w:rFonts w:hint="eastAsia" w:ascii="仿宋_GB2312" w:hAnsi="仿宋_GB2312" w:eastAsia="仿宋_GB2312" w:cs="仿宋_GB2312"/>
          <w:color w:val="auto"/>
          <w:kern w:val="0"/>
          <w:sz w:val="32"/>
          <w:szCs w:val="32"/>
          <w:lang w:bidi="ar"/>
        </w:rPr>
        <w:t>2021年省级乡村振兴战略专项省级组织实施项目资金</w:t>
      </w:r>
      <w:r>
        <w:rPr>
          <w:rFonts w:hint="eastAsia" w:ascii="仿宋_GB2312" w:hAnsi="仿宋_GB2312" w:eastAsia="仿宋_GB2312" w:cs="仿宋_GB2312"/>
          <w:color w:val="auto"/>
          <w:sz w:val="32"/>
          <w:szCs w:val="32"/>
        </w:rPr>
        <w:t>”绩效自评得分为99.12</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rPr>
        <w:t>绩效等级为“优”，各</w:t>
      </w:r>
      <w:r>
        <w:rPr>
          <w:rFonts w:hint="eastAsia" w:ascii="仿宋_GB2312" w:hAnsi="仿宋_GB2312" w:eastAsia="仿宋_GB2312" w:cs="仿宋_GB2312"/>
          <w:color w:val="auto"/>
          <w:spacing w:val="-6"/>
          <w:sz w:val="32"/>
          <w:szCs w:val="32"/>
        </w:rPr>
        <w:t>项政策任务自评得分情况见表3-1，各级评价指标得分情况见附件。</w:t>
      </w:r>
    </w:p>
    <w:p>
      <w:pPr>
        <w:widowControl/>
        <w:jc w:val="center"/>
        <w:textAlignment w:val="center"/>
        <w:rPr>
          <w:color w:val="auto"/>
        </w:rPr>
      </w:pPr>
      <w:r>
        <w:rPr>
          <w:rFonts w:hint="eastAsia" w:ascii="黑体" w:hAnsi="宋体" w:eastAsia="黑体" w:cs="黑体"/>
          <w:color w:val="auto"/>
          <w:kern w:val="0"/>
          <w:sz w:val="28"/>
          <w:szCs w:val="28"/>
          <w:lang w:bidi="ar"/>
        </w:rPr>
        <w:t>表3-1 专项资金各项政策任务自评得分情况表</w:t>
      </w:r>
    </w:p>
    <w:tbl>
      <w:tblPr>
        <w:tblStyle w:val="8"/>
        <w:tblW w:w="9078" w:type="dxa"/>
        <w:jc w:val="center"/>
        <w:tblInd w:w="0" w:type="dxa"/>
        <w:tblLayout w:type="fixed"/>
        <w:tblCellMar>
          <w:top w:w="0" w:type="dxa"/>
          <w:left w:w="108" w:type="dxa"/>
          <w:bottom w:w="0" w:type="dxa"/>
          <w:right w:w="108" w:type="dxa"/>
        </w:tblCellMar>
      </w:tblPr>
      <w:tblGrid>
        <w:gridCol w:w="860"/>
        <w:gridCol w:w="2807"/>
        <w:gridCol w:w="1352"/>
        <w:gridCol w:w="1352"/>
        <w:gridCol w:w="1352"/>
        <w:gridCol w:w="1355"/>
      </w:tblGrid>
      <w:tr>
        <w:tblPrEx>
          <w:tblLayout w:type="fixed"/>
          <w:tblCellMar>
            <w:top w:w="0" w:type="dxa"/>
            <w:left w:w="108" w:type="dxa"/>
            <w:bottom w:w="0" w:type="dxa"/>
            <w:right w:w="108" w:type="dxa"/>
          </w:tblCellMar>
        </w:tblPrEx>
        <w:trPr>
          <w:trHeight w:val="366" w:hRule="atLeast"/>
          <w:jc w:val="center"/>
        </w:trPr>
        <w:tc>
          <w:tcPr>
            <w:tcW w:w="9078" w:type="dxa"/>
            <w:gridSpan w:val="6"/>
            <w:tcBorders>
              <w:top w:val="nil"/>
              <w:left w:val="nil"/>
              <w:bottom w:val="single" w:color="000000" w:sz="4" w:space="0"/>
              <w:right w:val="nil"/>
            </w:tcBorders>
            <w:shd w:val="clear" w:color="auto" w:fill="auto"/>
            <w:noWrap/>
            <w:vAlign w:val="center"/>
          </w:tcPr>
          <w:p>
            <w:pPr>
              <w:widowControl w:val="0"/>
              <w:adjustRightInd w:val="0"/>
              <w:snapToGrid w:val="0"/>
              <w:jc w:val="right"/>
              <w:textAlignment w:val="center"/>
              <w:rPr>
                <w:rFonts w:ascii="仿宋_GB2312" w:hAnsi="宋体" w:cs="仿宋_GB2312"/>
                <w:color w:val="auto"/>
                <w:kern w:val="0"/>
                <w:sz w:val="24"/>
                <w:lang w:bidi="ar"/>
              </w:rPr>
            </w:pPr>
            <w:bookmarkStart w:id="42" w:name="_Toc4695"/>
            <w:bookmarkStart w:id="43" w:name="_Toc7950"/>
            <w:bookmarkStart w:id="44" w:name="_Toc22609"/>
            <w:bookmarkStart w:id="45" w:name="_Toc104847457"/>
            <w:bookmarkStart w:id="46" w:name="_Toc512491960"/>
            <w:r>
              <w:rPr>
                <w:rFonts w:hint="eastAsia" w:ascii="仿宋_GB2312" w:hAnsi="宋体" w:cs="仿宋_GB2312"/>
                <w:color w:val="auto"/>
                <w:kern w:val="0"/>
                <w:sz w:val="24"/>
                <w:lang w:bidi="ar"/>
              </w:rPr>
              <w:t>金额单位：万元</w:t>
            </w:r>
          </w:p>
        </w:tc>
      </w:tr>
      <w:tr>
        <w:tblPrEx>
          <w:tblLayout w:type="fixed"/>
          <w:tblCellMar>
            <w:top w:w="0" w:type="dxa"/>
            <w:left w:w="108" w:type="dxa"/>
            <w:bottom w:w="0" w:type="dxa"/>
            <w:right w:w="108" w:type="dxa"/>
          </w:tblCellMar>
        </w:tblPrEx>
        <w:trPr>
          <w:trHeight w:val="389"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序号</w:t>
            </w: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政策任务名称</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资金额度</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资金权重</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单项自评</w:t>
            </w:r>
          </w:p>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分数</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权重分数</w:t>
            </w:r>
          </w:p>
        </w:tc>
      </w:tr>
      <w:tr>
        <w:tblPrEx>
          <w:tblLayout w:type="fixed"/>
          <w:tblCellMar>
            <w:top w:w="0" w:type="dxa"/>
            <w:left w:w="108" w:type="dxa"/>
            <w:bottom w:w="0" w:type="dxa"/>
            <w:right w:w="108" w:type="dxa"/>
          </w:tblCellMar>
        </w:tblPrEx>
        <w:trPr>
          <w:trHeight w:val="389" w:hRule="atLeast"/>
          <w:jc w:val="center"/>
        </w:trPr>
        <w:tc>
          <w:tcPr>
            <w:tcW w:w="3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合计</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111721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99.12</w:t>
            </w:r>
          </w:p>
        </w:tc>
      </w:tr>
      <w:tr>
        <w:tblPrEx>
          <w:tblLayout w:type="fixed"/>
          <w:tblCellMar>
            <w:top w:w="0" w:type="dxa"/>
            <w:left w:w="108" w:type="dxa"/>
            <w:bottom w:w="0" w:type="dxa"/>
            <w:right w:w="108" w:type="dxa"/>
          </w:tblCellMar>
        </w:tblPrEx>
        <w:trPr>
          <w:trHeight w:val="389"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科技兴农</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22682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20.30%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98.10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19.91</w:t>
            </w:r>
          </w:p>
        </w:tc>
      </w:tr>
      <w:tr>
        <w:tblPrEx>
          <w:tblLayout w:type="fixed"/>
          <w:tblCellMar>
            <w:top w:w="0" w:type="dxa"/>
            <w:left w:w="108" w:type="dxa"/>
            <w:bottom w:w="0" w:type="dxa"/>
            <w:right w:w="108" w:type="dxa"/>
          </w:tblCellMar>
        </w:tblPrEx>
        <w:trPr>
          <w:trHeight w:val="389"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2</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农业农村监测检测</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12985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11.62%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99.10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11.52</w:t>
            </w:r>
          </w:p>
        </w:tc>
      </w:tr>
      <w:tr>
        <w:tblPrEx>
          <w:tblLayout w:type="fixed"/>
          <w:tblCellMar>
            <w:top w:w="0" w:type="dxa"/>
            <w:left w:w="108" w:type="dxa"/>
            <w:bottom w:w="0" w:type="dxa"/>
            <w:right w:w="108" w:type="dxa"/>
          </w:tblCellMar>
        </w:tblPrEx>
        <w:trPr>
          <w:trHeight w:val="757"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3</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农业农村宣传推广和综合管理及能力建设</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14097</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12.62%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99.40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12.54</w:t>
            </w:r>
          </w:p>
        </w:tc>
      </w:tr>
      <w:tr>
        <w:tblPrEx>
          <w:tblLayout w:type="fixed"/>
          <w:tblCellMar>
            <w:top w:w="0" w:type="dxa"/>
            <w:left w:w="108" w:type="dxa"/>
            <w:bottom w:w="0" w:type="dxa"/>
            <w:right w:w="108" w:type="dxa"/>
          </w:tblCellMar>
        </w:tblPrEx>
        <w:trPr>
          <w:trHeight w:val="757"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农业农村重点试点示范及基地建设</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11957</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10.70%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99.10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10.60</w:t>
            </w:r>
          </w:p>
        </w:tc>
      </w:tr>
      <w:tr>
        <w:tblPrEx>
          <w:tblLayout w:type="fixed"/>
          <w:tblCellMar>
            <w:top w:w="0" w:type="dxa"/>
            <w:left w:w="108" w:type="dxa"/>
            <w:bottom w:w="0" w:type="dxa"/>
            <w:right w:w="108" w:type="dxa"/>
          </w:tblCellMar>
        </w:tblPrEx>
        <w:trPr>
          <w:trHeight w:val="412"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现代农业产业园建设</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50000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44.76%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99.52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44.</w:t>
            </w:r>
            <w:r>
              <w:rPr>
                <w:rFonts w:hint="eastAsia" w:ascii="仿宋_GB2312" w:hAnsi="宋体" w:cs="仿宋_GB2312"/>
                <w:color w:val="auto"/>
                <w:kern w:val="0"/>
                <w:sz w:val="24"/>
                <w:lang w:val="en-US" w:eastAsia="zh-CN" w:bidi="ar"/>
              </w:rPr>
              <w:t>55</w:t>
            </w:r>
          </w:p>
        </w:tc>
      </w:tr>
    </w:tbl>
    <w:p>
      <w:pPr>
        <w:keepNext w:val="0"/>
        <w:keepLines w:val="0"/>
        <w:adjustRightInd w:val="0"/>
        <w:snapToGrid w:val="0"/>
        <w:spacing w:line="590" w:lineRule="exact"/>
        <w:ind w:firstLine="640" w:firstLineChars="200"/>
        <w:outlineLvl w:val="0"/>
        <w:rPr>
          <w:rFonts w:eastAsia="黑体"/>
          <w:color w:val="auto"/>
          <w:kern w:val="0"/>
          <w:sz w:val="32"/>
          <w:szCs w:val="32"/>
        </w:rPr>
      </w:pPr>
      <w:bookmarkStart w:id="47" w:name="_Toc10238"/>
      <w:bookmarkStart w:id="48" w:name="_Toc15159"/>
      <w:r>
        <w:rPr>
          <w:rFonts w:hint="eastAsia" w:eastAsia="黑体"/>
          <w:color w:val="auto"/>
          <w:kern w:val="0"/>
          <w:sz w:val="32"/>
          <w:szCs w:val="32"/>
        </w:rPr>
        <w:t>四、绩效指标分析</w:t>
      </w:r>
      <w:bookmarkEnd w:id="42"/>
      <w:bookmarkEnd w:id="43"/>
      <w:bookmarkEnd w:id="44"/>
      <w:bookmarkEnd w:id="45"/>
      <w:bookmarkEnd w:id="47"/>
      <w:bookmarkEnd w:id="48"/>
      <w:bookmarkStart w:id="49" w:name="_Toc453_WPSOffice_Level3"/>
    </w:p>
    <w:p>
      <w:pPr>
        <w:pStyle w:val="7"/>
        <w:adjustRightInd w:val="0"/>
        <w:snapToGrid w:val="0"/>
        <w:spacing w:line="590" w:lineRule="exact"/>
        <w:ind w:firstLine="640" w:firstLineChars="200"/>
        <w:rPr>
          <w:rFonts w:ascii="仿宋_GB2312" w:cs="仿宋_GB2312"/>
          <w:color w:val="auto"/>
          <w:sz w:val="32"/>
          <w:szCs w:val="32"/>
          <w:lang w:bidi="ar"/>
        </w:rPr>
      </w:pPr>
      <w:r>
        <w:rPr>
          <w:rFonts w:hint="eastAsia" w:ascii="仿宋_GB2312" w:cs="仿宋_GB2312"/>
          <w:color w:val="auto"/>
          <w:sz w:val="32"/>
          <w:szCs w:val="32"/>
          <w:lang w:bidi="ar"/>
        </w:rPr>
        <w:t>专项资金一级指标得分情况见表4-1。决策、过程、产出和效益四项一级指标得分率在97.40%-100%之间。其中，决策指标和效益指标得分率均为100%，其余依次是产出指标（98.80%）、过程指标（97.40%）。说明专项资金使用总体情况较好，专项资金投入经过了科学合理论证，项目立项规范，资金落实到位；专项资金使用和项目管理比较规范；专项资金产出和效益总体达到预期目标。</w:t>
      </w:r>
    </w:p>
    <w:p>
      <w:pPr>
        <w:spacing w:before="156" w:beforeLines="50"/>
        <w:jc w:val="center"/>
        <w:rPr>
          <w:rFonts w:ascii="黑体" w:hAnsi="黑体" w:eastAsia="黑体" w:cs="黑体"/>
          <w:color w:val="auto"/>
          <w:sz w:val="28"/>
          <w:szCs w:val="28"/>
        </w:rPr>
      </w:pPr>
      <w:r>
        <w:rPr>
          <w:rFonts w:hint="eastAsia" w:ascii="黑体" w:hAnsi="黑体" w:eastAsia="黑体" w:cs="黑体"/>
          <w:color w:val="auto"/>
          <w:sz w:val="28"/>
          <w:szCs w:val="28"/>
        </w:rPr>
        <w:t>表4-1 专项资金一级指标得分一览表</w:t>
      </w:r>
    </w:p>
    <w:tbl>
      <w:tblPr>
        <w:tblStyle w:val="8"/>
        <w:tblW w:w="8520" w:type="dxa"/>
        <w:tblInd w:w="0" w:type="dxa"/>
        <w:tblLayout w:type="fixed"/>
        <w:tblCellMar>
          <w:top w:w="0" w:type="dxa"/>
          <w:left w:w="108" w:type="dxa"/>
          <w:bottom w:w="0" w:type="dxa"/>
          <w:right w:w="108" w:type="dxa"/>
        </w:tblCellMar>
      </w:tblPr>
      <w:tblGrid>
        <w:gridCol w:w="1669"/>
        <w:gridCol w:w="2543"/>
        <w:gridCol w:w="2146"/>
        <w:gridCol w:w="2162"/>
      </w:tblGrid>
      <w:tr>
        <w:tblPrEx>
          <w:tblLayout w:type="fixed"/>
          <w:tblCellMar>
            <w:top w:w="0" w:type="dxa"/>
            <w:left w:w="108" w:type="dxa"/>
            <w:bottom w:w="0" w:type="dxa"/>
            <w:right w:w="108" w:type="dxa"/>
          </w:tblCellMar>
        </w:tblPrEx>
        <w:trPr>
          <w:trHeight w:val="280" w:hRule="atLeast"/>
          <w:tblHeader/>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一级指标</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指标权重（%）</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指标得分</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得分率（%）</w:t>
            </w:r>
          </w:p>
        </w:tc>
      </w:tr>
      <w:tr>
        <w:tblPrEx>
          <w:tblLayout w:type="fixed"/>
          <w:tblCellMar>
            <w:top w:w="0" w:type="dxa"/>
            <w:left w:w="108" w:type="dxa"/>
            <w:bottom w:w="0" w:type="dxa"/>
            <w:right w:w="108" w:type="dxa"/>
          </w:tblCellMar>
        </w:tblPrEx>
        <w:trPr>
          <w:trHeight w:val="28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决策</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20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20</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100%</w:t>
            </w:r>
          </w:p>
        </w:tc>
      </w:tr>
      <w:tr>
        <w:tblPrEx>
          <w:tblLayout w:type="fixed"/>
          <w:tblCellMar>
            <w:top w:w="0" w:type="dxa"/>
            <w:left w:w="108" w:type="dxa"/>
            <w:bottom w:w="0" w:type="dxa"/>
            <w:right w:w="108" w:type="dxa"/>
          </w:tblCellMar>
        </w:tblPrEx>
        <w:trPr>
          <w:trHeight w:val="9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过程</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20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 xml:space="preserve">19.48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97.40%</w:t>
            </w:r>
          </w:p>
        </w:tc>
      </w:tr>
      <w:tr>
        <w:tblPrEx>
          <w:tblLayout w:type="fixed"/>
          <w:tblCellMar>
            <w:top w:w="0" w:type="dxa"/>
            <w:left w:w="108" w:type="dxa"/>
            <w:bottom w:w="0" w:type="dxa"/>
            <w:right w:w="108" w:type="dxa"/>
          </w:tblCellMar>
        </w:tblPrEx>
        <w:trPr>
          <w:trHeight w:val="9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产出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30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29.64</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98.80%</w:t>
            </w:r>
          </w:p>
        </w:tc>
      </w:tr>
      <w:tr>
        <w:tblPrEx>
          <w:tblLayout w:type="fixed"/>
          <w:tblCellMar>
            <w:top w:w="0" w:type="dxa"/>
            <w:left w:w="108" w:type="dxa"/>
            <w:bottom w:w="0" w:type="dxa"/>
            <w:right w:w="108" w:type="dxa"/>
          </w:tblCellMar>
        </w:tblPrEx>
        <w:trPr>
          <w:trHeight w:val="28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效益</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30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30</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100%</w:t>
            </w:r>
          </w:p>
        </w:tc>
      </w:tr>
      <w:tr>
        <w:tblPrEx>
          <w:tblLayout w:type="fixed"/>
          <w:tblCellMar>
            <w:top w:w="0" w:type="dxa"/>
            <w:left w:w="108" w:type="dxa"/>
            <w:bottom w:w="0" w:type="dxa"/>
            <w:right w:w="108" w:type="dxa"/>
          </w:tblCellMar>
        </w:tblPrEx>
        <w:trPr>
          <w:trHeight w:val="28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加权得分</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100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99.12</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宋体" w:cs="仿宋_GB2312"/>
                <w:color w:val="auto"/>
                <w:kern w:val="0"/>
                <w:sz w:val="24"/>
                <w:lang w:bidi="ar"/>
              </w:rPr>
            </w:pPr>
            <w:r>
              <w:rPr>
                <w:rFonts w:hint="eastAsia" w:ascii="仿宋_GB2312" w:hAnsi="宋体" w:cs="仿宋_GB2312"/>
                <w:color w:val="auto"/>
                <w:kern w:val="0"/>
                <w:sz w:val="24"/>
                <w:lang w:bidi="ar"/>
              </w:rPr>
              <w:t>99.12%</w:t>
            </w:r>
          </w:p>
        </w:tc>
      </w:tr>
    </w:tbl>
    <w:p>
      <w:pPr>
        <w:pStyle w:val="6"/>
        <w:ind w:left="0" w:leftChars="0"/>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（说明：指标得分根据各项政策任务资金比重加权平均计算得分）</w:t>
      </w:r>
    </w:p>
    <w:p>
      <w:pPr>
        <w:keepNext w:val="0"/>
        <w:keepLines w:val="0"/>
        <w:adjustRightInd w:val="0"/>
        <w:snapToGrid w:val="0"/>
        <w:spacing w:beforeLines="0" w:afterLines="0" w:line="590" w:lineRule="exact"/>
        <w:ind w:firstLine="640" w:firstLineChars="200"/>
        <w:outlineLvl w:val="1"/>
        <w:rPr>
          <w:rFonts w:hint="eastAsia" w:ascii="楷体_GB2312" w:hAnsi="楷体_GB2312" w:eastAsia="楷体_GB2312" w:cs="楷体_GB2312"/>
          <w:b w:val="0"/>
          <w:bCs w:val="0"/>
          <w:color w:val="auto"/>
          <w:kern w:val="0"/>
          <w:sz w:val="32"/>
          <w:szCs w:val="32"/>
        </w:rPr>
      </w:pPr>
      <w:bookmarkStart w:id="50" w:name="_Toc32454"/>
      <w:bookmarkStart w:id="51" w:name="_Toc1426"/>
      <w:bookmarkStart w:id="52" w:name="_Toc104847458"/>
      <w:bookmarkStart w:id="53" w:name="_Toc15928"/>
      <w:bookmarkStart w:id="54" w:name="_Toc1940"/>
      <w:bookmarkStart w:id="55" w:name="_Toc12570"/>
      <w:r>
        <w:rPr>
          <w:rFonts w:hint="eastAsia" w:ascii="楷体_GB2312" w:hAnsi="楷体_GB2312" w:eastAsia="楷体_GB2312" w:cs="楷体_GB2312"/>
          <w:b w:val="0"/>
          <w:bCs w:val="0"/>
          <w:color w:val="auto"/>
          <w:kern w:val="0"/>
          <w:sz w:val="32"/>
          <w:szCs w:val="32"/>
        </w:rPr>
        <w:t>（一）决策分析</w:t>
      </w:r>
      <w:bookmarkEnd w:id="49"/>
      <w:bookmarkEnd w:id="50"/>
      <w:bookmarkEnd w:id="51"/>
      <w:bookmarkEnd w:id="52"/>
      <w:bookmarkEnd w:id="53"/>
      <w:bookmarkEnd w:id="54"/>
      <w:bookmarkEnd w:id="55"/>
    </w:p>
    <w:p>
      <w:pPr>
        <w:adjustRightInd w:val="0"/>
        <w:snapToGrid w:val="0"/>
        <w:spacing w:beforeLines="0" w:afterLines="0" w:line="590" w:lineRule="exact"/>
        <w:ind w:firstLine="640" w:firstLineChars="200"/>
        <w:rPr>
          <w:rFonts w:hint="eastAsia" w:ascii="仿宋_GB2312" w:hAnsi="仿宋_GB2312" w:cs="仿宋_GB2312"/>
          <w:color w:val="auto"/>
          <w:sz w:val="32"/>
          <w:szCs w:val="32"/>
          <w:lang w:bidi="ar"/>
        </w:rPr>
      </w:pPr>
      <w:r>
        <w:rPr>
          <w:rFonts w:hint="eastAsia" w:ascii="仿宋_GB2312" w:hAnsi="仿宋_GB2312" w:cs="仿宋_GB2312"/>
          <w:color w:val="auto"/>
          <w:sz w:val="32"/>
          <w:szCs w:val="32"/>
          <w:lang w:bidi="ar"/>
        </w:rPr>
        <w:t>该指标主要从项目立项和资金落实两个方面考核项目论证的充分性，绩效目标的完整性、合理性和可衡量性，制度和计划上的保障措施，以及资金投向的合理性和可行性。指标分值20分，评价得分20分，得分率为100%。</w:t>
      </w:r>
    </w:p>
    <w:p>
      <w:pPr>
        <w:adjustRightInd w:val="0"/>
        <w:snapToGrid w:val="0"/>
        <w:spacing w:beforeLines="0" w:afterLines="0" w:line="590" w:lineRule="exact"/>
        <w:ind w:firstLine="643" w:firstLineChars="200"/>
        <w:rPr>
          <w:rFonts w:hint="eastAsia" w:ascii="仿宋_GB2312" w:hAnsi="仿宋_GB2312" w:cs="仿宋_GB2312"/>
          <w:b/>
          <w:bCs/>
          <w:color w:val="auto"/>
          <w:sz w:val="32"/>
          <w:szCs w:val="32"/>
        </w:rPr>
      </w:pPr>
      <w:r>
        <w:rPr>
          <w:rFonts w:hint="eastAsia" w:ascii="仿宋_GB2312" w:hAnsi="仿宋_GB2312" w:cs="仿宋_GB2312"/>
          <w:b/>
          <w:bCs/>
          <w:color w:val="auto"/>
          <w:sz w:val="32"/>
          <w:szCs w:val="32"/>
        </w:rPr>
        <w:t>1.项目立项情况。</w:t>
      </w:r>
    </w:p>
    <w:p>
      <w:pPr>
        <w:pStyle w:val="11"/>
        <w:adjustRightInd w:val="0"/>
        <w:snapToGrid w:val="0"/>
        <w:spacing w:before="0" w:beforeLines="0" w:after="0" w:afterLines="0" w:line="590" w:lineRule="exact"/>
        <w:ind w:firstLine="640"/>
        <w:rPr>
          <w:rFonts w:hint="eastAsia" w:ascii="仿宋_GB2312" w:hAnsi="仿宋_GB2312" w:cs="仿宋_GB2312"/>
          <w:color w:val="auto"/>
          <w:kern w:val="2"/>
          <w:sz w:val="32"/>
          <w:szCs w:val="32"/>
          <w:lang w:bidi="ar"/>
        </w:rPr>
      </w:pPr>
      <w:r>
        <w:rPr>
          <w:rFonts w:hint="eastAsia" w:ascii="仿宋_GB2312" w:hAnsi="仿宋_GB2312" w:cs="仿宋_GB2312"/>
          <w:color w:val="auto"/>
          <w:kern w:val="2"/>
          <w:sz w:val="32"/>
          <w:szCs w:val="32"/>
          <w:lang w:bidi="ar"/>
        </w:rPr>
        <w:t>（1）</w:t>
      </w:r>
      <w:r>
        <w:rPr>
          <w:rFonts w:hint="eastAsia" w:ascii="仿宋_GB2312" w:hAnsi="仿宋_GB2312" w:cs="仿宋_GB2312"/>
          <w:color w:val="auto"/>
          <w:sz w:val="32"/>
          <w:szCs w:val="32"/>
        </w:rPr>
        <w:t>论证决策。</w:t>
      </w:r>
      <w:r>
        <w:rPr>
          <w:rFonts w:hint="eastAsia" w:ascii="仿宋_GB2312" w:hAnsi="仿宋_GB2312" w:cs="仿宋_GB2312"/>
          <w:color w:val="auto"/>
          <w:kern w:val="2"/>
          <w:sz w:val="32"/>
          <w:szCs w:val="32"/>
          <w:lang w:bidi="ar"/>
        </w:rPr>
        <w:t>指标权重4分，自评得分为4分，得分率为100%。根据《中共广东省委 广东省人民政府关于推进乡村振兴战略的实施意见》《乡村振兴战略规划（2018-2022年）》《农业农村部 广东省人民政府共同推进广东乡村振兴战略实施2019年度工作要点》等政策文件和我省农业农村工作发展需求，聚焦我省乡村振兴战略发展面临的突出问题，经过专家咨询和论证以及合法规范的民主决策程序，征求并吸纳了广大政策受众的意见和建议，省财政设立本专项资金。对于不确定性较强的政策项目从局部试点开始，对原有的政策任务不断调整完善而后推广。总体上决策过程科学合理，资金设立符合省级专项资金管理办法，资金投向和结构符合相关政策精神和公共财政扶持方向。</w:t>
      </w:r>
    </w:p>
    <w:p>
      <w:pPr>
        <w:pStyle w:val="11"/>
        <w:adjustRightInd w:val="0"/>
        <w:snapToGrid w:val="0"/>
        <w:spacing w:before="0" w:beforeLines="0" w:after="0" w:afterLines="0" w:line="590" w:lineRule="exact"/>
        <w:ind w:firstLine="640"/>
        <w:rPr>
          <w:rFonts w:hint="eastAsia" w:ascii="仿宋_GB2312" w:hAnsi="仿宋_GB2312" w:cs="仿宋_GB2312"/>
          <w:color w:val="auto"/>
          <w:kern w:val="2"/>
          <w:sz w:val="32"/>
          <w:szCs w:val="32"/>
          <w:lang w:bidi="ar"/>
        </w:rPr>
      </w:pPr>
      <w:r>
        <w:rPr>
          <w:rFonts w:hint="eastAsia" w:ascii="仿宋_GB2312" w:hAnsi="仿宋_GB2312" w:cs="仿宋_GB2312"/>
          <w:color w:val="auto"/>
          <w:kern w:val="2"/>
          <w:sz w:val="32"/>
          <w:szCs w:val="32"/>
          <w:lang w:bidi="ar"/>
        </w:rPr>
        <w:t>一是科技兴农。专项资金、政策任务及具体项目设立的主要依据包括：《国家畜禽良种联合攻关计划(2019-2022)》《农业农村部广东省人民政府共同推进广东乡村振兴战略实施2019年度工作要点》《广东省中长期人才发展规划纲要（2010-2020年）》《广东省人民政府关于印发广东省推进农业农村现代化“十四五”规划的通知》（粤府〔2021〕56号）、《关于印发&lt;广东省农业科技发展“十四五”规划&gt;的通知》（粤农农函〔2021〕567号）等。</w:t>
      </w:r>
    </w:p>
    <w:p>
      <w:pPr>
        <w:pStyle w:val="11"/>
        <w:adjustRightInd w:val="0"/>
        <w:snapToGrid w:val="0"/>
        <w:spacing w:before="0" w:beforeLines="0" w:after="0" w:afterLines="0" w:line="590" w:lineRule="exact"/>
        <w:ind w:firstLine="640"/>
        <w:rPr>
          <w:rFonts w:hint="eastAsia" w:ascii="仿宋_GB2312" w:hAnsi="仿宋_GB2312" w:cs="仿宋_GB2312"/>
          <w:color w:val="auto"/>
          <w:kern w:val="2"/>
          <w:sz w:val="32"/>
          <w:szCs w:val="32"/>
          <w:lang w:bidi="ar"/>
        </w:rPr>
      </w:pPr>
      <w:r>
        <w:rPr>
          <w:rFonts w:hint="eastAsia" w:ascii="仿宋_GB2312" w:hAnsi="仿宋_GB2312" w:cs="仿宋_GB2312"/>
          <w:color w:val="auto"/>
          <w:kern w:val="2"/>
          <w:sz w:val="32"/>
          <w:szCs w:val="32"/>
          <w:lang w:bidi="ar"/>
        </w:rPr>
        <w:t>二是农业农村监测检测。专项资金、政策任务及具体项目设立的主要依据包括：《关于深化改革加强食品安全工作的意见》《地方党政领导干部食品安全责任制规定》《植物检疫条例》《农业农村部 广东省人民政府共同推进广东乡村振兴战略实施合作框架协议（2019-2022年）》《广东省人民政府关于印发广东省土壤污染防治行动计划实施方案的通知》（粤府发〔2016〕145号）、《关于加强生猪和生猪产品质量安全全程监管推进屠宰产业高质量发展的意见》（粤府〔2020〕24号）、《关于印发广东省农作物重大病虫疫情防控指挥部职责分工和人员设置的通知》（粤农防指〔2020〕1号）等。</w:t>
      </w:r>
    </w:p>
    <w:p>
      <w:pPr>
        <w:widowControl w:val="0"/>
        <w:adjustRightInd w:val="0"/>
        <w:snapToGrid w:val="0"/>
        <w:spacing w:beforeLines="0" w:afterLines="0" w:line="590" w:lineRule="exact"/>
        <w:ind w:firstLine="640" w:firstLineChars="200"/>
        <w:jc w:val="both"/>
        <w:rPr>
          <w:rFonts w:hint="eastAsia" w:ascii="仿宋_GB2312" w:hAnsi="仿宋_GB2312" w:cs="仿宋_GB2312"/>
          <w:color w:val="auto"/>
          <w:sz w:val="32"/>
          <w:szCs w:val="32"/>
          <w:lang w:bidi="ar"/>
        </w:rPr>
      </w:pPr>
      <w:r>
        <w:rPr>
          <w:rFonts w:hint="eastAsia" w:ascii="仿宋_GB2312" w:hAnsi="仿宋_GB2312" w:cs="仿宋_GB2312"/>
          <w:color w:val="auto"/>
          <w:sz w:val="32"/>
          <w:szCs w:val="32"/>
          <w:lang w:bidi="ar"/>
        </w:rPr>
        <w:t>三是农业农村宣传推广和综合管理及能力建设。专项资金、政策任务及具体项目设立的主要依据包括：《关于印发&lt;广东省涉农资金统筹整合管理办法（2020年修订）&gt;的通知》（粤财农〔2020〕106号）、《广东省发展改革委关于省动物疫病预防控制中心项目可行性研究报告的复函》(粤发改投资函〔2014〕3883号)等。</w:t>
      </w:r>
    </w:p>
    <w:p>
      <w:pPr>
        <w:widowControl w:val="0"/>
        <w:adjustRightInd w:val="0"/>
        <w:snapToGrid w:val="0"/>
        <w:spacing w:beforeLines="0" w:afterLines="0" w:line="590" w:lineRule="exact"/>
        <w:ind w:firstLine="640" w:firstLineChars="200"/>
        <w:jc w:val="both"/>
        <w:rPr>
          <w:rFonts w:ascii="仿宋_GB2312" w:hAnsi="仿宋_GB2312" w:cs="仿宋_GB2312"/>
          <w:color w:val="auto"/>
          <w:sz w:val="32"/>
          <w:szCs w:val="32"/>
          <w:lang w:bidi="ar"/>
        </w:rPr>
      </w:pPr>
      <w:r>
        <w:rPr>
          <w:rFonts w:hint="eastAsia" w:ascii="仿宋_GB2312" w:hAnsi="仿宋_GB2312" w:cs="仿宋_GB2312"/>
          <w:color w:val="auto"/>
          <w:sz w:val="32"/>
          <w:szCs w:val="32"/>
          <w:lang w:bidi="ar"/>
        </w:rPr>
        <w:t>四是农业农村重点试点示范及基地建设。专项资金、政策任务及具体项目设立的主要依据包括：《中共中央国务院关于全面推进乡村振兴加快农业农村现代化的意见》（中发〔2021〕1号）、《广东省人民政府关于加快推进农业机械和农机装备产业转型升级的实施意见》（粤府函〔2019〕428号）、《广东省农业农村厅 广东省生态环境厅&lt;关于切实做好受污染耕地安全利用工作的通知&gt;》（粤农农〔2019〕232号）等。以及为示</w:t>
      </w:r>
      <w:r>
        <w:rPr>
          <w:rFonts w:hint="eastAsia" w:ascii="仿宋_GB2312" w:hAnsi="仿宋_GB2312" w:eastAsia="仿宋_GB2312" w:cs="仿宋_GB2312"/>
          <w:color w:val="auto"/>
          <w:sz w:val="32"/>
          <w:szCs w:val="32"/>
        </w:rPr>
        <w:t>范带动全省各地区全面推动受污染耕地安全利用工作提供政策支撑的需求等。</w:t>
      </w:r>
    </w:p>
    <w:p>
      <w:pPr>
        <w:widowControl w:val="0"/>
        <w:adjustRightInd w:val="0"/>
        <w:snapToGrid w:val="0"/>
        <w:spacing w:beforeLines="0" w:afterLines="0" w:line="590" w:lineRule="exact"/>
        <w:ind w:firstLine="640" w:firstLineChars="200"/>
        <w:jc w:val="both"/>
        <w:rPr>
          <w:rFonts w:ascii="仿宋_GB2312" w:hAnsi="仿宋_GB2312" w:cs="仿宋_GB2312"/>
          <w:color w:val="auto"/>
          <w:sz w:val="32"/>
          <w:szCs w:val="32"/>
          <w:lang w:bidi="ar"/>
        </w:rPr>
      </w:pPr>
      <w:r>
        <w:rPr>
          <w:rFonts w:hint="eastAsia" w:ascii="仿宋_GB2312" w:hAnsi="仿宋_GB2312" w:cs="仿宋_GB2312"/>
          <w:color w:val="auto"/>
          <w:sz w:val="32"/>
          <w:szCs w:val="32"/>
          <w:lang w:bidi="ar"/>
        </w:rPr>
        <w:t>五是现代农业产业园建设。专项资金、政策任务及具体项目设立的主要依据包括：《广东省农业可持续发展规划（2016-2030）》《广东省农业现代化“十三五”规划》《广东省实施乡村振兴战略规划（2018-2022年）》</w:t>
      </w:r>
      <w:r>
        <w:rPr>
          <w:rFonts w:hint="eastAsia" w:ascii="仿宋_GB2312" w:hAnsi="仿宋_GB2312" w:cs="仿宋_GB2312"/>
          <w:color w:val="auto"/>
          <w:sz w:val="32"/>
          <w:szCs w:val="32"/>
        </w:rPr>
        <w:t>《2019-2020年全省现代农业产业园建设工作方案》（粤农〔2018〕76号）、《关于支持省级现代农业产业园建设的政策措施》（粤办函〔2019〕289号）。上述政策文件明确省级现代农业产业园建设纳入省重点建设项目，并从用地保障、财政金融支持、税费减免、流通和品牌建设、基础设施、环境保护和科技与人才等7个方面提出了21条政策措施，来推进产业园建设政策顺利实施。</w:t>
      </w:r>
    </w:p>
    <w:p>
      <w:pPr>
        <w:pStyle w:val="11"/>
        <w:numPr>
          <w:ilvl w:val="255"/>
          <w:numId w:val="0"/>
        </w:numPr>
        <w:adjustRightInd w:val="0"/>
        <w:snapToGrid w:val="0"/>
        <w:spacing w:before="0" w:beforeLines="0" w:after="0" w:afterLines="0" w:line="590" w:lineRule="exact"/>
        <w:ind w:firstLine="640" w:firstLineChars="200"/>
        <w:rPr>
          <w:rFonts w:hint="eastAsia" w:ascii="仿宋_GB2312" w:hAnsi="仿宋_GB2312" w:cs="仿宋_GB2312"/>
          <w:color w:val="auto"/>
          <w:kern w:val="2"/>
          <w:sz w:val="32"/>
          <w:szCs w:val="32"/>
          <w:lang w:bidi="ar"/>
        </w:rPr>
      </w:pPr>
      <w:r>
        <w:rPr>
          <w:rFonts w:hint="eastAsia" w:ascii="仿宋_GB2312" w:hAnsi="仿宋_GB2312" w:cs="仿宋_GB2312"/>
          <w:color w:val="auto"/>
          <w:kern w:val="2"/>
          <w:sz w:val="32"/>
          <w:szCs w:val="32"/>
          <w:lang w:bidi="ar"/>
        </w:rPr>
        <w:t>（2）目</w:t>
      </w:r>
      <w:r>
        <w:rPr>
          <w:rFonts w:hint="eastAsia" w:ascii="仿宋_GB2312" w:hAnsi="仿宋_GB2312" w:cs="仿宋_GB2312"/>
          <w:color w:val="auto"/>
          <w:sz w:val="32"/>
          <w:szCs w:val="32"/>
        </w:rPr>
        <w:t>标设置。</w:t>
      </w:r>
      <w:r>
        <w:rPr>
          <w:rFonts w:hint="eastAsia" w:ascii="仿宋_GB2312" w:hAnsi="仿宋_GB2312" w:cs="仿宋_GB2312"/>
          <w:color w:val="auto"/>
          <w:kern w:val="2"/>
          <w:sz w:val="32"/>
          <w:szCs w:val="32"/>
          <w:lang w:bidi="ar"/>
        </w:rPr>
        <w:t>指标权重6分，自评得分6分，得分率为100%。2021年专项资金严格按照《广东省人民政府关于印发广东省省级财政专项资金管理办法（试行）的通知》（粤府〔2018〕120号）、《关于印发〈广东省省级财政预算绩效目标管理办法（试行）〉的通知》（粤财绩〔2019〕11号）、《广东省财政厅关于做好2021年省级预算绩效目标编报审核有关工作的通知》（粤财绩函〔2020〕3号）等有关文件规定，认真做好专项资金绩效目标的设置。5项政策任务均设置了完整、客观、合理、量化的绩效目标和绩效指标，设置的各项产出数量和效益绩效指标符合省级财政资金绩效管理要求。</w:t>
      </w:r>
    </w:p>
    <w:p>
      <w:pPr>
        <w:pStyle w:val="11"/>
        <w:numPr>
          <w:ilvl w:val="255"/>
          <w:numId w:val="0"/>
        </w:numPr>
        <w:adjustRightInd w:val="0"/>
        <w:snapToGrid w:val="0"/>
        <w:spacing w:before="0" w:beforeLines="0" w:after="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kern w:val="2"/>
          <w:sz w:val="32"/>
          <w:szCs w:val="32"/>
          <w:lang w:bidi="ar"/>
        </w:rPr>
        <w:t>（3）</w:t>
      </w:r>
      <w:r>
        <w:rPr>
          <w:rFonts w:hint="eastAsia" w:ascii="仿宋_GB2312" w:hAnsi="仿宋_GB2312" w:cs="仿宋_GB2312"/>
          <w:color w:val="auto"/>
          <w:sz w:val="32"/>
          <w:szCs w:val="32"/>
        </w:rPr>
        <w:t>保障措施。</w:t>
      </w:r>
      <w:r>
        <w:rPr>
          <w:rFonts w:hint="eastAsia" w:ascii="仿宋_GB2312" w:hAnsi="仿宋_GB2312" w:cs="仿宋_GB2312"/>
          <w:color w:val="auto"/>
          <w:kern w:val="2"/>
          <w:sz w:val="32"/>
          <w:szCs w:val="32"/>
          <w:lang w:bidi="ar"/>
        </w:rPr>
        <w:t>指标权重2分，自评得分2分，得分率为100%。一是制度完整性。《广东省人民政府关于印发广东省省级财政专项资金管理办法（试行）的通知》（粤府〔2018〕120号）、《关于印发新修订的&lt;广东省农业农村厅财务管理规定（2021年修订稿）&gt;等8项制度》等综合性管理制度以及科技兴农等各项政策任务方面的专业性管理制度，能够为项目规范实施提供制度保障。我厅和项目实施单位的专项资金管理及项目实施保障机制比较健全，人员分工和管理责任落实到位。二是计划安排合理性。省财政厅下达专项资金的同时下达了项目的绩效目标，我厅业务处室按职责分工，对省直和项目实施单位提出工作要求。省直和项目实施单位按照项目建设内容和目标任务，认真抓好落实，合理安排项目实施计划，使项目得以顺利实施。</w:t>
      </w:r>
    </w:p>
    <w:p>
      <w:pPr>
        <w:adjustRightInd w:val="0"/>
        <w:snapToGrid w:val="0"/>
        <w:spacing w:beforeLines="0" w:afterLines="0" w:line="590" w:lineRule="exact"/>
        <w:ind w:firstLine="643" w:firstLineChars="200"/>
        <w:rPr>
          <w:rFonts w:hint="eastAsia" w:ascii="仿宋_GB2312" w:hAnsi="仿宋_GB2312" w:cs="仿宋_GB2312"/>
          <w:b/>
          <w:bCs/>
          <w:color w:val="auto"/>
          <w:sz w:val="32"/>
          <w:szCs w:val="32"/>
        </w:rPr>
      </w:pPr>
      <w:r>
        <w:rPr>
          <w:rFonts w:hint="eastAsia" w:ascii="仿宋_GB2312" w:hAnsi="仿宋_GB2312" w:cs="仿宋_GB2312"/>
          <w:b/>
          <w:bCs/>
          <w:color w:val="auto"/>
          <w:sz w:val="32"/>
          <w:szCs w:val="32"/>
        </w:rPr>
        <w:t>2.资金落实情况。</w:t>
      </w:r>
    </w:p>
    <w:p>
      <w:pPr>
        <w:pStyle w:val="11"/>
        <w:adjustRightInd w:val="0"/>
        <w:snapToGrid w:val="0"/>
        <w:spacing w:before="0" w:beforeLines="0" w:after="0" w:afterLines="0" w:line="590" w:lineRule="exact"/>
        <w:ind w:firstLine="640"/>
        <w:rPr>
          <w:rFonts w:hint="eastAsia" w:ascii="仿宋_GB2312" w:hAnsi="仿宋_GB2312" w:cs="仿宋_GB2312"/>
          <w:color w:val="auto"/>
          <w:kern w:val="2"/>
          <w:sz w:val="32"/>
          <w:szCs w:val="32"/>
          <w:lang w:bidi="ar"/>
        </w:rPr>
      </w:pPr>
      <w:r>
        <w:rPr>
          <w:rFonts w:hint="eastAsia" w:ascii="仿宋_GB2312" w:hAnsi="仿宋_GB2312" w:cs="仿宋_GB2312"/>
          <w:color w:val="auto"/>
          <w:kern w:val="2"/>
          <w:sz w:val="32"/>
          <w:szCs w:val="32"/>
          <w:lang w:bidi="ar"/>
        </w:rPr>
        <w:t>（1）</w:t>
      </w:r>
      <w:r>
        <w:rPr>
          <w:rFonts w:hint="eastAsia" w:ascii="仿宋_GB2312" w:hAnsi="仿宋_GB2312" w:cs="仿宋_GB2312"/>
          <w:color w:val="auto"/>
          <w:sz w:val="32"/>
          <w:szCs w:val="32"/>
        </w:rPr>
        <w:t>资金到位。</w:t>
      </w:r>
      <w:r>
        <w:rPr>
          <w:rFonts w:hint="eastAsia" w:ascii="仿宋_GB2312" w:hAnsi="仿宋_GB2312" w:cs="仿宋_GB2312"/>
          <w:color w:val="auto"/>
          <w:kern w:val="2"/>
          <w:sz w:val="32"/>
          <w:szCs w:val="32"/>
          <w:lang w:bidi="ar"/>
        </w:rPr>
        <w:t>指标权重5分，自评得分5分，得分率100%。专项资金预算金额111721万元，实际下达金额111721万元。我厅按程序向省财政厅报送专项资金安排方案，经审核通过后，省财政厅按规定程序和时限要求将专项资金预算指标下达省直和地市有关项目实施单位，有关地市也按要求将专项资金预算指标分配下达县级有关项目实施单位，专项资金已足额及时到位，专项资金下达情况见表4-2。</w:t>
      </w:r>
    </w:p>
    <w:p>
      <w:pPr>
        <w:pStyle w:val="11"/>
        <w:adjustRightInd w:val="0"/>
        <w:snapToGrid w:val="0"/>
        <w:spacing w:before="0" w:beforeLines="0" w:after="0" w:afterLines="0" w:line="590" w:lineRule="exact"/>
        <w:ind w:firstLine="640"/>
        <w:rPr>
          <w:rFonts w:hint="eastAsia" w:ascii="仿宋_GB2312" w:hAnsi="仿宋_GB2312" w:cs="仿宋_GB2312"/>
          <w:color w:val="auto"/>
          <w:kern w:val="2"/>
          <w:sz w:val="32"/>
          <w:szCs w:val="32"/>
          <w:lang w:bidi="ar"/>
        </w:rPr>
      </w:pPr>
      <w:r>
        <w:rPr>
          <w:rFonts w:hint="eastAsia" w:ascii="仿宋_GB2312" w:hAnsi="仿宋_GB2312" w:cs="仿宋_GB2312"/>
          <w:color w:val="auto"/>
          <w:kern w:val="2"/>
          <w:sz w:val="32"/>
          <w:szCs w:val="32"/>
          <w:lang w:bidi="ar"/>
        </w:rPr>
        <w:t>（</w:t>
      </w:r>
      <w:r>
        <w:rPr>
          <w:rFonts w:hint="eastAsia" w:ascii="仿宋_GB2312" w:hAnsi="仿宋_GB2312" w:cs="仿宋_GB2312"/>
          <w:color w:val="auto"/>
          <w:kern w:val="2"/>
          <w:sz w:val="32"/>
          <w:szCs w:val="32"/>
        </w:rPr>
        <w:t>2）</w:t>
      </w:r>
      <w:r>
        <w:rPr>
          <w:rFonts w:hint="eastAsia" w:ascii="仿宋_GB2312" w:hAnsi="仿宋_GB2312" w:cs="仿宋_GB2312"/>
          <w:color w:val="auto"/>
          <w:sz w:val="32"/>
          <w:szCs w:val="32"/>
        </w:rPr>
        <w:t>资金分配。</w:t>
      </w:r>
      <w:r>
        <w:rPr>
          <w:rFonts w:hint="eastAsia" w:ascii="仿宋_GB2312" w:hAnsi="仿宋_GB2312" w:cs="仿宋_GB2312"/>
          <w:color w:val="auto"/>
          <w:kern w:val="2"/>
          <w:sz w:val="32"/>
          <w:szCs w:val="32"/>
        </w:rPr>
        <w:t>指标权重3分，自评得分3分，得分率100%。根据</w:t>
      </w:r>
      <w:r>
        <w:rPr>
          <w:rFonts w:hint="eastAsia" w:ascii="仿宋_GB2312" w:hAnsi="仿宋_GB2312" w:cs="仿宋_GB2312"/>
          <w:color w:val="auto"/>
          <w:kern w:val="2"/>
          <w:sz w:val="32"/>
          <w:szCs w:val="32"/>
          <w:lang w:bidi="ar"/>
        </w:rPr>
        <w:t>《中共中央 国务院关于全面推进乡村振兴加快农业农村现代化的意见》《中共广东省委 广东省人民政府关于全面推进乡村振兴加快农业农村现代化的实施意见》《广东省人民政府关于印发广东省推进农业农村现代化“十四五”规划的通知》（粤府〔2021〕56号）、《关于印发新修订的&lt;广东省农业农村厅财务管理规定（2021年修订稿）&gt;等8项制度》等文件，我厅采用公开申报和集体研究的项目制及因素法等分配方式，提出专项资金分配方案，经省财政厅审核并按省级财政资金预算管理程序分配下达到省直和地市项目实施单位。资金分配明确、合理，扶持类型、扶持对象和主要用途符合相关政策规定，较好地支持了促进乡村振兴战略各项工作的开展和年度绩效目标的实现</w:t>
      </w:r>
    </w:p>
    <w:p>
      <w:pPr>
        <w:adjustRightInd w:val="0"/>
        <w:snapToGrid w:val="0"/>
        <w:spacing w:beforeLines="0" w:afterLines="0" w:line="590" w:lineRule="exact"/>
        <w:ind w:firstLine="640" w:firstLineChars="200"/>
        <w:outlineLvl w:val="1"/>
        <w:rPr>
          <w:rFonts w:hint="eastAsia" w:ascii="楷体_GB2312" w:hAnsi="楷体_GB2312" w:eastAsia="楷体_GB2312" w:cs="楷体_GB2312"/>
          <w:b w:val="0"/>
          <w:bCs w:val="0"/>
          <w:color w:val="auto"/>
          <w:kern w:val="0"/>
          <w:sz w:val="32"/>
          <w:szCs w:val="32"/>
        </w:rPr>
      </w:pPr>
      <w:bookmarkStart w:id="56" w:name="_Toc7393"/>
      <w:bookmarkStart w:id="57" w:name="_Toc24031"/>
      <w:bookmarkStart w:id="58" w:name="_Toc104847459"/>
      <w:bookmarkStart w:id="59" w:name="_Toc9192"/>
      <w:bookmarkStart w:id="60" w:name="_Toc18617_WPSOffice_Level3"/>
      <w:bookmarkStart w:id="61" w:name="_Toc30614"/>
      <w:bookmarkStart w:id="62" w:name="_Toc13192"/>
      <w:r>
        <w:rPr>
          <w:rFonts w:hint="eastAsia" w:ascii="楷体_GB2312" w:hAnsi="楷体_GB2312" w:eastAsia="楷体_GB2312" w:cs="楷体_GB2312"/>
          <w:b w:val="0"/>
          <w:bCs w:val="0"/>
          <w:color w:val="auto"/>
          <w:kern w:val="0"/>
          <w:sz w:val="32"/>
          <w:szCs w:val="32"/>
        </w:rPr>
        <w:t>（二）管理分析</w:t>
      </w:r>
      <w:bookmarkEnd w:id="56"/>
      <w:bookmarkEnd w:id="57"/>
      <w:bookmarkEnd w:id="58"/>
      <w:bookmarkEnd w:id="59"/>
      <w:bookmarkEnd w:id="60"/>
      <w:bookmarkEnd w:id="61"/>
      <w:bookmarkEnd w:id="62"/>
    </w:p>
    <w:p>
      <w:pPr>
        <w:pStyle w:val="12"/>
        <w:numPr>
          <w:ilvl w:val="2"/>
          <w:numId w:val="0"/>
        </w:numPr>
        <w:adjustRightInd w:val="0"/>
        <w:snapToGrid w:val="0"/>
        <w:spacing w:beforeLines="0" w:afterLines="0" w:line="590" w:lineRule="exact"/>
        <w:ind w:firstLine="640" w:firstLineChars="200"/>
        <w:rPr>
          <w:rFonts w:hint="eastAsia" w:ascii="仿宋_GB2312" w:hAnsi="仿宋_GB2312" w:eastAsia="仿宋_GB2312" w:cs="仿宋_GB2312"/>
          <w:b w:val="0"/>
          <w:color w:val="auto"/>
          <w:kern w:val="2"/>
          <w:sz w:val="32"/>
          <w:szCs w:val="32"/>
          <w:lang w:bidi="ar"/>
        </w:rPr>
      </w:pPr>
      <w:r>
        <w:rPr>
          <w:rFonts w:hint="eastAsia" w:ascii="仿宋_GB2312" w:hAnsi="仿宋_GB2312" w:eastAsia="仿宋_GB2312" w:cs="仿宋_GB2312"/>
          <w:b w:val="0"/>
          <w:color w:val="auto"/>
          <w:kern w:val="2"/>
          <w:sz w:val="32"/>
          <w:szCs w:val="32"/>
          <w:lang w:bidi="ar"/>
        </w:rPr>
        <w:t>该指标主要从资金管理和事项管理两个方面考察项目资金支付情况，资金支出的规范性，项目实施的规范性和监管的有效性。指标分值20分，评价得分19.48分，得分率为97.40%。</w:t>
      </w:r>
    </w:p>
    <w:p>
      <w:pPr>
        <w:adjustRightInd w:val="0"/>
        <w:snapToGrid w:val="0"/>
        <w:spacing w:beforeLines="0" w:afterLines="0" w:line="590" w:lineRule="exact"/>
        <w:ind w:firstLine="643" w:firstLineChars="200"/>
        <w:rPr>
          <w:rFonts w:hint="eastAsia" w:ascii="仿宋_GB2312" w:hAnsi="仿宋_GB2312" w:cs="仿宋_GB2312"/>
          <w:b/>
          <w:bCs/>
          <w:color w:val="auto"/>
          <w:sz w:val="32"/>
          <w:szCs w:val="32"/>
        </w:rPr>
      </w:pPr>
      <w:r>
        <w:rPr>
          <w:rFonts w:hint="eastAsia" w:ascii="仿宋_GB2312" w:hAnsi="仿宋_GB2312" w:cs="仿宋_GB2312"/>
          <w:b/>
          <w:bCs/>
          <w:color w:val="auto"/>
          <w:sz w:val="32"/>
          <w:szCs w:val="32"/>
        </w:rPr>
        <w:t>1.资金管理。</w:t>
      </w:r>
    </w:p>
    <w:p>
      <w:pPr>
        <w:pStyle w:val="11"/>
        <w:adjustRightInd w:val="0"/>
        <w:snapToGrid w:val="0"/>
        <w:spacing w:before="0" w:beforeLines="0" w:after="0" w:afterLines="0" w:line="590" w:lineRule="exact"/>
        <w:ind w:firstLine="640"/>
        <w:rPr>
          <w:rFonts w:hint="eastAsia" w:ascii="仿宋_GB2312" w:hAnsi="仿宋_GB2312" w:cs="仿宋_GB2312"/>
          <w:color w:val="auto"/>
          <w:sz w:val="32"/>
          <w:szCs w:val="32"/>
        </w:rPr>
      </w:pPr>
      <w:r>
        <w:rPr>
          <w:rFonts w:hint="eastAsia" w:ascii="仿宋_GB2312" w:hAnsi="仿宋_GB2312" w:cs="仿宋_GB2312"/>
          <w:color w:val="auto"/>
          <w:kern w:val="2"/>
          <w:sz w:val="32"/>
          <w:szCs w:val="32"/>
          <w:lang w:bidi="ar"/>
        </w:rPr>
        <w:t>（1）</w:t>
      </w:r>
      <w:r>
        <w:rPr>
          <w:rFonts w:hint="eastAsia" w:ascii="仿宋_GB2312" w:hAnsi="仿宋_GB2312" w:cs="仿宋_GB2312"/>
          <w:color w:val="auto"/>
          <w:spacing w:val="-6"/>
          <w:sz w:val="32"/>
          <w:szCs w:val="32"/>
        </w:rPr>
        <w:t>资金支付。</w:t>
      </w:r>
      <w:r>
        <w:rPr>
          <w:rFonts w:hint="eastAsia" w:ascii="仿宋_GB2312" w:hAnsi="仿宋_GB2312" w:cs="仿宋_GB2312"/>
          <w:color w:val="auto"/>
          <w:kern w:val="2"/>
          <w:sz w:val="32"/>
          <w:szCs w:val="32"/>
          <w:lang w:bidi="ar"/>
        </w:rPr>
        <w:t>指标权重6分，自评得分5.48分，得分率91.33%。根据项目实施单位自评材料和基础信息表，截至评价基准日，专项资金5项政策任务所安排资金总体上能够按项目计划进度支付资金。实际下达资金111721万元，实际支出93864.27万元，整体支出率84.02%。其中科技兴农、农业农村重点试点示范及基地建设、农业农村监测检测、农业农村宣传推广和综合管理及能力建设支出率较低，分别为65.46%、68.75%、76.67%和76.90%。主要原因是影响因素多为不可控因素，如疫情影响、资金拨付时间较晚、审批程序繁琐等。其中部分项目客观上实施周期需要跨年度，项目按计划开展，2021年实际实施时间不足1年，资金支付未完成。如广东省农业科学院蚕业与农产品加工研究所承担的“以农产品为单元的广东省现代农业产业技术体系创新团队建设项目（优稀水果）”实施周期为2021年7月1日至2022年6月30日，预算金额为110万元，实际支付63.67万元，项目进度与资金支付符合计划要求。</w:t>
      </w:r>
    </w:p>
    <w:p>
      <w:pPr>
        <w:pStyle w:val="11"/>
        <w:spacing w:before="0" w:beforeLines="0" w:after="0" w:afterLines="0"/>
        <w:ind w:firstLine="0" w:firstLineChars="0"/>
        <w:jc w:val="center"/>
        <w:rPr>
          <w:rFonts w:ascii="黑体" w:hAnsi="黑体" w:eastAsia="黑体" w:cs="黑体"/>
          <w:color w:val="auto"/>
          <w:sz w:val="28"/>
          <w:szCs w:val="28"/>
        </w:rPr>
      </w:pPr>
      <w:r>
        <w:rPr>
          <w:rFonts w:hint="eastAsia" w:ascii="黑体" w:hAnsi="黑体" w:eastAsia="黑体" w:cs="黑体"/>
          <w:color w:val="auto"/>
          <w:sz w:val="28"/>
          <w:szCs w:val="28"/>
        </w:rPr>
        <w:t>表4-2 专项资金实际支出情况表</w:t>
      </w:r>
    </w:p>
    <w:p>
      <w:pPr>
        <w:widowControl/>
        <w:jc w:val="right"/>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单位：万元</w:t>
      </w:r>
    </w:p>
    <w:tbl>
      <w:tblPr>
        <w:tblStyle w:val="8"/>
        <w:tblW w:w="9499" w:type="dxa"/>
        <w:tblInd w:w="-318" w:type="dxa"/>
        <w:tblLayout w:type="fixed"/>
        <w:tblCellMar>
          <w:top w:w="0" w:type="dxa"/>
          <w:left w:w="108" w:type="dxa"/>
          <w:bottom w:w="0" w:type="dxa"/>
          <w:right w:w="108" w:type="dxa"/>
        </w:tblCellMar>
      </w:tblPr>
      <w:tblGrid>
        <w:gridCol w:w="4604"/>
        <w:gridCol w:w="1734"/>
        <w:gridCol w:w="1687"/>
        <w:gridCol w:w="1474"/>
      </w:tblGrid>
      <w:tr>
        <w:tblPrEx>
          <w:tblLayout w:type="fixed"/>
          <w:tblCellMar>
            <w:top w:w="0" w:type="dxa"/>
            <w:left w:w="108" w:type="dxa"/>
            <w:bottom w:w="0" w:type="dxa"/>
            <w:right w:w="108" w:type="dxa"/>
          </w:tblCellMar>
        </w:tblPrEx>
        <w:trPr>
          <w:trHeight w:val="312" w:hRule="atLeast"/>
        </w:trPr>
        <w:tc>
          <w:tcPr>
            <w:tcW w:w="46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政策任务</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下达资金金额</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实际支出金额</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hint="eastAsia" w:ascii="黑体" w:hAnsi="黑体" w:eastAsia="黑体" w:cs="黑体"/>
                <w:color w:val="auto"/>
                <w:kern w:val="0"/>
                <w:sz w:val="24"/>
                <w:lang w:bidi="ar"/>
              </w:rPr>
            </w:pPr>
            <w:r>
              <w:rPr>
                <w:rFonts w:hint="eastAsia" w:ascii="黑体" w:hAnsi="黑体" w:eastAsia="黑体" w:cs="黑体"/>
                <w:color w:val="auto"/>
                <w:kern w:val="0"/>
                <w:sz w:val="24"/>
                <w:lang w:bidi="ar"/>
              </w:rPr>
              <w:t>支出率</w:t>
            </w:r>
          </w:p>
        </w:tc>
      </w:tr>
      <w:tr>
        <w:tblPrEx>
          <w:tblLayout w:type="fixed"/>
          <w:tblCellMar>
            <w:top w:w="0" w:type="dxa"/>
            <w:left w:w="108" w:type="dxa"/>
            <w:bottom w:w="0" w:type="dxa"/>
            <w:right w:w="108" w:type="dxa"/>
          </w:tblCellMar>
        </w:tblPrEx>
        <w:trPr>
          <w:trHeight w:val="510" w:hRule="atLeast"/>
        </w:trPr>
        <w:tc>
          <w:tcPr>
            <w:tcW w:w="46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p>
        </w:tc>
      </w:tr>
      <w:tr>
        <w:tblPrEx>
          <w:tblLayout w:type="fixed"/>
          <w:tblCellMar>
            <w:top w:w="0" w:type="dxa"/>
            <w:left w:w="108" w:type="dxa"/>
            <w:bottom w:w="0" w:type="dxa"/>
            <w:right w:w="108" w:type="dxa"/>
          </w:tblCellMar>
        </w:tblPrEx>
        <w:trPr>
          <w:trHeight w:val="51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合计</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111721</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93864.27</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84.02%</w:t>
            </w:r>
          </w:p>
        </w:tc>
      </w:tr>
      <w:tr>
        <w:tblPrEx>
          <w:tblLayout w:type="fixed"/>
          <w:tblCellMar>
            <w:top w:w="0" w:type="dxa"/>
            <w:left w:w="108" w:type="dxa"/>
            <w:bottom w:w="0" w:type="dxa"/>
            <w:right w:w="108" w:type="dxa"/>
          </w:tblCellMar>
        </w:tblPrEx>
        <w:trPr>
          <w:trHeight w:val="51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科技兴农</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22682</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14847.22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65.46%</w:t>
            </w:r>
          </w:p>
        </w:tc>
      </w:tr>
      <w:tr>
        <w:tblPrEx>
          <w:tblLayout w:type="fixed"/>
          <w:tblCellMar>
            <w:top w:w="0" w:type="dxa"/>
            <w:left w:w="108" w:type="dxa"/>
            <w:bottom w:w="0" w:type="dxa"/>
            <w:right w:w="108" w:type="dxa"/>
          </w:tblCellMar>
        </w:tblPrEx>
        <w:trPr>
          <w:trHeight w:val="51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农业农村监测检测</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12985</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9955.55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76.67%</w:t>
            </w:r>
          </w:p>
        </w:tc>
      </w:tr>
      <w:tr>
        <w:tblPrEx>
          <w:tblLayout w:type="fixed"/>
          <w:tblCellMar>
            <w:top w:w="0" w:type="dxa"/>
            <w:left w:w="108" w:type="dxa"/>
            <w:bottom w:w="0" w:type="dxa"/>
            <w:right w:w="108" w:type="dxa"/>
          </w:tblCellMar>
        </w:tblPrEx>
        <w:trPr>
          <w:trHeight w:val="51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农业农村宣传推广和综合管理及能力建设</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14097</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10840.86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76.90%</w:t>
            </w:r>
          </w:p>
        </w:tc>
      </w:tr>
      <w:tr>
        <w:tblPrEx>
          <w:tblLayout w:type="fixed"/>
          <w:tblCellMar>
            <w:top w:w="0" w:type="dxa"/>
            <w:left w:w="108" w:type="dxa"/>
            <w:bottom w:w="0" w:type="dxa"/>
            <w:right w:w="108" w:type="dxa"/>
          </w:tblCellMar>
        </w:tblPrEx>
        <w:trPr>
          <w:trHeight w:val="51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农业农村重点试点示范及基地建设</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11957</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8220.64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68.75%</w:t>
            </w:r>
          </w:p>
        </w:tc>
      </w:tr>
      <w:tr>
        <w:tblPrEx>
          <w:tblLayout w:type="fixed"/>
          <w:tblCellMar>
            <w:top w:w="0" w:type="dxa"/>
            <w:left w:w="108" w:type="dxa"/>
            <w:bottom w:w="0" w:type="dxa"/>
            <w:right w:w="108" w:type="dxa"/>
          </w:tblCellMar>
        </w:tblPrEx>
        <w:trPr>
          <w:trHeight w:val="51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现代农业产业园建设</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50000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50000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100%</w:t>
            </w:r>
          </w:p>
        </w:tc>
      </w:tr>
    </w:tbl>
    <w:p>
      <w:pPr>
        <w:pStyle w:val="11"/>
        <w:numPr>
          <w:ilvl w:val="255"/>
          <w:numId w:val="0"/>
        </w:numPr>
        <w:adjustRightInd w:val="0"/>
        <w:snapToGrid w:val="0"/>
        <w:spacing w:before="0" w:beforeLines="0" w:after="0" w:afterLines="0" w:line="590" w:lineRule="exact"/>
        <w:ind w:firstLine="640" w:firstLineChars="200"/>
        <w:rPr>
          <w:rFonts w:hint="eastAsia" w:ascii="仿宋_GB2312" w:hAnsi="仿宋_GB2312" w:cs="仿宋_GB2312"/>
          <w:color w:val="auto"/>
          <w:spacing w:val="-6"/>
          <w:sz w:val="32"/>
          <w:szCs w:val="32"/>
        </w:rPr>
      </w:pPr>
      <w:r>
        <w:rPr>
          <w:rFonts w:hint="eastAsia" w:ascii="仿宋_GB2312" w:hAnsi="仿宋_GB2312" w:cs="仿宋_GB2312"/>
          <w:color w:val="auto"/>
          <w:sz w:val="32"/>
          <w:szCs w:val="32"/>
        </w:rPr>
        <w:t>（2）</w:t>
      </w:r>
      <w:r>
        <w:rPr>
          <w:rFonts w:hint="eastAsia" w:ascii="仿宋_GB2312" w:hAnsi="仿宋_GB2312" w:cs="仿宋_GB2312"/>
          <w:color w:val="auto"/>
          <w:spacing w:val="-6"/>
          <w:sz w:val="32"/>
          <w:szCs w:val="32"/>
        </w:rPr>
        <w:t>支出规范性。</w:t>
      </w:r>
      <w:r>
        <w:rPr>
          <w:rFonts w:hint="eastAsia" w:ascii="仿宋_GB2312" w:hAnsi="仿宋_GB2312" w:cs="仿宋_GB2312"/>
          <w:color w:val="auto"/>
          <w:sz w:val="32"/>
          <w:szCs w:val="32"/>
        </w:rPr>
        <w:t>指标分值6分，评价得分6分，得分率为100%。有关单位和地市按照省级财政专项资金管理办法和财务制度规定，做好资金申报审核审批、资金支付，按照批准的采购方式和结算方式列支，未发现虚列支出、截留、挤占、挪用资金的情况。</w:t>
      </w:r>
    </w:p>
    <w:p>
      <w:pPr>
        <w:adjustRightInd w:val="0"/>
        <w:snapToGrid w:val="0"/>
        <w:spacing w:beforeLines="0" w:afterLines="0" w:line="590" w:lineRule="exact"/>
        <w:ind w:firstLine="643" w:firstLineChars="200"/>
        <w:rPr>
          <w:rFonts w:hint="eastAsia" w:ascii="仿宋_GB2312" w:hAnsi="仿宋_GB2312" w:cs="仿宋_GB2312"/>
          <w:b/>
          <w:bCs/>
          <w:color w:val="auto"/>
          <w:sz w:val="32"/>
          <w:szCs w:val="32"/>
        </w:rPr>
      </w:pPr>
      <w:r>
        <w:rPr>
          <w:rFonts w:hint="eastAsia" w:ascii="仿宋_GB2312" w:hAnsi="仿宋_GB2312" w:cs="仿宋_GB2312"/>
          <w:b/>
          <w:bCs/>
          <w:color w:val="auto"/>
          <w:sz w:val="32"/>
          <w:szCs w:val="32"/>
        </w:rPr>
        <w:t>2.事项管理。</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该指标主要从资金管理和事项管理两个方面考察项目资金支付情况，资金支出的规范性，项目实施的规范性和监管的有效性。</w:t>
      </w:r>
    </w:p>
    <w:p>
      <w:pPr>
        <w:numPr>
          <w:ilvl w:val="0"/>
          <w:numId w:val="5"/>
        </w:num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实施程序。</w:t>
      </w:r>
      <w:r>
        <w:rPr>
          <w:rFonts w:hint="eastAsia" w:ascii="仿宋_GB2312" w:hAnsi="仿宋_GB2312" w:cs="仿宋_GB2312"/>
          <w:color w:val="auto"/>
          <w:sz w:val="32"/>
          <w:szCs w:val="32"/>
          <w:lang w:bidi="ar"/>
        </w:rPr>
        <w:t>指标权重4分，自评得分4分，得分率100%。以《关于印发新修订的&lt;广东省农业农村厅财务管理规定（2021年修订稿）&gt;等8项制度》作为依据，我厅制定了比较明确的专项资金项目实施程序，明晰了省级主管部门、省直单位和市县人民政府及业务主管部门的责任，并且按程序推进项目实施。有关项目实施单位能够按照要求开展科技兴农等各项政策任务的实施，项目完成后按规定组织开展验收工作。</w:t>
      </w:r>
    </w:p>
    <w:p>
      <w:pPr>
        <w:pStyle w:val="7"/>
        <w:adjustRightInd w:val="0"/>
        <w:snapToGrid w:val="0"/>
        <w:spacing w:beforeLines="0" w:afterLines="0" w:line="590" w:lineRule="exact"/>
        <w:ind w:firstLine="640" w:firstLineChars="200"/>
        <w:rPr>
          <w:rFonts w:hint="eastAsia" w:ascii="仿宋_GB2312" w:hAnsi="仿宋_GB2312" w:cs="仿宋_GB2312"/>
          <w:color w:val="auto"/>
          <w:sz w:val="32"/>
          <w:szCs w:val="32"/>
          <w:lang w:bidi="ar"/>
        </w:rPr>
      </w:pPr>
      <w:r>
        <w:rPr>
          <w:rFonts w:hint="eastAsia" w:ascii="仿宋_GB2312" w:hAnsi="仿宋_GB2312" w:cs="仿宋_GB2312"/>
          <w:color w:val="auto"/>
          <w:sz w:val="32"/>
          <w:szCs w:val="32"/>
          <w:lang w:bidi="ar"/>
        </w:rPr>
        <w:t>（2）</w:t>
      </w:r>
      <w:r>
        <w:rPr>
          <w:rFonts w:hint="eastAsia" w:ascii="仿宋_GB2312" w:hAnsi="仿宋_GB2312" w:cs="仿宋_GB2312"/>
          <w:color w:val="auto"/>
          <w:sz w:val="32"/>
          <w:szCs w:val="32"/>
        </w:rPr>
        <w:t>管理情况。</w:t>
      </w:r>
      <w:r>
        <w:rPr>
          <w:rFonts w:hint="eastAsia" w:ascii="仿宋_GB2312" w:hAnsi="仿宋_GB2312" w:cs="仿宋_GB2312"/>
          <w:color w:val="auto"/>
          <w:sz w:val="32"/>
          <w:szCs w:val="32"/>
          <w:lang w:bidi="ar"/>
        </w:rPr>
        <w:t>指标权重4分，自评得分4分，得分率100%。我厅认真落实监管责任，有关业务处室按职责分工，对科技兴农等各项政策任务和具体项目实施过程积极开展检查、监控，发现问题及时督促整改。项目实施单位严格按照管理制度要求，做好项目管理，保证专款专用，完成项目目标任务。</w:t>
      </w:r>
    </w:p>
    <w:p>
      <w:pPr>
        <w:keepNext w:val="0"/>
        <w:keepLines w:val="0"/>
        <w:adjustRightInd w:val="0"/>
        <w:snapToGrid w:val="0"/>
        <w:spacing w:beforeLines="0" w:afterLines="0" w:line="590" w:lineRule="exact"/>
        <w:ind w:left="0" w:leftChars="0" w:firstLine="640" w:firstLineChars="200"/>
        <w:outlineLvl w:val="1"/>
        <w:rPr>
          <w:rFonts w:hint="eastAsia" w:ascii="楷体_GB2312" w:hAnsi="楷体_GB2312" w:eastAsia="楷体_GB2312" w:cs="楷体_GB2312"/>
          <w:b w:val="0"/>
          <w:bCs w:val="0"/>
          <w:color w:val="auto"/>
          <w:kern w:val="0"/>
          <w:sz w:val="32"/>
          <w:szCs w:val="32"/>
        </w:rPr>
      </w:pPr>
      <w:bookmarkStart w:id="63" w:name="_Toc19586"/>
      <w:bookmarkStart w:id="64" w:name="_Toc104847460"/>
      <w:bookmarkStart w:id="65" w:name="_Toc23978"/>
      <w:bookmarkStart w:id="66" w:name="_Toc16716_WPSOffice_Level2"/>
      <w:bookmarkStart w:id="67" w:name="_Toc18384"/>
      <w:bookmarkStart w:id="68" w:name="_Toc11833"/>
      <w:bookmarkStart w:id="69" w:name="_Toc2846"/>
      <w:bookmarkStart w:id="70" w:name="_Toc29977_WPSOffice_Level3"/>
      <w:r>
        <w:rPr>
          <w:rFonts w:hint="eastAsia" w:ascii="楷体_GB2312" w:hAnsi="楷体_GB2312" w:eastAsia="楷体_GB2312" w:cs="楷体_GB2312"/>
          <w:b w:val="0"/>
          <w:bCs w:val="0"/>
          <w:color w:val="auto"/>
          <w:kern w:val="0"/>
          <w:sz w:val="32"/>
          <w:szCs w:val="32"/>
        </w:rPr>
        <w:t>（三）产出分析</w:t>
      </w:r>
      <w:bookmarkEnd w:id="63"/>
      <w:bookmarkEnd w:id="64"/>
      <w:bookmarkEnd w:id="65"/>
      <w:bookmarkEnd w:id="66"/>
      <w:bookmarkEnd w:id="67"/>
      <w:bookmarkEnd w:id="68"/>
      <w:bookmarkEnd w:id="69"/>
      <w:bookmarkEnd w:id="70"/>
    </w:p>
    <w:p>
      <w:pPr>
        <w:adjustRightInd w:val="0"/>
        <w:snapToGrid w:val="0"/>
        <w:spacing w:beforeLines="0" w:afterLines="0" w:line="59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该指标主要从经济性和效率性两个方面考核预算执行结果是节约还是超支，项目完成的进度、质量和产出等情况。指标分值30分，评价得分29.64分，得分率为98.80%。</w:t>
      </w:r>
    </w:p>
    <w:p>
      <w:pPr>
        <w:adjustRightInd w:val="0"/>
        <w:snapToGrid w:val="0"/>
        <w:spacing w:beforeLines="0" w:afterLines="0" w:line="590" w:lineRule="exact"/>
        <w:ind w:firstLine="643" w:firstLineChars="200"/>
        <w:rPr>
          <w:rFonts w:hint="eastAsia" w:ascii="仿宋_GB2312" w:hAnsi="仿宋_GB2312" w:cs="仿宋_GB2312"/>
          <w:b/>
          <w:bCs/>
          <w:color w:val="auto"/>
          <w:sz w:val="32"/>
          <w:szCs w:val="32"/>
        </w:rPr>
      </w:pPr>
      <w:r>
        <w:rPr>
          <w:rFonts w:hint="eastAsia" w:ascii="仿宋_GB2312" w:hAnsi="仿宋_GB2312" w:cs="仿宋_GB2312"/>
          <w:b/>
          <w:bCs/>
          <w:color w:val="auto"/>
          <w:sz w:val="32"/>
          <w:szCs w:val="32"/>
        </w:rPr>
        <w:t>1.经济性。</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bookmarkStart w:id="71" w:name="_Toc29119"/>
      <w:bookmarkStart w:id="72" w:name="_Toc42021438"/>
      <w:bookmarkStart w:id="73" w:name="_Toc42020747"/>
      <w:bookmarkStart w:id="74" w:name="_Toc39324255"/>
      <w:bookmarkStart w:id="75" w:name="_Toc39921338"/>
      <w:bookmarkStart w:id="76" w:name="_Toc41334550"/>
      <w:bookmarkStart w:id="77" w:name="_Toc39323958"/>
      <w:r>
        <w:rPr>
          <w:rFonts w:hint="eastAsia" w:ascii="仿宋_GB2312" w:hAnsi="仿宋_GB2312" w:cs="仿宋_GB2312"/>
          <w:color w:val="auto"/>
          <w:sz w:val="32"/>
          <w:szCs w:val="32"/>
          <w:lang w:bidi="ar"/>
        </w:rPr>
        <w:t>（1）</w:t>
      </w:r>
      <w:r>
        <w:rPr>
          <w:rFonts w:hint="eastAsia" w:ascii="仿宋_GB2312" w:hAnsi="仿宋_GB2312" w:cs="仿宋_GB2312"/>
          <w:color w:val="auto"/>
          <w:sz w:val="32"/>
          <w:szCs w:val="32"/>
        </w:rPr>
        <w:t>预算控制。</w:t>
      </w:r>
      <w:bookmarkEnd w:id="71"/>
      <w:bookmarkEnd w:id="72"/>
      <w:bookmarkEnd w:id="73"/>
      <w:bookmarkEnd w:id="74"/>
      <w:bookmarkEnd w:id="75"/>
      <w:bookmarkEnd w:id="76"/>
      <w:bookmarkEnd w:id="77"/>
      <w:r>
        <w:rPr>
          <w:rFonts w:hint="eastAsia" w:ascii="仿宋_GB2312" w:hAnsi="仿宋_GB2312" w:cs="仿宋_GB2312"/>
          <w:color w:val="auto"/>
          <w:sz w:val="32"/>
          <w:szCs w:val="32"/>
        </w:rPr>
        <w:t>该指标分值3分，自评得分3分，得分率为100%。根据对项目实施单位的自评材料审核分析，未发现支出超预算指标情况。有关县（市、区）预算执行进度与事项完成进度基本匹配。</w:t>
      </w:r>
    </w:p>
    <w:p>
      <w:pPr>
        <w:adjustRightInd w:val="0"/>
        <w:snapToGrid w:val="0"/>
        <w:spacing w:beforeLines="0" w:afterLines="0" w:line="590" w:lineRule="exact"/>
        <w:ind w:firstLine="640" w:firstLineChars="200"/>
        <w:rPr>
          <w:rFonts w:ascii="仿宋_GB2312" w:hAnsi="仿宋_GB2312" w:cs="仿宋_GB2312"/>
          <w:color w:val="auto"/>
          <w:kern w:val="21"/>
          <w:sz w:val="32"/>
          <w:szCs w:val="32"/>
        </w:rPr>
      </w:pPr>
      <w:r>
        <w:rPr>
          <w:rFonts w:hint="eastAsia" w:ascii="仿宋_GB2312" w:hAnsi="仿宋_GB2312" w:cs="仿宋_GB2312"/>
          <w:color w:val="auto"/>
          <w:kern w:val="21"/>
          <w:sz w:val="32"/>
          <w:szCs w:val="32"/>
        </w:rPr>
        <w:t>（</w:t>
      </w:r>
      <w:r>
        <w:rPr>
          <w:rFonts w:hint="eastAsia" w:ascii="仿宋_GB2312" w:hAnsi="仿宋_GB2312" w:cs="仿宋_GB2312"/>
          <w:color w:val="auto"/>
          <w:sz w:val="32"/>
          <w:szCs w:val="32"/>
          <w:lang w:bidi="ar"/>
        </w:rPr>
        <w:t>2</w:t>
      </w:r>
      <w:r>
        <w:rPr>
          <w:rFonts w:hint="eastAsia" w:ascii="仿宋_GB2312" w:hAnsi="仿宋_GB2312" w:cs="仿宋_GB2312"/>
          <w:color w:val="auto"/>
          <w:kern w:val="21"/>
          <w:sz w:val="32"/>
          <w:szCs w:val="32"/>
        </w:rPr>
        <w:t>）成本控制。该指标分值2分，自评得分2分，得分率为100%。</w:t>
      </w:r>
      <w:r>
        <w:rPr>
          <w:rFonts w:hint="eastAsia" w:ascii="仿宋_GB2312" w:hAnsi="仿宋_GB2312" w:cs="仿宋_GB2312"/>
          <w:color w:val="auto"/>
          <w:sz w:val="32"/>
          <w:szCs w:val="32"/>
          <w:lang w:bidi="ar"/>
        </w:rPr>
        <w:t>5项</w:t>
      </w:r>
      <w:r>
        <w:rPr>
          <w:rFonts w:hint="eastAsia" w:ascii="仿宋_GB2312" w:hAnsi="仿宋_GB2312" w:cs="仿宋_GB2312"/>
          <w:color w:val="auto"/>
          <w:kern w:val="21"/>
          <w:sz w:val="32"/>
          <w:szCs w:val="32"/>
        </w:rPr>
        <w:t>政策任务所安排专项资金项目成本支出基本控制在合理范围，2021年省级乡村振兴战略专项省级组织实施项目资金经费均未超出同类项目价格或市场价格，项目成本属于合理范围。</w:t>
      </w:r>
    </w:p>
    <w:p>
      <w:pPr>
        <w:adjustRightInd w:val="0"/>
        <w:snapToGrid w:val="0"/>
        <w:spacing w:beforeLines="0" w:afterLines="0" w:line="590" w:lineRule="exact"/>
        <w:ind w:firstLine="643" w:firstLineChars="200"/>
        <w:rPr>
          <w:rFonts w:hint="eastAsia" w:ascii="仿宋_GB2312" w:hAnsi="仿宋_GB2312" w:cs="仿宋_GB2312"/>
          <w:b/>
          <w:bCs/>
          <w:color w:val="auto"/>
          <w:sz w:val="32"/>
          <w:szCs w:val="32"/>
        </w:rPr>
      </w:pPr>
      <w:r>
        <w:rPr>
          <w:rFonts w:hint="eastAsia" w:ascii="仿宋_GB2312" w:hAnsi="仿宋_GB2312" w:cs="仿宋_GB2312"/>
          <w:b/>
          <w:bCs/>
          <w:color w:val="auto"/>
          <w:sz w:val="32"/>
          <w:szCs w:val="32"/>
        </w:rPr>
        <w:t>2.效率性。</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lang w:bidi="ar"/>
        </w:rPr>
        <w:t>（1）</w:t>
      </w:r>
      <w:r>
        <w:rPr>
          <w:rFonts w:hint="eastAsia" w:ascii="仿宋_GB2312" w:hAnsi="仿宋_GB2312" w:cs="仿宋_GB2312"/>
          <w:color w:val="auto"/>
          <w:sz w:val="32"/>
          <w:szCs w:val="32"/>
        </w:rPr>
        <w:t>完成进度。</w:t>
      </w:r>
      <w:r>
        <w:rPr>
          <w:rFonts w:hint="eastAsia" w:ascii="仿宋_GB2312" w:hAnsi="仿宋_GB2312" w:cs="仿宋_GB2312"/>
          <w:color w:val="auto"/>
          <w:kern w:val="21"/>
          <w:sz w:val="32"/>
          <w:szCs w:val="32"/>
        </w:rPr>
        <w:t>指标分值17.11分，自评得分16.88分，得分率为98.65%。</w:t>
      </w:r>
      <w:r>
        <w:rPr>
          <w:rFonts w:hint="eastAsia" w:ascii="仿宋_GB2312" w:hAnsi="仿宋_GB2312" w:cs="仿宋_GB2312"/>
          <w:color w:val="auto"/>
          <w:sz w:val="32"/>
          <w:szCs w:val="32"/>
          <w:lang w:bidi="ar"/>
        </w:rPr>
        <w:t>专项资金总体进度完成率为98.65%。其中各政策任务进度完成率包括：一是科技兴农，进度完成率为97.06%。二是农业农村监测检测，进度完成率为100%。三是农业农村宣传推广和综合管理及能力建设，进度完成率为100%。四是农业农村重点试点示范及基地建设，进度完成率为100%。五是现代农业产业园建设，进度完成率为98.60%。由于疫情等不可预期的主客观复杂因素，个别项目进度相比预期存在滞后。具体数量指标完成情况详见各政策任务评分表。</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lang w:bidi="ar"/>
        </w:rPr>
      </w:pPr>
      <w:r>
        <w:rPr>
          <w:rFonts w:hint="eastAsia" w:ascii="仿宋_GB2312" w:hAnsi="仿宋_GB2312" w:cs="仿宋_GB2312"/>
          <w:color w:val="auto"/>
          <w:sz w:val="32"/>
          <w:szCs w:val="32"/>
          <w:lang w:bidi="ar"/>
        </w:rPr>
        <w:t>（2）</w:t>
      </w:r>
      <w:r>
        <w:rPr>
          <w:rFonts w:hint="eastAsia" w:ascii="仿宋_GB2312" w:hAnsi="仿宋_GB2312" w:cs="仿宋_GB2312"/>
          <w:color w:val="auto"/>
          <w:sz w:val="32"/>
          <w:szCs w:val="32"/>
        </w:rPr>
        <w:t>完成质量。</w:t>
      </w:r>
      <w:r>
        <w:rPr>
          <w:rFonts w:hint="eastAsia" w:ascii="仿宋_GB2312" w:hAnsi="仿宋_GB2312" w:cs="仿宋_GB2312"/>
          <w:color w:val="auto"/>
          <w:sz w:val="32"/>
          <w:szCs w:val="32"/>
          <w:lang w:bidi="ar"/>
        </w:rPr>
        <w:t>指标权重4.55分，自评得分4.55分，得分率100%。专项资金总体质量合格率为100%。科技兴农、农业农村监测检测、农业农村宣传推广和综合管理及能力建设、农业农村重点试点示范及基地建设、现代农业产业园建设等5项政策任务质量指标完成率均为100%（具体质量指标完成情况详见各政策任务评分表）。各资金使用主体在项目开展过程中高度重视项目质量，项目监理、验收等质量监督工作基本到位，已完工验收项目质量达到规定标准，对个别不规范的项目要求及时整改以达成预期质量目标。</w:t>
      </w:r>
    </w:p>
    <w:p>
      <w:pPr>
        <w:pStyle w:val="6"/>
        <w:adjustRightInd w:val="0"/>
        <w:snapToGrid w:val="0"/>
        <w:spacing w:beforeLines="0" w:afterLines="0" w:line="59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3）时效指标。指标权重3.34分，自评得分3.21分，得分率96.11%。专项资金总体完成及时率为96.11%。其中各政策任务完成及时率包括：一是科技兴农，完成及时率为93.75%。二是农业农村监测检测，完成及时率为100%。三是农业农村宣传推广和综合管理及能力建设，完成及时率为100%。四是农业农村重点试点示范及基地建设，完成及时率为100%。五是现代农业产业园建设，完成及时率为92%%。总体而言，大部分项目能够按照工作计划顺利开展，项目实施有条不紊，按质保量完成既定项目和政策任务目标。但是，专项资金共有5个政策任务，具体项目及资金使用单位数量较多，即使同类项目进度也并不能保证完全一致。另外，由于疫情、实施项目存在季节性等不可预期的主客观复杂因素，个别项目进度相比预期存在滞后情况。</w:t>
      </w:r>
    </w:p>
    <w:p>
      <w:pPr>
        <w:keepNext w:val="0"/>
        <w:keepLines w:val="0"/>
        <w:adjustRightInd w:val="0"/>
        <w:snapToGrid w:val="0"/>
        <w:spacing w:beforeLines="0" w:afterLines="0" w:line="590" w:lineRule="exact"/>
        <w:ind w:firstLine="640" w:firstLineChars="200"/>
        <w:outlineLvl w:val="1"/>
        <w:rPr>
          <w:rFonts w:hint="eastAsia" w:ascii="楷体_GB2312" w:hAnsi="楷体_GB2312" w:eastAsia="楷体_GB2312" w:cs="楷体_GB2312"/>
          <w:b w:val="0"/>
          <w:bCs w:val="0"/>
          <w:color w:val="auto"/>
          <w:kern w:val="0"/>
          <w:sz w:val="32"/>
          <w:szCs w:val="32"/>
        </w:rPr>
      </w:pPr>
      <w:bookmarkStart w:id="78" w:name="_Toc104847461"/>
      <w:bookmarkStart w:id="79" w:name="_Toc20216"/>
      <w:bookmarkStart w:id="80" w:name="_Toc8379"/>
      <w:bookmarkStart w:id="81" w:name="_Toc3425"/>
      <w:bookmarkStart w:id="82" w:name="_Toc3290"/>
      <w:bookmarkStart w:id="83" w:name="_Toc14856_WPSOffice_Level2"/>
      <w:bookmarkStart w:id="84" w:name="_Toc11574_WPSOffice_Level3"/>
      <w:bookmarkStart w:id="85" w:name="_Toc10293"/>
      <w:r>
        <w:rPr>
          <w:rFonts w:hint="eastAsia" w:ascii="楷体_GB2312" w:hAnsi="楷体_GB2312" w:eastAsia="楷体_GB2312" w:cs="楷体_GB2312"/>
          <w:b w:val="0"/>
          <w:bCs w:val="0"/>
          <w:color w:val="auto"/>
          <w:kern w:val="0"/>
          <w:sz w:val="32"/>
          <w:szCs w:val="32"/>
        </w:rPr>
        <w:t>（四）效益实现度分析</w:t>
      </w:r>
      <w:bookmarkEnd w:id="78"/>
      <w:bookmarkEnd w:id="79"/>
      <w:bookmarkEnd w:id="80"/>
      <w:bookmarkEnd w:id="81"/>
      <w:bookmarkEnd w:id="82"/>
      <w:bookmarkEnd w:id="83"/>
      <w:bookmarkEnd w:id="84"/>
      <w:bookmarkEnd w:id="85"/>
    </w:p>
    <w:p>
      <w:pPr>
        <w:adjustRightInd w:val="0"/>
        <w:snapToGrid w:val="0"/>
        <w:spacing w:beforeLines="0" w:afterLines="0" w:line="590" w:lineRule="exact"/>
        <w:ind w:firstLine="640" w:firstLineChars="200"/>
        <w:rPr>
          <w:rFonts w:hint="eastAsia" w:ascii="仿宋_GB2312" w:hAnsi="仿宋_GB2312" w:cs="仿宋_GB2312"/>
          <w:color w:val="auto"/>
          <w:sz w:val="32"/>
          <w:szCs w:val="32"/>
          <w:lang w:val="zh-TW"/>
        </w:rPr>
      </w:pPr>
      <w:r>
        <w:rPr>
          <w:rFonts w:hint="eastAsia" w:ascii="仿宋_GB2312" w:hAnsi="仿宋_GB2312" w:cs="仿宋_GB2312"/>
          <w:color w:val="auto"/>
          <w:sz w:val="32"/>
          <w:szCs w:val="32"/>
          <w:lang w:val="zh-TW"/>
        </w:rPr>
        <w:t>该指标主要从效果性和公平性两个方面考核项目产生的经济效益、社会效益、</w:t>
      </w:r>
      <w:r>
        <w:rPr>
          <w:rFonts w:hint="eastAsia" w:ascii="仿宋_GB2312" w:hAnsi="仿宋_GB2312" w:cs="仿宋_GB2312"/>
          <w:color w:val="auto"/>
          <w:sz w:val="32"/>
          <w:szCs w:val="32"/>
        </w:rPr>
        <w:t>环境</w:t>
      </w:r>
      <w:r>
        <w:rPr>
          <w:rFonts w:hint="eastAsia" w:ascii="仿宋_GB2312" w:hAnsi="仿宋_GB2312" w:cs="仿宋_GB2312"/>
          <w:color w:val="auto"/>
          <w:sz w:val="32"/>
          <w:szCs w:val="32"/>
          <w:lang w:val="zh-TW"/>
        </w:rPr>
        <w:t>效益、可持续发展和服务对象满意度。指标分值30分，评价得分</w:t>
      </w:r>
      <w:r>
        <w:rPr>
          <w:rFonts w:hint="eastAsia" w:ascii="仿宋_GB2312" w:hAnsi="仿宋_GB2312" w:cs="仿宋_GB2312"/>
          <w:color w:val="auto"/>
          <w:sz w:val="32"/>
          <w:szCs w:val="32"/>
        </w:rPr>
        <w:t>30</w:t>
      </w:r>
      <w:r>
        <w:rPr>
          <w:rFonts w:hint="eastAsia" w:ascii="仿宋_GB2312" w:hAnsi="仿宋_GB2312" w:cs="仿宋_GB2312"/>
          <w:color w:val="auto"/>
          <w:sz w:val="32"/>
          <w:szCs w:val="32"/>
          <w:lang w:val="zh-TW"/>
        </w:rPr>
        <w:t>分，得分率为</w:t>
      </w:r>
      <w:r>
        <w:rPr>
          <w:rFonts w:hint="eastAsia" w:ascii="仿宋_GB2312" w:hAnsi="仿宋_GB2312" w:cs="仿宋_GB2312"/>
          <w:color w:val="auto"/>
          <w:sz w:val="32"/>
          <w:szCs w:val="32"/>
        </w:rPr>
        <w:t>100</w:t>
      </w:r>
      <w:r>
        <w:rPr>
          <w:rFonts w:hint="eastAsia" w:ascii="仿宋_GB2312" w:hAnsi="仿宋_GB2312" w:cs="仿宋_GB2312"/>
          <w:color w:val="auto"/>
          <w:sz w:val="32"/>
          <w:szCs w:val="32"/>
          <w:lang w:val="zh-TW"/>
        </w:rPr>
        <w:t>%。</w:t>
      </w:r>
    </w:p>
    <w:p>
      <w:pPr>
        <w:adjustRightInd w:val="0"/>
        <w:snapToGrid w:val="0"/>
        <w:spacing w:beforeLines="0" w:afterLines="0" w:line="590" w:lineRule="exact"/>
        <w:ind w:firstLine="643" w:firstLineChars="200"/>
        <w:rPr>
          <w:rFonts w:hint="eastAsia" w:ascii="仿宋_GB2312" w:hAnsi="仿宋_GB2312" w:cs="仿宋_GB2312"/>
          <w:color w:val="auto"/>
          <w:sz w:val="32"/>
          <w:szCs w:val="32"/>
        </w:rPr>
      </w:pPr>
      <w:r>
        <w:rPr>
          <w:rFonts w:hint="eastAsia" w:ascii="仿宋_GB2312" w:hAnsi="仿宋_GB2312" w:cs="仿宋_GB2312"/>
          <w:b/>
          <w:bCs/>
          <w:color w:val="auto"/>
          <w:sz w:val="32"/>
          <w:szCs w:val="32"/>
        </w:rPr>
        <w:t>1.效果性。</w:t>
      </w:r>
    </w:p>
    <w:p>
      <w:pPr>
        <w:pStyle w:val="11"/>
        <w:adjustRightInd w:val="0"/>
        <w:snapToGrid w:val="0"/>
        <w:spacing w:before="0" w:beforeLines="0" w:after="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根据评价资金实际情况，阐述其带来的效益和可持续发展等情况。</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lang w:bidi="ar"/>
        </w:rPr>
        <w:t>（1）经济效益。指标权重2.18分，自评得分2.18分，得分率100%。各项政策任务的经济效益指标均达到预期目标。如现代农业产业园建设以及发展“一村一品、一镇一业”是我省推动乡村产业振兴的重大举措。以现代农业产业园建设为例，</w:t>
      </w:r>
      <w:r>
        <w:rPr>
          <w:rFonts w:hint="eastAsia" w:ascii="仿宋_GB2312" w:hAnsi="仿宋_GB2312" w:cs="仿宋_GB2312"/>
          <w:color w:val="auto"/>
          <w:sz w:val="32"/>
          <w:szCs w:val="32"/>
        </w:rPr>
        <w:t>2021年底，已创建的31个产业园，产业园创建第2年园区内产业产值有所提升，园区农业总产值达2687.22亿元，较创建前增长20.04%；主导产业产值1359.29亿元，占农业总产值51.34%，已完成产业园创建目标值；园区范围内农民人均可支配收入平均水平为22753.10元，高于园区当地平均水平（19012.23元）的19.68%，产业园平均联结带动农户7298户/园，已完成年初预算大于1000户的建设目标，促进当地经济的增长，联农带农渐具成效</w:t>
      </w:r>
      <w:r>
        <w:rPr>
          <w:rFonts w:hint="eastAsia" w:ascii="仿宋_GB2312" w:hAnsi="仿宋_GB2312" w:cs="仿宋_GB2312"/>
          <w:color w:val="auto"/>
          <w:sz w:val="32"/>
          <w:szCs w:val="32"/>
          <w:lang w:eastAsia="zh-CN"/>
        </w:rPr>
        <w:t>。</w:t>
      </w:r>
    </w:p>
    <w:p>
      <w:pPr>
        <w:pStyle w:val="11"/>
        <w:numPr>
          <w:ilvl w:val="255"/>
          <w:numId w:val="0"/>
        </w:numPr>
        <w:adjustRightInd w:val="0"/>
        <w:snapToGrid w:val="0"/>
        <w:spacing w:before="0" w:beforeLines="0" w:after="0" w:afterLines="0" w:line="590" w:lineRule="exact"/>
        <w:ind w:firstLine="640" w:firstLineChars="200"/>
        <w:rPr>
          <w:rFonts w:hint="eastAsia" w:ascii="仿宋_GB2312" w:hAnsi="仿宋_GB2312" w:cs="仿宋_GB2312"/>
          <w:color w:val="auto"/>
          <w:kern w:val="2"/>
          <w:sz w:val="32"/>
          <w:szCs w:val="32"/>
          <w:lang w:bidi="ar"/>
        </w:rPr>
      </w:pPr>
      <w:r>
        <w:rPr>
          <w:rFonts w:hint="eastAsia" w:ascii="仿宋_GB2312" w:hAnsi="仿宋_GB2312" w:cs="仿宋_GB2312"/>
          <w:color w:val="auto"/>
          <w:kern w:val="2"/>
          <w:sz w:val="32"/>
          <w:szCs w:val="32"/>
        </w:rPr>
        <w:t>（2）</w:t>
      </w:r>
      <w:r>
        <w:rPr>
          <w:rFonts w:hint="eastAsia" w:ascii="仿宋_GB2312" w:hAnsi="仿宋_GB2312" w:cs="仿宋_GB2312"/>
          <w:color w:val="auto"/>
          <w:sz w:val="32"/>
          <w:szCs w:val="32"/>
        </w:rPr>
        <w:t>社会效益。</w:t>
      </w:r>
      <w:r>
        <w:rPr>
          <w:rFonts w:hint="eastAsia" w:ascii="仿宋_GB2312" w:hAnsi="仿宋_GB2312" w:cs="仿宋_GB2312"/>
          <w:color w:val="auto"/>
          <w:kern w:val="2"/>
          <w:sz w:val="32"/>
          <w:szCs w:val="32"/>
        </w:rPr>
        <w:t>指标权重14.70分，自评得分14.70分，得分率100%。</w:t>
      </w:r>
      <w:r>
        <w:rPr>
          <w:rFonts w:hint="eastAsia" w:ascii="仿宋_GB2312" w:hAnsi="仿宋_GB2312" w:cs="仿宋_GB2312"/>
          <w:color w:val="auto"/>
          <w:kern w:val="2"/>
          <w:sz w:val="32"/>
          <w:szCs w:val="32"/>
          <w:lang w:bidi="ar"/>
        </w:rPr>
        <w:t>专项资金对解决“三农”问题，统筹发展和安全，助力乡村振兴有多方面的现实意义，有利于维护社会持久、和谐稳定和有序发展。</w:t>
      </w:r>
      <w:r>
        <w:rPr>
          <w:rFonts w:hint="eastAsia" w:ascii="仿宋_GB2312" w:hAnsi="仿宋_GB2312" w:cs="仿宋_GB2312"/>
          <w:color w:val="auto"/>
          <w:kern w:val="2"/>
          <w:sz w:val="32"/>
          <w:szCs w:val="32"/>
        </w:rPr>
        <w:t>以科技兴农为例，推进</w:t>
      </w:r>
      <w:r>
        <w:rPr>
          <w:rFonts w:ascii="仿宋_GB2312" w:hAnsi="仿宋_GB2312" w:cs="仿宋_GB2312"/>
          <w:color w:val="auto"/>
          <w:kern w:val="2"/>
          <w:sz w:val="32"/>
          <w:szCs w:val="32"/>
        </w:rPr>
        <w:t>“1+51+100+10000”农技推广服务新体系</w:t>
      </w:r>
      <w:r>
        <w:rPr>
          <w:rFonts w:hint="eastAsia" w:ascii="仿宋_GB2312" w:hAnsi="仿宋_GB2312" w:cs="仿宋_GB2312"/>
          <w:color w:val="auto"/>
          <w:kern w:val="2"/>
          <w:sz w:val="32"/>
          <w:szCs w:val="32"/>
        </w:rPr>
        <w:t>建设，</w:t>
      </w:r>
      <w:r>
        <w:rPr>
          <w:rFonts w:ascii="仿宋_GB2312" w:hAnsi="仿宋_GB2312" w:cs="仿宋_GB2312"/>
          <w:color w:val="auto"/>
          <w:kern w:val="2"/>
          <w:sz w:val="32"/>
          <w:szCs w:val="32"/>
        </w:rPr>
        <w:t>构建新型推广服务机制，全面开创农技推广服务新局面。“1”，即依托省农技推广中心创建1个省级驿站</w:t>
      </w:r>
      <w:r>
        <w:rPr>
          <w:rFonts w:hint="eastAsia" w:ascii="仿宋_GB2312" w:hAnsi="仿宋_GB2312" w:cs="仿宋_GB2312"/>
          <w:color w:val="auto"/>
          <w:kern w:val="2"/>
          <w:sz w:val="32"/>
          <w:szCs w:val="32"/>
        </w:rPr>
        <w:t>（中央资金）</w:t>
      </w:r>
      <w:r>
        <w:rPr>
          <w:rFonts w:ascii="仿宋_GB2312" w:hAnsi="仿宋_GB2312" w:cs="仿宋_GB2312"/>
          <w:color w:val="auto"/>
          <w:kern w:val="2"/>
          <w:sz w:val="32"/>
          <w:szCs w:val="32"/>
        </w:rPr>
        <w:t>，统筹指导全省县级驿站创建工作。“51”即51个省级现代农业产业技术体系创新团队</w:t>
      </w:r>
      <w:r>
        <w:rPr>
          <w:rFonts w:hint="eastAsia" w:ascii="仿宋_GB2312" w:hAnsi="仿宋_GB2312" w:cs="仿宋_GB2312"/>
          <w:color w:val="auto"/>
          <w:kern w:val="2"/>
          <w:sz w:val="32"/>
          <w:szCs w:val="32"/>
        </w:rPr>
        <w:t>（省级资金）</w:t>
      </w:r>
      <w:r>
        <w:rPr>
          <w:rFonts w:ascii="仿宋_GB2312" w:hAnsi="仿宋_GB2312" w:cs="仿宋_GB2312"/>
          <w:color w:val="auto"/>
          <w:kern w:val="2"/>
          <w:sz w:val="32"/>
          <w:szCs w:val="32"/>
        </w:rPr>
        <w:t>。“100”，创建100个县级驿站</w:t>
      </w:r>
      <w:r>
        <w:rPr>
          <w:rFonts w:hint="eastAsia" w:ascii="仿宋_GB2312" w:hAnsi="仿宋_GB2312" w:cs="仿宋_GB2312"/>
          <w:color w:val="auto"/>
          <w:kern w:val="2"/>
          <w:sz w:val="32"/>
          <w:szCs w:val="32"/>
        </w:rPr>
        <w:t>（中央资金）</w:t>
      </w:r>
      <w:r>
        <w:rPr>
          <w:rFonts w:ascii="仿宋_GB2312" w:hAnsi="仿宋_GB2312" w:cs="仿宋_GB2312"/>
          <w:color w:val="auto"/>
          <w:kern w:val="2"/>
          <w:sz w:val="32"/>
          <w:szCs w:val="32"/>
        </w:rPr>
        <w:t>，赋予其“科技创新、技术集成、生态环保、推广示范、培训孵化与指导服务”六大功能，明确其四个定位：产业发</w:t>
      </w:r>
      <w:r>
        <w:rPr>
          <w:rFonts w:hint="eastAsia" w:ascii="仿宋_GB2312" w:hAnsi="仿宋_GB2312" w:cs="仿宋_GB2312"/>
          <w:color w:val="auto"/>
          <w:kern w:val="2"/>
          <w:sz w:val="32"/>
          <w:szCs w:val="32"/>
          <w:lang w:bidi="ar"/>
        </w:rPr>
        <w:t>展的推进器、涉农院校和省级创新团队专家与农村科技特派员在基</w:t>
      </w:r>
      <w:r>
        <w:rPr>
          <w:rFonts w:hint="eastAsia" w:ascii="仿宋_GB2312" w:hAnsi="仿宋_GB2312" w:cs="仿宋_GB2312"/>
          <w:bCs/>
          <w:color w:val="auto"/>
          <w:kern w:val="2"/>
          <w:sz w:val="32"/>
          <w:szCs w:val="32"/>
        </w:rPr>
        <w:t>层的工作站、农村电商网红的孵化器、农民群众寻求技术帮助的咨询台。“10000”，在全省范围内遴选认定10000名农村乡土专家，给民间高手以认可和鼓励。</w:t>
      </w:r>
    </w:p>
    <w:p>
      <w:pPr>
        <w:pStyle w:val="11"/>
        <w:numPr>
          <w:ilvl w:val="255"/>
          <w:numId w:val="0"/>
        </w:numPr>
        <w:adjustRightInd w:val="0"/>
        <w:snapToGrid w:val="0"/>
        <w:spacing w:before="0" w:beforeLines="0" w:after="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bCs/>
          <w:color w:val="auto"/>
          <w:kern w:val="2"/>
          <w:sz w:val="32"/>
          <w:szCs w:val="32"/>
        </w:rPr>
        <w:t>（3）环</w:t>
      </w:r>
      <w:r>
        <w:rPr>
          <w:rFonts w:hint="eastAsia" w:ascii="仿宋_GB2312" w:hAnsi="仿宋_GB2312" w:cs="仿宋_GB2312"/>
          <w:color w:val="auto"/>
          <w:sz w:val="32"/>
          <w:szCs w:val="32"/>
        </w:rPr>
        <w:t>境效益。</w:t>
      </w:r>
      <w:r>
        <w:rPr>
          <w:rFonts w:hint="eastAsia" w:ascii="仿宋_GB2312" w:hAnsi="仿宋_GB2312" w:cs="仿宋_GB2312"/>
          <w:color w:val="auto"/>
          <w:sz w:val="32"/>
          <w:szCs w:val="32"/>
          <w:lang w:bidi="ar"/>
        </w:rPr>
        <w:t>指标权重2.15分，自评得分2.15分，得分率100%。各政策任务建设过程中高度重视生态环境保护，避免边治理、边污染。以农业农村监测检测为例。</w:t>
      </w:r>
      <w:r>
        <w:rPr>
          <w:rFonts w:hint="eastAsia" w:ascii="仿宋_GB2312" w:hAnsi="仿宋_GB2312" w:cs="仿宋_GB2312"/>
          <w:bCs/>
          <w:color w:val="auto"/>
          <w:sz w:val="32"/>
          <w:szCs w:val="32"/>
        </w:rPr>
        <w:t>2021年，组织召开两次无公害产品评审，共有223家申报单位324个产品获得无公害农产品证书；组织绿色食品首次认证141个，组织有机农产品认证90个，新增农产品地理标志产品8个。</w:t>
      </w:r>
      <w:r>
        <w:rPr>
          <w:rFonts w:hint="eastAsia" w:ascii="仿宋_GB2312" w:hAnsi="仿宋_GB2312" w:cs="仿宋_GB2312"/>
          <w:color w:val="auto"/>
          <w:sz w:val="32"/>
          <w:szCs w:val="32"/>
        </w:rPr>
        <w:t>至</w:t>
      </w:r>
      <w:r>
        <w:rPr>
          <w:rStyle w:val="13"/>
          <w:rFonts w:hint="eastAsia" w:hAnsi="仿宋_GB2312"/>
          <w:color w:val="auto"/>
          <w:sz w:val="32"/>
          <w:szCs w:val="32"/>
        </w:rPr>
        <w:t>2021年底，我省绿色食品、有机食品和地理标志产品获证数量为868个，较2020年增长14.8</w:t>
      </w:r>
      <w:r>
        <w:rPr>
          <w:rStyle w:val="13"/>
          <w:rFonts w:hAnsi="仿宋_GB2312"/>
          <w:color w:val="auto"/>
          <w:sz w:val="32"/>
          <w:szCs w:val="32"/>
        </w:rPr>
        <w:t>0</w:t>
      </w:r>
      <w:r>
        <w:rPr>
          <w:rStyle w:val="13"/>
          <w:rFonts w:hint="eastAsia" w:hAnsi="仿宋_GB2312"/>
          <w:color w:val="auto"/>
          <w:sz w:val="32"/>
          <w:szCs w:val="32"/>
        </w:rPr>
        <w:t>%</w:t>
      </w:r>
      <w:r>
        <w:rPr>
          <w:rStyle w:val="13"/>
          <w:rFonts w:hAnsi="仿宋_GB2312"/>
          <w:color w:val="auto"/>
          <w:sz w:val="32"/>
          <w:szCs w:val="32"/>
        </w:rPr>
        <w:t>，为生态文明建设、农业可持续发展加绿色优质有效供给提供了基础支撑</w:t>
      </w:r>
      <w:r>
        <w:rPr>
          <w:rFonts w:hint="eastAsia" w:ascii="仿宋_GB2312" w:hAnsi="仿宋_GB2312" w:cs="仿宋_GB2312"/>
          <w:bCs/>
          <w:color w:val="auto"/>
          <w:sz w:val="32"/>
          <w:szCs w:val="32"/>
        </w:rPr>
        <w:t>。</w:t>
      </w:r>
      <w:r>
        <w:rPr>
          <w:rFonts w:hint="eastAsia" w:ascii="仿宋_GB2312" w:hAnsi="仿宋_GB2312" w:cs="仿宋_GB2312"/>
          <w:color w:val="auto"/>
          <w:sz w:val="32"/>
          <w:szCs w:val="32"/>
        </w:rPr>
        <w:t>积极推进规模场强制免疫“先打后补”工作，进一步扩大强制免疫财政直补范围，珠三角7个地市的规模养殖场全部实行“先打后补”，非珠三角14个地市每个县选取20个规模养殖场进行试点。组织实施动物疫病监测与流行病学调查计划，全省共监测</w:t>
      </w:r>
      <w:r>
        <w:rPr>
          <w:rFonts w:hint="eastAsia" w:ascii="仿宋_GB2312" w:hAnsi="仿宋_GB2312" w:cs="仿宋_GB2312"/>
          <w:snapToGrid w:val="0"/>
          <w:color w:val="auto"/>
          <w:sz w:val="32"/>
          <w:szCs w:val="32"/>
          <w:lang w:val="zh-CN"/>
        </w:rPr>
        <w:t>血清抗体样品</w:t>
      </w:r>
      <w:r>
        <w:rPr>
          <w:rFonts w:hint="eastAsia" w:ascii="仿宋_GB2312" w:hAnsi="仿宋_GB2312" w:cs="仿宋_GB2312"/>
          <w:snapToGrid w:val="0"/>
          <w:color w:val="auto"/>
          <w:sz w:val="32"/>
          <w:szCs w:val="32"/>
        </w:rPr>
        <w:t>32</w:t>
      </w:r>
      <w:r>
        <w:rPr>
          <w:rFonts w:hint="eastAsia" w:ascii="仿宋_GB2312" w:hAnsi="仿宋_GB2312" w:cs="仿宋_GB2312"/>
          <w:snapToGrid w:val="0"/>
          <w:color w:val="auto"/>
          <w:sz w:val="32"/>
          <w:szCs w:val="32"/>
          <w:lang w:val="zh-CN"/>
        </w:rPr>
        <w:t>万多份次、病原学样品</w:t>
      </w:r>
      <w:r>
        <w:rPr>
          <w:rFonts w:hint="eastAsia" w:ascii="仿宋_GB2312" w:hAnsi="仿宋_GB2312" w:cs="仿宋_GB2312"/>
          <w:snapToGrid w:val="0"/>
          <w:color w:val="auto"/>
          <w:sz w:val="32"/>
          <w:szCs w:val="32"/>
        </w:rPr>
        <w:t>21</w:t>
      </w:r>
      <w:r>
        <w:rPr>
          <w:rFonts w:hint="eastAsia" w:ascii="仿宋_GB2312" w:hAnsi="仿宋_GB2312" w:cs="仿宋_GB2312"/>
          <w:snapToGrid w:val="0"/>
          <w:color w:val="auto"/>
          <w:sz w:val="32"/>
          <w:szCs w:val="32"/>
          <w:lang w:val="zh-CN"/>
        </w:rPr>
        <w:t>万多份次。定期</w:t>
      </w:r>
      <w:r>
        <w:rPr>
          <w:rFonts w:hint="eastAsia" w:ascii="仿宋_GB2312" w:hAnsi="仿宋_GB2312" w:cs="仿宋_GB2312"/>
          <w:snapToGrid w:val="0"/>
          <w:color w:val="auto"/>
          <w:sz w:val="32"/>
          <w:szCs w:val="32"/>
        </w:rPr>
        <w:t>分析预警动物疫病形势</w:t>
      </w:r>
      <w:r>
        <w:rPr>
          <w:rFonts w:hint="eastAsia" w:ascii="仿宋_GB2312" w:hAnsi="仿宋_GB2312" w:cs="仿宋_GB2312"/>
          <w:snapToGrid w:val="0"/>
          <w:color w:val="auto"/>
          <w:sz w:val="32"/>
          <w:szCs w:val="32"/>
          <w:lang w:val="zh-CN"/>
        </w:rPr>
        <w:t>，为及时防控重大动物疫病提供科学依据</w:t>
      </w:r>
      <w:r>
        <w:rPr>
          <w:rFonts w:hint="eastAsia" w:ascii="仿宋_GB2312" w:hAnsi="仿宋_GB2312" w:cs="仿宋_GB2312"/>
          <w:color w:val="auto"/>
          <w:sz w:val="32"/>
          <w:szCs w:val="32"/>
        </w:rPr>
        <w:t>。各地认真开展养殖环节无害化处理和屠宰环节病死猪及病害肉的无害化处理工作，病死动物无害化处理率达100%，屠宰环节病害猪无害化处理率达到100%。</w:t>
      </w:r>
    </w:p>
    <w:p>
      <w:pPr>
        <w:pStyle w:val="11"/>
        <w:numPr>
          <w:ilvl w:val="255"/>
          <w:numId w:val="0"/>
        </w:numPr>
        <w:adjustRightInd w:val="0"/>
        <w:snapToGrid w:val="0"/>
        <w:spacing w:before="0" w:beforeLines="0" w:after="0" w:afterLines="0" w:line="590" w:lineRule="exact"/>
        <w:ind w:firstLine="640" w:firstLineChars="200"/>
        <w:rPr>
          <w:rFonts w:ascii="仿宋_GB2312" w:hAnsi="仿宋_GB2312" w:cs="仿宋_GB2312"/>
          <w:color w:val="auto"/>
          <w:sz w:val="32"/>
          <w:szCs w:val="32"/>
        </w:rPr>
      </w:pPr>
      <w:r>
        <w:rPr>
          <w:rFonts w:hint="eastAsia" w:ascii="仿宋_GB2312" w:hAnsi="仿宋_GB2312" w:cs="仿宋_GB2312"/>
          <w:color w:val="auto"/>
          <w:kern w:val="2"/>
          <w:sz w:val="32"/>
          <w:szCs w:val="32"/>
        </w:rPr>
        <w:t>（4）</w:t>
      </w:r>
      <w:r>
        <w:rPr>
          <w:rFonts w:hint="eastAsia" w:ascii="仿宋_GB2312" w:hAnsi="仿宋_GB2312" w:cs="仿宋_GB2312"/>
          <w:color w:val="auto"/>
          <w:sz w:val="32"/>
          <w:szCs w:val="32"/>
          <w:lang w:val="zh-TW"/>
        </w:rPr>
        <w:t>可持续发展。</w:t>
      </w:r>
      <w:r>
        <w:rPr>
          <w:rFonts w:hint="eastAsia" w:ascii="仿宋_GB2312" w:hAnsi="仿宋_GB2312" w:cs="仿宋_GB2312"/>
          <w:color w:val="auto"/>
          <w:sz w:val="32"/>
          <w:szCs w:val="32"/>
        </w:rPr>
        <w:t>指标权重5.97分，自评得分5.97分，得分率100%。</w:t>
      </w:r>
      <w:r>
        <w:rPr>
          <w:rFonts w:hint="eastAsia" w:ascii="仿宋_GB2312" w:hAnsi="仿宋_GB2312" w:cs="仿宋_GB2312"/>
          <w:color w:val="auto"/>
          <w:sz w:val="32"/>
          <w:szCs w:val="32"/>
          <w:lang w:bidi="ar"/>
        </w:rPr>
        <w:t>我省对科技兴农、</w:t>
      </w:r>
      <w:r>
        <w:rPr>
          <w:rFonts w:ascii="仿宋_GB2312" w:hAnsi="仿宋_GB2312" w:cs="仿宋_GB2312"/>
          <w:color w:val="auto"/>
          <w:sz w:val="32"/>
          <w:szCs w:val="32"/>
        </w:rPr>
        <w:t>农业农村重点试点示范及基地建设</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bidi="ar"/>
        </w:rPr>
        <w:t>现代农业产业园建设等政策任务的财政支持多年来持续不间断，并且已经制定了中长期的发展规划。</w:t>
      </w:r>
      <w:r>
        <w:rPr>
          <w:rFonts w:hint="eastAsia" w:ascii="仿宋_GB2312" w:hAnsi="仿宋_GB2312" w:cs="仿宋_GB2312"/>
          <w:color w:val="auto"/>
          <w:sz w:val="32"/>
          <w:szCs w:val="32"/>
        </w:rPr>
        <w:t>以</w:t>
      </w:r>
      <w:r>
        <w:rPr>
          <w:rFonts w:ascii="仿宋_GB2312" w:hAnsi="仿宋_GB2312" w:cs="仿宋_GB2312"/>
          <w:color w:val="auto"/>
          <w:sz w:val="32"/>
          <w:szCs w:val="32"/>
        </w:rPr>
        <w:t>农业农村重点试点示范及基地建设</w:t>
      </w:r>
      <w:r>
        <w:rPr>
          <w:rFonts w:hint="eastAsia" w:ascii="仿宋_GB2312" w:hAnsi="仿宋_GB2312" w:cs="仿宋_GB2312"/>
          <w:color w:val="auto"/>
          <w:sz w:val="32"/>
          <w:szCs w:val="32"/>
        </w:rPr>
        <w:t>为例，建立了综合管理新模式，推进农业面源污染的可持续治理。通过牲畜废弃物管理示范项目的实施，本项目养殖场粪污综合利用率和设施装备配套率实现“双100%”。调查统计，项目传统猪场牲畜废弃物处理系统日产沼气62330m³，每天可发电67939kW·h，年可发电2480万kW·h，节约用电1686万元；年产有机肥约25万吨，90%以上的有机肥供养殖场自身及周边村民种植使用，少部分经深加工为商品有机肥销售。高床发酵型养殖实现养猪周期内免冲洗猪栏、“零排放”效果，在养殖过程中就处理了废弃物，直接减少污染；种植业、养殖业相结合，形成生态闭环，有效实现农业生态循环。</w:t>
      </w:r>
    </w:p>
    <w:p>
      <w:pPr>
        <w:adjustRightInd w:val="0"/>
        <w:snapToGrid w:val="0"/>
        <w:spacing w:beforeLines="0" w:afterLines="0" w:line="590" w:lineRule="exact"/>
        <w:ind w:firstLine="643" w:firstLineChars="200"/>
        <w:rPr>
          <w:rFonts w:ascii="仿宋_GB2312" w:hAnsi="仿宋_GB2312" w:cs="仿宋_GB2312"/>
          <w:b/>
          <w:bCs/>
          <w:color w:val="auto"/>
          <w:spacing w:val="-6"/>
          <w:kern w:val="0"/>
          <w:sz w:val="32"/>
          <w:szCs w:val="32"/>
        </w:rPr>
      </w:pPr>
      <w:r>
        <w:rPr>
          <w:rFonts w:hint="eastAsia" w:ascii="仿宋_GB2312" w:hAnsi="仿宋_GB2312" w:cs="仿宋_GB2312"/>
          <w:b/>
          <w:bCs/>
          <w:color w:val="auto"/>
          <w:sz w:val="32"/>
          <w:szCs w:val="32"/>
        </w:rPr>
        <w:t>2.</w:t>
      </w:r>
      <w:r>
        <w:rPr>
          <w:rFonts w:hint="eastAsia" w:ascii="仿宋_GB2312" w:hAnsi="仿宋_GB2312" w:cs="仿宋_GB2312"/>
          <w:b/>
          <w:bCs/>
          <w:color w:val="auto"/>
          <w:spacing w:val="-6"/>
          <w:kern w:val="0"/>
          <w:sz w:val="32"/>
          <w:szCs w:val="32"/>
        </w:rPr>
        <w:t>公平性。</w:t>
      </w:r>
      <w:bookmarkEnd w:id="46"/>
      <w:bookmarkStart w:id="86" w:name="OLE_LINK1"/>
    </w:p>
    <w:p>
      <w:pPr>
        <w:pStyle w:val="7"/>
        <w:numPr>
          <w:ilvl w:val="2"/>
          <w:numId w:val="0"/>
        </w:numPr>
        <w:adjustRightInd w:val="0"/>
        <w:snapToGrid w:val="0"/>
        <w:spacing w:beforeLines="0" w:afterLines="0" w:line="590" w:lineRule="exact"/>
        <w:ind w:firstLine="640" w:firstLineChars="200"/>
        <w:rPr>
          <w:rFonts w:hint="eastAsia" w:ascii="仿宋_GB2312" w:hAnsi="仿宋_GB2312" w:cs="仿宋_GB2312"/>
          <w:color w:val="auto"/>
          <w:spacing w:val="-6"/>
          <w:sz w:val="32"/>
          <w:szCs w:val="32"/>
        </w:rPr>
      </w:pPr>
      <w:r>
        <w:rPr>
          <w:rFonts w:hint="eastAsia" w:ascii="仿宋_GB2312" w:hAnsi="仿宋_GB2312" w:cs="仿宋_GB2312"/>
          <w:color w:val="auto"/>
          <w:sz w:val="32"/>
          <w:szCs w:val="32"/>
          <w:lang w:bidi="ar"/>
        </w:rPr>
        <w:t>指标权重5分，自评得分5分，得分率100%。专项资金的投入促进了农业增效和农民增收，起到了联农带农作用，通过带动农民种养、就业、土地出租流转等方式为农民带去切实利益，</w:t>
      </w:r>
      <w:r>
        <w:rPr>
          <w:rFonts w:hint="eastAsia" w:ascii="仿宋_GB2312" w:hAnsi="仿宋_GB2312" w:cs="仿宋_GB2312"/>
          <w:color w:val="auto"/>
          <w:spacing w:val="-6"/>
          <w:sz w:val="32"/>
          <w:szCs w:val="32"/>
          <w:lang w:bidi="ar"/>
        </w:rPr>
        <w:t>增加了农民收入，赢得广大农民群众的支持和认可，群众满意度高。</w:t>
      </w:r>
    </w:p>
    <w:bookmarkEnd w:id="86"/>
    <w:p>
      <w:pPr>
        <w:pStyle w:val="7"/>
        <w:adjustRightInd w:val="0"/>
        <w:snapToGrid w:val="0"/>
        <w:spacing w:beforeLines="0" w:afterLines="0" w:line="590" w:lineRule="exact"/>
        <w:ind w:firstLine="640" w:firstLineChars="200"/>
        <w:outlineLvl w:val="0"/>
        <w:rPr>
          <w:rFonts w:hint="eastAsia" w:ascii="黑体" w:hAnsi="黑体" w:eastAsia="黑体" w:cs="黑体"/>
          <w:color w:val="auto"/>
          <w:kern w:val="0"/>
          <w:sz w:val="32"/>
          <w:szCs w:val="32"/>
        </w:rPr>
      </w:pPr>
      <w:bookmarkStart w:id="87" w:name="_Toc13565"/>
      <w:bookmarkStart w:id="88" w:name="_Toc18153"/>
      <w:bookmarkStart w:id="89" w:name="_Toc5769"/>
      <w:bookmarkStart w:id="90" w:name="_Toc104847462"/>
      <w:bookmarkStart w:id="91" w:name="_Toc15715"/>
      <w:bookmarkStart w:id="92" w:name="_Toc21164"/>
      <w:bookmarkStart w:id="93" w:name="_Toc512491981"/>
      <w:r>
        <w:rPr>
          <w:rFonts w:hint="eastAsia" w:ascii="黑体" w:hAnsi="黑体" w:eastAsia="黑体" w:cs="黑体"/>
          <w:color w:val="auto"/>
          <w:kern w:val="0"/>
          <w:sz w:val="32"/>
          <w:szCs w:val="32"/>
        </w:rPr>
        <w:t>五、主要绩效</w:t>
      </w:r>
      <w:bookmarkEnd w:id="87"/>
      <w:bookmarkEnd w:id="88"/>
      <w:bookmarkEnd w:id="89"/>
      <w:bookmarkEnd w:id="90"/>
      <w:bookmarkEnd w:id="91"/>
      <w:bookmarkEnd w:id="92"/>
      <w:bookmarkStart w:id="94" w:name="_Toc15056"/>
    </w:p>
    <w:bookmarkEnd w:id="93"/>
    <w:bookmarkEnd w:id="94"/>
    <w:p>
      <w:pPr>
        <w:adjustRightInd w:val="0"/>
        <w:snapToGrid w:val="0"/>
        <w:spacing w:beforeLines="0" w:afterLines="0" w:line="590" w:lineRule="exact"/>
        <w:ind w:firstLine="640" w:firstLineChars="200"/>
        <w:outlineLvl w:val="1"/>
        <w:rPr>
          <w:rFonts w:hint="eastAsia" w:ascii="楷体_GB2312" w:hAnsi="楷体_GB2312" w:eastAsia="楷体_GB2312" w:cs="楷体_GB2312"/>
          <w:b w:val="0"/>
          <w:bCs w:val="0"/>
          <w:color w:val="auto"/>
          <w:kern w:val="0"/>
          <w:sz w:val="32"/>
          <w:szCs w:val="32"/>
        </w:rPr>
      </w:pPr>
      <w:bookmarkStart w:id="95" w:name="_Toc836"/>
      <w:bookmarkStart w:id="96" w:name="_Toc30497"/>
      <w:bookmarkStart w:id="97" w:name="_Toc104847138"/>
      <w:bookmarkStart w:id="98" w:name="_Toc952"/>
      <w:bookmarkStart w:id="99" w:name="_Toc104847463"/>
      <w:bookmarkStart w:id="100" w:name="_Toc6266"/>
      <w:bookmarkStart w:id="101" w:name="_Toc4184"/>
      <w:bookmarkStart w:id="102" w:name="_Toc32041"/>
      <w:bookmarkStart w:id="103" w:name="_Toc512491983"/>
      <w:r>
        <w:rPr>
          <w:rFonts w:hint="eastAsia" w:ascii="楷体_GB2312" w:hAnsi="楷体_GB2312" w:eastAsia="楷体_GB2312" w:cs="楷体_GB2312"/>
          <w:b w:val="0"/>
          <w:bCs w:val="0"/>
          <w:color w:val="auto"/>
          <w:kern w:val="0"/>
          <w:sz w:val="32"/>
          <w:szCs w:val="32"/>
        </w:rPr>
        <w:t>（一）科技兴农</w:t>
      </w:r>
      <w:bookmarkEnd w:id="95"/>
      <w:bookmarkEnd w:id="96"/>
      <w:bookmarkEnd w:id="97"/>
      <w:bookmarkEnd w:id="98"/>
      <w:bookmarkEnd w:id="99"/>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1.农业科技创新取得新进展。</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lang w:bidi="ar"/>
        </w:rPr>
      </w:pPr>
      <w:r>
        <w:rPr>
          <w:rFonts w:hint="eastAsia" w:ascii="仿宋_GB2312" w:hAnsi="仿宋_GB2312" w:cs="仿宋_GB2312"/>
          <w:color w:val="auto"/>
          <w:sz w:val="32"/>
          <w:szCs w:val="32"/>
          <w:lang w:bidi="ar"/>
        </w:rPr>
        <w:t>一是持续支持51个广东省现代农业产业技术体系创新团队建设。凝聚整合全省优势农业科技资源，连续多年支持省级现代农业产业技术体系创新团队建设。创新团队围绕制约农业生产的难点问题组织攻关，突破了一批制约广东农业发展的“卡脖子”核心技术和产品，解决了一批农业生产实际难题，促进了一二三产业融合发展。其中，培育高产、优质、高效新品种（系）63个以上，研发新机具、新产品76个（台）以上，研发新技术、新模式、新模型81个（项）以上，制定工艺、标准、规程70项以上，转化、推广、应用新品种、新产品、新技术95个（项）以上。</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lang w:bidi="ar"/>
        </w:rPr>
      </w:pPr>
      <w:r>
        <w:rPr>
          <w:rFonts w:hint="eastAsia" w:ascii="仿宋_GB2312" w:hAnsi="仿宋_GB2312" w:cs="仿宋_GB2312"/>
          <w:color w:val="auto"/>
          <w:sz w:val="32"/>
          <w:szCs w:val="32"/>
          <w:lang w:bidi="ar"/>
        </w:rPr>
        <w:t>二是启动了一批重点研发项目。邀请罗锡文院士团队牵头开展智慧农场技术与装备集成应用模式与数字化展示项目，制定适合于广东主要农作物、水产和畜禽养殖的智慧农场技术与装备集成应用模式，为智慧农场建设提供样板参考和技术支持。开展“广东丝苗米”优质种质资源分子标记数据库构建及融通开发模式研究，破解丝苗米种质资源散落难题，构建首期“广东丝苗米”相关优质种质资源数据库入基础库材料至少800份，建立丝苗米相关水稻种质资源DNA分子身份证800多份，筛选60份以上核心优异种质进行深度（50X）全基因组测序，构建1套广东丝苗米优异种质资源基因组学库。开展5G技术在农业应用的前景与方向研究，完成5G+智能水产、虫情监测、无人机、数字鸽业、数字茶园、数字果园等应用场景研究，完成建设丝苗米、茶叶、生猪、荔枝、肉鸽、小番茄和水产生产管理数字模型与可视化开发7个，为智慧农业、数字农业发展提供了依据支撑。</w:t>
      </w:r>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2.农业科技服务水平得到不断提升。</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lang w:bidi="ar"/>
        </w:rPr>
      </w:pPr>
      <w:r>
        <w:rPr>
          <w:rFonts w:hint="eastAsia" w:ascii="仿宋_GB2312" w:hAnsi="仿宋_GB2312" w:cs="仿宋_GB2312"/>
          <w:color w:val="auto"/>
          <w:sz w:val="32"/>
          <w:szCs w:val="32"/>
          <w:lang w:bidi="ar"/>
        </w:rPr>
        <w:t>打造首席专家谈农技直播平台。为抓好粮食和重要农产品稳产保供，紧贴农时、靠前服务，依托全省51个省级现代农业产业技术体系创新团队首席专家</w:t>
      </w:r>
      <w:r>
        <w:rPr>
          <w:rFonts w:hint="eastAsia" w:ascii="仿宋_GB2312" w:hAnsi="仿宋_GB2312" w:cs="仿宋_GB2312"/>
          <w:color w:val="auto"/>
          <w:sz w:val="32"/>
          <w:szCs w:val="32"/>
          <w:lang w:val="zh-CN" w:bidi="ar"/>
        </w:rPr>
        <w:t>，抓住春耕春播、夏收夏种、秋收冬种等关键农时和转折性、灾害性天气等，根据农业生产需求，</w:t>
      </w:r>
      <w:r>
        <w:rPr>
          <w:rFonts w:hint="eastAsia" w:ascii="仿宋_GB2312" w:hAnsi="仿宋_GB2312" w:cs="仿宋_GB2312"/>
          <w:color w:val="auto"/>
          <w:sz w:val="32"/>
          <w:szCs w:val="32"/>
          <w:lang w:bidi="ar"/>
        </w:rPr>
        <w:t>每月2期</w:t>
      </w:r>
      <w:r>
        <w:rPr>
          <w:rFonts w:hint="eastAsia" w:ascii="仿宋_GB2312" w:hAnsi="仿宋_GB2312" w:cs="仿宋_GB2312"/>
          <w:color w:val="auto"/>
          <w:sz w:val="32"/>
          <w:szCs w:val="32"/>
          <w:lang w:val="zh-CN" w:bidi="ar"/>
        </w:rPr>
        <w:t>推出直播系列活动，专家“云指导”“云解答”，推介良品、讲解良技，</w:t>
      </w:r>
      <w:r>
        <w:rPr>
          <w:rFonts w:hint="eastAsia" w:ascii="仿宋_GB2312" w:hAnsi="仿宋_GB2312" w:cs="仿宋_GB2312"/>
          <w:color w:val="auto"/>
          <w:sz w:val="32"/>
          <w:szCs w:val="32"/>
          <w:lang w:bidi="ar"/>
        </w:rPr>
        <w:t>切实解决农业生产发展面临的技术难题，满足广大农民的技术需求</w:t>
      </w:r>
      <w:r>
        <w:rPr>
          <w:rFonts w:hint="eastAsia" w:ascii="仿宋_GB2312" w:hAnsi="仿宋_GB2312" w:cs="仿宋_GB2312"/>
          <w:color w:val="auto"/>
          <w:sz w:val="32"/>
          <w:szCs w:val="32"/>
          <w:lang w:val="zh-CN" w:bidi="ar"/>
        </w:rPr>
        <w:t>。</w:t>
      </w:r>
      <w:r>
        <w:rPr>
          <w:rFonts w:hint="eastAsia" w:ascii="仿宋_GB2312" w:hAnsi="仿宋_GB2312" w:cs="仿宋_GB2312"/>
          <w:color w:val="auto"/>
          <w:sz w:val="32"/>
          <w:szCs w:val="32"/>
          <w:lang w:bidi="ar"/>
        </w:rPr>
        <w:t>目前已举办7场直播活动，第7场在线直播活动观看人数突破20万人。</w:t>
      </w:r>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3.农业科技成果转化能力不断提升。</w:t>
      </w:r>
    </w:p>
    <w:p>
      <w:pPr>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我厅实施广东省农业技术推广奖评选改革。充分利用省农业技术推广奖的指挥棒作用，深入贯彻落实习近平总书记关于“广大科技工作者要把论文写在祖国的大地上”</w:t>
      </w:r>
      <w:r>
        <w:rPr>
          <w:rFonts w:hint="eastAsia" w:ascii="仿宋_GB2312" w:hAnsi="仿宋_GB2312" w:eastAsia="仿宋_GB2312" w:cs="仿宋_GB2312"/>
          <w:color w:val="auto"/>
          <w:sz w:val="32"/>
          <w:szCs w:val="32"/>
          <w:lang w:eastAsia="zh-CN"/>
        </w:rPr>
        <w:t>的重要</w:t>
      </w:r>
      <w:r>
        <w:rPr>
          <w:rFonts w:hint="eastAsia" w:ascii="仿宋_GB2312" w:hAnsi="仿宋_GB2312" w:eastAsia="仿宋_GB2312" w:cs="仿宋_GB2312"/>
          <w:color w:val="auto"/>
          <w:sz w:val="32"/>
          <w:szCs w:val="32"/>
        </w:rPr>
        <w:t>讲话精神，实施广东省农业技术推广奖改革，创新建立向基层农技员倾斜的激励机制，按照“重推广成效、重服务基层”原则，明确规定“在各奖励等级中，主要完成人中基层人员所占比例不得低于50%”。2021年省推广奖获奖人员中，基层人员占比超过73%，比“十三五”平均数提高了20%以上，有效促进基层农技推广人员与科研院所、高校结合在一起，从事科研、推广、转化工作。</w:t>
      </w:r>
    </w:p>
    <w:p>
      <w:pPr>
        <w:adjustRightInd w:val="0"/>
        <w:snapToGrid w:val="0"/>
        <w:spacing w:beforeLines="0" w:afterLines="0" w:line="590" w:lineRule="exact"/>
        <w:ind w:left="0" w:leftChars="0" w:firstLine="640" w:firstLineChars="200"/>
        <w:outlineLvl w:val="1"/>
        <w:rPr>
          <w:rFonts w:hint="eastAsia" w:ascii="楷体_GB2312" w:hAnsi="楷体_GB2312" w:eastAsia="楷体_GB2312" w:cs="楷体_GB2312"/>
          <w:b w:val="0"/>
          <w:bCs w:val="0"/>
          <w:color w:val="auto"/>
          <w:kern w:val="0"/>
          <w:sz w:val="32"/>
          <w:szCs w:val="32"/>
        </w:rPr>
      </w:pPr>
      <w:bookmarkStart w:id="104" w:name="_Toc18678"/>
      <w:bookmarkStart w:id="105" w:name="_Toc26501"/>
      <w:bookmarkStart w:id="106" w:name="_Toc104847464"/>
      <w:bookmarkStart w:id="107" w:name="_Toc104847139"/>
      <w:bookmarkStart w:id="108" w:name="_Toc20379"/>
      <w:r>
        <w:rPr>
          <w:rFonts w:hint="eastAsia" w:ascii="楷体_GB2312" w:hAnsi="楷体_GB2312" w:eastAsia="楷体_GB2312" w:cs="楷体_GB2312"/>
          <w:b w:val="0"/>
          <w:bCs w:val="0"/>
          <w:color w:val="auto"/>
          <w:kern w:val="0"/>
          <w:sz w:val="32"/>
          <w:szCs w:val="32"/>
        </w:rPr>
        <w:t>（二）农业农村监测检测</w:t>
      </w:r>
      <w:bookmarkEnd w:id="104"/>
      <w:bookmarkEnd w:id="105"/>
      <w:bookmarkEnd w:id="106"/>
      <w:bookmarkEnd w:id="107"/>
      <w:bookmarkEnd w:id="108"/>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1.开展农产品“三品一标”认证登记工作。</w:t>
      </w:r>
    </w:p>
    <w:p>
      <w:pPr>
        <w:adjustRightInd w:val="0"/>
        <w:snapToGrid w:val="0"/>
        <w:spacing w:beforeLines="0" w:afterLines="0" w:line="590" w:lineRule="exact"/>
        <w:ind w:firstLine="640" w:firstLineChars="200"/>
        <w:rPr>
          <w:rFonts w:ascii="仿宋_GB2312" w:hAnsi="仿宋_GB2312" w:cs="仿宋_GB2312"/>
          <w:color w:val="auto"/>
          <w:sz w:val="32"/>
          <w:szCs w:val="32"/>
        </w:rPr>
      </w:pPr>
      <w:r>
        <w:rPr>
          <w:rFonts w:hint="eastAsia" w:ascii="仿宋_GB2312" w:hAnsi="仿宋_GB2312" w:cs="仿宋_GB2312"/>
          <w:bCs/>
          <w:color w:val="auto"/>
          <w:sz w:val="32"/>
          <w:szCs w:val="32"/>
        </w:rPr>
        <w:t>2021年，组织召开两次无公害产品评审，共有223家申报单位324个产品获得无公害农产品证书；组织绿色食品首次认证141个，组织有机农产品认证90个，新增农产品地理标志产品8个。</w:t>
      </w:r>
      <w:r>
        <w:rPr>
          <w:rFonts w:hint="eastAsia" w:ascii="仿宋_GB2312" w:hAnsi="仿宋_GB2312" w:cs="仿宋_GB2312"/>
          <w:color w:val="auto"/>
          <w:kern w:val="0"/>
          <w:sz w:val="32"/>
          <w:szCs w:val="32"/>
        </w:rPr>
        <w:t>至</w:t>
      </w:r>
      <w:r>
        <w:rPr>
          <w:rStyle w:val="13"/>
          <w:rFonts w:hint="eastAsia" w:hAnsi="仿宋_GB2312"/>
          <w:color w:val="auto"/>
          <w:sz w:val="32"/>
          <w:szCs w:val="32"/>
        </w:rPr>
        <w:t>2021年底，我省绿色食品、有机食品和地理标志产品获证数量为868个，较2020年增长14.8</w:t>
      </w:r>
      <w:r>
        <w:rPr>
          <w:rStyle w:val="13"/>
          <w:rFonts w:hAnsi="仿宋_GB2312"/>
          <w:color w:val="auto"/>
          <w:sz w:val="32"/>
          <w:szCs w:val="32"/>
        </w:rPr>
        <w:t>0</w:t>
      </w:r>
      <w:r>
        <w:rPr>
          <w:rStyle w:val="13"/>
          <w:rFonts w:hint="eastAsia" w:hAnsi="仿宋_GB2312"/>
          <w:color w:val="auto"/>
          <w:sz w:val="32"/>
          <w:szCs w:val="32"/>
        </w:rPr>
        <w:t>%</w:t>
      </w:r>
      <w:r>
        <w:rPr>
          <w:rFonts w:hint="eastAsia" w:ascii="仿宋_GB2312" w:hAnsi="仿宋_GB2312" w:cs="仿宋_GB2312"/>
          <w:bCs/>
          <w:color w:val="auto"/>
          <w:sz w:val="32"/>
          <w:szCs w:val="32"/>
        </w:rPr>
        <w:t>。</w:t>
      </w:r>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2.省级农产品质量安全监测类项目。</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2021年省级乡村振兴战略专项涉及省级农产品质量安全监测类项目共22个，涉及金额共4335万元。2021年我厅组织对全省20个地级以上市（深圳市除外）开展了2021年度广东省省级农产品质量安全监测工作，全年共抽检样品22557个，发现了35</w:t>
      </w:r>
      <w:r>
        <w:rPr>
          <w:rFonts w:hint="eastAsia" w:ascii="仿宋_GB2312" w:hAnsi="仿宋_GB2312" w:cs="仿宋_GB2312"/>
          <w:color w:val="auto"/>
          <w:sz w:val="32"/>
          <w:szCs w:val="32"/>
          <w:lang w:val="en"/>
        </w:rPr>
        <w:t>4</w:t>
      </w:r>
      <w:r>
        <w:rPr>
          <w:rFonts w:hint="eastAsia" w:ascii="仿宋_GB2312" w:hAnsi="仿宋_GB2312" w:cs="仿宋_GB2312"/>
          <w:color w:val="auto"/>
          <w:sz w:val="32"/>
          <w:szCs w:val="32"/>
        </w:rPr>
        <w:t>个不合格样品，总体监测合格率为98.40%，与2020年相比监测样品数量增长了61.40%，合格率上升了0.30%，全年农产品质量安全形势总体稳定向好，未发生系统性、区域性农产品质量安全事件，完成了2021年国家对各省人民政府食品安全工作评议考核中“农业农村部门食用农产品定量检测量达到1.50批次/千人”和“省级农产品监督抽查问题发现率达到1.40%以上”的指标要求，同时也按照农业农村部等七部委食用农产品“治违禁 控药残 促提升”三年专项治理行动工作要求对11个重点治理品种进行监测，监督抽查和例行监测共抽检11个重点治理品种样品3468批次，发现不合格样品72批次，为三年专项治理行动提供了数据支撑。</w:t>
      </w:r>
    </w:p>
    <w:p>
      <w:pPr>
        <w:adjustRightInd w:val="0"/>
        <w:snapToGrid w:val="0"/>
        <w:spacing w:beforeLines="0" w:afterLines="0" w:line="590" w:lineRule="exact"/>
        <w:ind w:left="0" w:leftChars="0" w:firstLine="640" w:firstLineChars="200"/>
        <w:outlineLvl w:val="1"/>
        <w:rPr>
          <w:rFonts w:hint="eastAsia" w:ascii="楷体_GB2312" w:hAnsi="楷体_GB2312" w:eastAsia="楷体_GB2312" w:cs="楷体_GB2312"/>
          <w:b w:val="0"/>
          <w:bCs w:val="0"/>
          <w:color w:val="auto"/>
          <w:kern w:val="0"/>
          <w:sz w:val="32"/>
          <w:szCs w:val="32"/>
        </w:rPr>
      </w:pPr>
      <w:bookmarkStart w:id="109" w:name="_Toc12884"/>
      <w:bookmarkStart w:id="110" w:name="_Toc3003"/>
      <w:bookmarkStart w:id="111" w:name="_Toc4127"/>
      <w:bookmarkStart w:id="112" w:name="_Toc104847140"/>
      <w:bookmarkStart w:id="113" w:name="_Toc104847465"/>
      <w:r>
        <w:rPr>
          <w:rFonts w:hint="eastAsia" w:ascii="楷体_GB2312" w:hAnsi="楷体_GB2312" w:eastAsia="楷体_GB2312" w:cs="楷体_GB2312"/>
          <w:b w:val="0"/>
          <w:bCs w:val="0"/>
          <w:color w:val="auto"/>
          <w:kern w:val="0"/>
          <w:sz w:val="32"/>
          <w:szCs w:val="32"/>
        </w:rPr>
        <w:t>（三）农业农村宣传推广和综合管理及能力建设</w:t>
      </w:r>
      <w:bookmarkEnd w:id="109"/>
      <w:bookmarkEnd w:id="110"/>
      <w:bookmarkEnd w:id="111"/>
      <w:bookmarkEnd w:id="112"/>
      <w:bookmarkEnd w:id="113"/>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1.首次将“绿色”和“种业”理念融合，成功举办中国农业绿色发展研讨会。</w:t>
      </w:r>
    </w:p>
    <w:p>
      <w:pPr>
        <w:adjustRightInd w:val="0"/>
        <w:snapToGrid w:val="0"/>
        <w:spacing w:beforeLines="0" w:afterLines="0" w:line="590" w:lineRule="exact"/>
        <w:ind w:firstLine="640" w:firstLineChars="200"/>
        <w:rPr>
          <w:rStyle w:val="14"/>
          <w:rFonts w:ascii="仿宋_GB2312" w:hAnsi="仿宋_GB2312" w:cs="仿宋_GB2312"/>
          <w:bCs/>
          <w:color w:val="auto"/>
          <w:sz w:val="32"/>
          <w:szCs w:val="32"/>
        </w:rPr>
      </w:pPr>
      <w:r>
        <w:rPr>
          <w:rStyle w:val="14"/>
          <w:rFonts w:hint="eastAsia" w:ascii="仿宋_GB2312" w:hAnsi="仿宋_GB2312" w:cs="仿宋_GB2312"/>
          <w:bCs/>
          <w:color w:val="auto"/>
          <w:sz w:val="32"/>
          <w:szCs w:val="32"/>
        </w:rPr>
        <w:t>该研讨会是广东省深入贯彻落实党中央国务院关于推进农业绿色发展的重要举措，是对农业农村部等6部门联合印发《“十四五”全国农业绿色发展规划》的积极响应，充分展示了广东农业绿色发展与种业振兴的成果和重要贡献。研讨会围绕农业绿色发展与种业振兴热点问题进行深入分享与研讨，达成并发布了“严守耕地红线、推动生产方式变革、加速种业绿色创新、推进科技绿色创新与应用、加强绿色人才队伍建设、健全农业绿色发展政策体系”的《中国农业绿色产业研讨会共识》。研讨会收到社会各界广泛关注，在学习强国等各类媒体直播与报道24篇次，通过网络平台进行全程线上直播，累计网络观看约86.25万人次，中国农业绿色发展逐渐成为业内外关注焦点。</w:t>
      </w:r>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2.聚焦种业振兴，举办多场重要活动。</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Style w:val="14"/>
          <w:rFonts w:hint="eastAsia" w:ascii="仿宋_GB2312" w:hAnsi="仿宋_GB2312" w:cs="仿宋_GB2312"/>
          <w:bCs/>
          <w:color w:val="auto"/>
          <w:sz w:val="32"/>
          <w:szCs w:val="32"/>
        </w:rPr>
        <w:t>首次创新性地举办广东种业振兴展，全方位多维度展现广东主粮作物、经济</w:t>
      </w:r>
      <w:r>
        <w:rPr>
          <w:rFonts w:hint="eastAsia" w:ascii="仿宋_GB2312" w:hAnsi="仿宋_GB2312" w:cs="仿宋_GB2312"/>
          <w:color w:val="auto"/>
          <w:kern w:val="0"/>
          <w:sz w:val="32"/>
          <w:szCs w:val="32"/>
        </w:rPr>
        <w:t>农作物、畜禽种业、水产种业的成就与成果，展示种质资源保护、种业创新、企业市场竞争力、供种保障、市场监管等方面的能力。“广东种质银行”在大会开幕式揭牌，首次联合养猪产业大会（广州）同期举办，联合</w:t>
      </w:r>
      <w:r>
        <w:rPr>
          <w:rStyle w:val="14"/>
          <w:rFonts w:hint="eastAsia" w:ascii="仿宋_GB2312" w:hAnsi="仿宋_GB2312" w:cs="仿宋_GB2312"/>
          <w:bCs/>
          <w:color w:val="auto"/>
          <w:sz w:val="32"/>
          <w:szCs w:val="32"/>
        </w:rPr>
        <w:t>第十届柯木塱种业论坛</w:t>
      </w:r>
      <w:r>
        <w:rPr>
          <w:rFonts w:hint="eastAsia" w:ascii="仿宋_GB2312" w:hAnsi="仿宋_GB2312" w:cs="仿宋_GB2312"/>
          <w:color w:val="auto"/>
          <w:kern w:val="0"/>
          <w:sz w:val="32"/>
          <w:szCs w:val="32"/>
        </w:rPr>
        <w:t>、生猪种业创新发展系列论坛与峰会、广东种业大会重点推介品种评选等十数场系列活动，参展企业</w:t>
      </w:r>
      <w:r>
        <w:rPr>
          <w:rStyle w:val="14"/>
          <w:rFonts w:hint="eastAsia" w:ascii="仿宋_GB2312" w:hAnsi="仿宋_GB2312" w:cs="仿宋_GB2312"/>
          <w:bCs/>
          <w:color w:val="auto"/>
          <w:kern w:val="0"/>
          <w:sz w:val="32"/>
          <w:szCs w:val="32"/>
        </w:rPr>
        <w:t>400多家，参展品种6000多个，专业观众2万</w:t>
      </w:r>
      <w:r>
        <w:rPr>
          <w:rFonts w:hint="eastAsia" w:ascii="仿宋_GB2312" w:hAnsi="仿宋_GB2312" w:cs="仿宋_GB2312"/>
          <w:color w:val="auto"/>
          <w:kern w:val="0"/>
          <w:sz w:val="32"/>
          <w:szCs w:val="32"/>
        </w:rPr>
        <w:t>多人次。从广州柯木塱向全国范围内掀起一场对种业振兴的空前关注与讨论，了解种业振兴作为农业的根基与命脉的核心性与关键性，让政府、行业协会、企业和一线农民在种业翻身仗中找准自身定位，共同推动种业振兴工程走深走实。</w:t>
      </w:r>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3.数字赋能，推动农业产业提质增效。</w:t>
      </w:r>
    </w:p>
    <w:p>
      <w:pPr>
        <w:adjustRightInd w:val="0"/>
        <w:snapToGrid w:val="0"/>
        <w:spacing w:beforeLines="0" w:afterLines="0" w:line="590" w:lineRule="exact"/>
        <w:ind w:firstLine="640" w:firstLineChars="200"/>
        <w:rPr>
          <w:rStyle w:val="14"/>
          <w:rFonts w:ascii="仿宋_GB2312" w:hAnsi="仿宋_GB2312" w:cs="仿宋_GB2312"/>
          <w:bCs/>
          <w:color w:val="auto"/>
          <w:sz w:val="32"/>
          <w:szCs w:val="32"/>
        </w:rPr>
      </w:pPr>
      <w:r>
        <w:rPr>
          <w:rStyle w:val="14"/>
          <w:rFonts w:hint="eastAsia" w:ascii="仿宋_GB2312" w:hAnsi="仿宋_GB2312" w:cs="仿宋_GB2312"/>
          <w:bCs/>
          <w:color w:val="auto"/>
          <w:sz w:val="32"/>
          <w:szCs w:val="32"/>
        </w:rPr>
        <w:t>以数字作为切入口，大会全面引入数字农业全方位展示。引进广州极飞、广州建坤、深圳硒递等超30家头部数字农业企业在田间地头展示一线生产应用的技术与装备，打造了示范基地和现代农业产业园无缝链接的数字茶园、果园、菜园、药园，综合展示数字渔业、数字畜牧、数字装备等前沿应用技术与装备超300项。通过广东种业大会的综合展示平台，众多具有应用价值的数字技术与装备获得了社会关注与认可，并成为推动农业生产提质增效的重要武器。</w:t>
      </w:r>
    </w:p>
    <w:p>
      <w:pPr>
        <w:adjustRightInd w:val="0"/>
        <w:snapToGrid w:val="0"/>
        <w:spacing w:beforeLines="0" w:afterLines="0" w:line="590" w:lineRule="exact"/>
        <w:ind w:left="0" w:leftChars="0" w:firstLine="640" w:firstLineChars="200"/>
        <w:outlineLvl w:val="1"/>
        <w:rPr>
          <w:rFonts w:hint="eastAsia" w:ascii="楷体_GB2312" w:hAnsi="楷体_GB2312" w:eastAsia="楷体_GB2312" w:cs="楷体_GB2312"/>
          <w:b w:val="0"/>
          <w:bCs w:val="0"/>
          <w:color w:val="auto"/>
          <w:kern w:val="0"/>
          <w:sz w:val="32"/>
          <w:szCs w:val="32"/>
        </w:rPr>
      </w:pPr>
      <w:bookmarkStart w:id="114" w:name="_Toc14927"/>
      <w:bookmarkStart w:id="115" w:name="_Toc104847466"/>
      <w:bookmarkStart w:id="116" w:name="_Toc19328"/>
      <w:bookmarkStart w:id="117" w:name="_Toc104847141"/>
      <w:bookmarkStart w:id="118" w:name="_Toc7719"/>
      <w:r>
        <w:rPr>
          <w:rFonts w:hint="eastAsia" w:ascii="楷体_GB2312" w:hAnsi="楷体_GB2312" w:eastAsia="楷体_GB2312" w:cs="楷体_GB2312"/>
          <w:b w:val="0"/>
          <w:bCs w:val="0"/>
          <w:color w:val="auto"/>
          <w:kern w:val="0"/>
          <w:sz w:val="32"/>
          <w:szCs w:val="32"/>
        </w:rPr>
        <w:t>（四）农业农村重点试点示范及基地建设</w:t>
      </w:r>
      <w:bookmarkEnd w:id="114"/>
      <w:bookmarkEnd w:id="115"/>
      <w:bookmarkEnd w:id="116"/>
      <w:bookmarkEnd w:id="117"/>
      <w:bookmarkEnd w:id="118"/>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1.建成了一批先进的果园示范基地，并开展了观摩交流。</w:t>
      </w:r>
    </w:p>
    <w:p>
      <w:pPr>
        <w:pStyle w:val="10"/>
        <w:adjustRightInd w:val="0"/>
        <w:snapToGrid w:val="0"/>
        <w:spacing w:beforeLines="0" w:afterLines="0" w:line="59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团队在柯木塱果茶园示范基地，完善园区的基础设施，完善改造后的基地水、电、路、网络等基础设施基本齐备，完成了适度宜机化改造；对园区生产中的中耕、植保、运输、收获等作业环节进行合理选择配置，引进多台多种类的机械装备、智能监测装备，在示范点积极开展和完成智能机械装备演示、技术培训工作，通过现场会、宣传资料、培训班等形式推广标准化、机械化、智能化果园先进模式，提高病虫防控能力。广东技术示范学院科研团队通过多个单位共同合作完成省级高标准荔枝园标准化、机械化、智能化建设。分工完成高标准荔枝园挖穴作业环节农机具开发与优化以及水肥一体化智能灌溉系统优化，省级高标准荔枝园植保作业环节无人机开发与优化，以及“光驱避法防控荔枝蛀蒂虫”绿色防控技术的应用。完成部分省级高标准果园安全输运系统开发与优化、省级高标准生产数据智能采集与监测平台建设工作。</w:t>
      </w:r>
    </w:p>
    <w:p>
      <w:pPr>
        <w:adjustRightInd w:val="0"/>
        <w:snapToGrid w:val="0"/>
        <w:spacing w:beforeLines="0" w:afterLines="0" w:line="590" w:lineRule="exact"/>
        <w:ind w:firstLine="619" w:firstLineChars="200"/>
        <w:rPr>
          <w:rFonts w:ascii="仿宋_GB2312" w:hAnsi="仿宋_GB2312" w:cs="仿宋_GB2312"/>
          <w:b/>
          <w:bCs/>
          <w:color w:val="auto"/>
          <w:sz w:val="32"/>
          <w:szCs w:val="32"/>
        </w:rPr>
      </w:pPr>
      <w:r>
        <w:rPr>
          <w:rFonts w:hint="eastAsia" w:ascii="仿宋_GB2312" w:hAnsi="仿宋_GB2312" w:cs="仿宋_GB2312"/>
          <w:b/>
          <w:bCs/>
          <w:color w:val="auto"/>
          <w:spacing w:val="-6"/>
          <w:sz w:val="32"/>
          <w:szCs w:val="32"/>
        </w:rPr>
        <w:t>2.集成先进完整的全链条生产技术，引领全省茶产业健康发展。</w:t>
      </w:r>
    </w:p>
    <w:p>
      <w:pPr>
        <w:pStyle w:val="10"/>
        <w:adjustRightInd w:val="0"/>
        <w:snapToGrid w:val="0"/>
        <w:spacing w:beforeLines="0" w:afterLines="0" w:line="568"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相关科研团队完成150亩生态茶园标准化、机械化、智能化建设，覆盖智能节水节肥灌溉系统，茶园生产数据监测与收集；建立智能虫害防治系统技术体系，形成较为完整、有效的茶叶虫害防治整体解决方案和应用标准体系。集成省内最先进的茶叶种植、加工技术，并开展观摩与交流。通过项目团队建设示范点，集成了一批先进适用的生产技术，形成了全链条的现代技术支撑，示范点是广东农业现代化发展的新典型，对全省水果、茶产业现代化发展具有重要的引领和示范效应。如项目认定一批符合我省生态茶园建设标准的茶叶种植基地，将促进广东省生态茶园建设，茶园化肥农药用量大幅度减少，茶园投入成本降低，经济效益更加显著，更好地支撑乡村振兴。</w:t>
      </w:r>
    </w:p>
    <w:p>
      <w:pPr>
        <w:adjustRightInd w:val="0"/>
        <w:snapToGrid w:val="0"/>
        <w:spacing w:beforeLines="0" w:afterLines="0" w:line="568"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3.世行项目的成功经验在省内外有效推广，起到了示范引领作用。</w:t>
      </w:r>
    </w:p>
    <w:p>
      <w:pPr>
        <w:pStyle w:val="10"/>
        <w:adjustRightInd w:val="0"/>
        <w:snapToGrid w:val="0"/>
        <w:spacing w:beforeLines="0" w:afterLines="0" w:line="568"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世行贷款广东农业面源污染治理项目</w:t>
      </w:r>
      <w:r>
        <w:rPr>
          <w:rFonts w:hint="eastAsia" w:ascii="仿宋_GB2312" w:hAnsi="仿宋_GB2312" w:eastAsia="仿宋_GB2312" w:cs="仿宋_GB2312"/>
          <w:color w:val="auto"/>
          <w:kern w:val="0"/>
          <w:sz w:val="32"/>
          <w:szCs w:val="32"/>
        </w:rPr>
        <w:t>成功经验和做法获得了广东省委、省政府、农业农村部的肯定和认可，多份政策文件将世行项目的经验进行采纳和推广，特别是广东省在2018年编制的《广东省实施乡村振兴战略规划（2018－2022年）》和2021年8月20日印发的《广东省推进农业农村现代化“十四五”规划》中，均明确提出要求在全省范围内推广世界银行贷款广东农业面源污染治理项目经验，加大农业面源污染监测与治理力度，推进环境友好型种植业示范工程和牲畜废弃物管理示范工程，实施源头控制、过程拦截、末端治理与循环利用相结合的综合防治。农业农村部也在2017年7月专门在广东省江门市世行项目区举办了全国农业面源污染治理现场会，在全国范围内推广广东世行项目农业面源污染治理的经验和做法。目前，项目对农资店农药销售的信息化精准监管模式、福寿螺绿色防控模式等经验已经在广东省全域推广；保护性耕作项目引进并改良的水稻深施肥插秧机、高地隙喷药机等在全国推广。</w:t>
      </w:r>
    </w:p>
    <w:p>
      <w:pPr>
        <w:adjustRightInd w:val="0"/>
        <w:snapToGrid w:val="0"/>
        <w:spacing w:beforeLines="0" w:afterLines="0" w:line="590" w:lineRule="exact"/>
        <w:ind w:left="0" w:leftChars="0" w:firstLine="640" w:firstLineChars="200"/>
        <w:outlineLvl w:val="1"/>
        <w:rPr>
          <w:rFonts w:hint="eastAsia" w:ascii="楷体_GB2312" w:hAnsi="楷体_GB2312" w:eastAsia="楷体_GB2312" w:cs="楷体_GB2312"/>
          <w:b w:val="0"/>
          <w:bCs w:val="0"/>
          <w:color w:val="auto"/>
          <w:kern w:val="0"/>
          <w:sz w:val="32"/>
          <w:szCs w:val="32"/>
        </w:rPr>
      </w:pPr>
      <w:bookmarkStart w:id="119" w:name="_Toc7454"/>
      <w:bookmarkStart w:id="120" w:name="_Toc10968"/>
      <w:bookmarkStart w:id="121" w:name="_Toc104847142"/>
      <w:bookmarkStart w:id="122" w:name="_Toc9798"/>
      <w:bookmarkStart w:id="123" w:name="_Toc104847467"/>
      <w:r>
        <w:rPr>
          <w:rFonts w:hint="eastAsia" w:ascii="楷体_GB2312" w:hAnsi="楷体_GB2312" w:eastAsia="楷体_GB2312" w:cs="楷体_GB2312"/>
          <w:b w:val="0"/>
          <w:bCs w:val="0"/>
          <w:color w:val="auto"/>
          <w:kern w:val="0"/>
          <w:sz w:val="32"/>
          <w:szCs w:val="32"/>
        </w:rPr>
        <w:t>（五）现代农业产业园建设</w:t>
      </w:r>
      <w:bookmarkEnd w:id="119"/>
      <w:bookmarkEnd w:id="120"/>
      <w:bookmarkEnd w:id="121"/>
      <w:bookmarkEnd w:id="122"/>
      <w:bookmarkEnd w:id="123"/>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1.完善联农带农机制，持续巩固脱贫成果。</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为让农民参与分享二三产业增值收益的体制机制，我省创新联农带农机制体制，建立以财政资金折股量化的方式，将省级补助资金不低于10%投入，2020年有省级财政补助资金39000万元投入，将实施主体与当地相对贫困户建立紧密的利益连接，让农户参与产业园建设，保障农民增收，为实现全面脱贫奔康注入了新动能，持续巩固脱贫成果。同时，进一步探索土地入股、土地流转反包、土地托管经营、生产基地入股、订单生产、农民生产基地务工等合作方式，让农民充分享受产业园发展成果，带动农业增效、农户持续增收。2020年-2021年的31个现代农业产业园，吸引返乡创业4758人，吸纳农民就业144545人，实现联农带农226260户。</w:t>
      </w:r>
    </w:p>
    <w:p>
      <w:pPr>
        <w:adjustRightInd w:val="0"/>
        <w:snapToGrid w:val="0"/>
        <w:spacing w:beforeLines="0" w:afterLines="0" w:line="59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2.新型农业经营主体创业创新孵化区不断完善。</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产业园建设聚力招大引强，自创建以来，新型农业经营主体和服务主体农业企业数量日趋增多，规模不断壮大发展。至2020年，已创建31个产业园中农业企业有3569个，其中国家龙头企业11家、省级龙头企业187家、市级龙头企业363家、农民合作社3008家，新型农业主体呈多元化态势，农业规模与经营水平不断提升。同时强化龙头企业、省级合作社示范社带动示范作用，以企业自身发展实际示范农业产业发展模式，引领带动区域发展，完善联结带动机制，带动农民就业增收脱贫致富。</w:t>
      </w:r>
    </w:p>
    <w:p>
      <w:pPr>
        <w:keepNext w:val="0"/>
        <w:keepLines w:val="0"/>
        <w:adjustRightInd w:val="0"/>
        <w:snapToGrid w:val="0"/>
        <w:spacing w:beforeLines="0" w:afterLines="0" w:line="568" w:lineRule="exact"/>
        <w:ind w:firstLine="640" w:firstLineChars="200"/>
        <w:outlineLvl w:val="0"/>
        <w:rPr>
          <w:rFonts w:hint="eastAsia" w:ascii="黑体" w:hAnsi="黑体" w:eastAsia="黑体" w:cs="黑体"/>
          <w:color w:val="auto"/>
          <w:kern w:val="0"/>
          <w:sz w:val="32"/>
          <w:szCs w:val="32"/>
        </w:rPr>
      </w:pPr>
      <w:bookmarkStart w:id="124" w:name="_Toc9048"/>
      <w:bookmarkStart w:id="125" w:name="_Toc414"/>
      <w:bookmarkStart w:id="126" w:name="_Toc104847468"/>
      <w:r>
        <w:rPr>
          <w:rFonts w:hint="eastAsia" w:ascii="黑体" w:hAnsi="黑体" w:eastAsia="黑体" w:cs="黑体"/>
          <w:color w:val="auto"/>
          <w:kern w:val="0"/>
          <w:sz w:val="32"/>
          <w:szCs w:val="32"/>
        </w:rPr>
        <w:t>六、存在问题</w:t>
      </w:r>
      <w:bookmarkEnd w:id="100"/>
      <w:bookmarkEnd w:id="101"/>
      <w:bookmarkEnd w:id="102"/>
      <w:bookmarkEnd w:id="124"/>
      <w:bookmarkEnd w:id="125"/>
      <w:bookmarkEnd w:id="126"/>
    </w:p>
    <w:p>
      <w:pPr>
        <w:adjustRightInd w:val="0"/>
        <w:snapToGrid w:val="0"/>
        <w:spacing w:beforeLines="0" w:afterLines="0" w:line="568" w:lineRule="exact"/>
        <w:ind w:firstLine="640" w:firstLineChars="200"/>
        <w:outlineLvl w:val="1"/>
        <w:rPr>
          <w:rFonts w:hint="eastAsia" w:ascii="楷体_GB2312" w:hAnsi="楷体_GB2312" w:eastAsia="楷体_GB2312" w:cs="楷体_GB2312"/>
          <w:b w:val="0"/>
          <w:bCs w:val="0"/>
          <w:color w:val="auto"/>
          <w:kern w:val="0"/>
          <w:sz w:val="32"/>
          <w:szCs w:val="32"/>
        </w:rPr>
      </w:pPr>
      <w:bookmarkStart w:id="127" w:name="_Toc26618"/>
      <w:bookmarkStart w:id="128" w:name="_Toc104847144"/>
      <w:bookmarkStart w:id="129" w:name="_Toc104847469"/>
      <w:bookmarkStart w:id="130" w:name="_Toc8458"/>
      <w:bookmarkStart w:id="131" w:name="_Toc27806"/>
      <w:r>
        <w:rPr>
          <w:rFonts w:hint="eastAsia" w:ascii="楷体_GB2312" w:hAnsi="楷体_GB2312" w:eastAsia="楷体_GB2312" w:cs="楷体_GB2312"/>
          <w:b w:val="0"/>
          <w:bCs w:val="0"/>
          <w:color w:val="auto"/>
          <w:kern w:val="0"/>
          <w:sz w:val="32"/>
          <w:szCs w:val="32"/>
        </w:rPr>
        <w:t>（一）个别项目资金支出率较低，项目支出率差异较大</w:t>
      </w:r>
      <w:bookmarkEnd w:id="127"/>
      <w:bookmarkEnd w:id="128"/>
      <w:bookmarkEnd w:id="129"/>
      <w:bookmarkEnd w:id="130"/>
      <w:bookmarkEnd w:id="131"/>
    </w:p>
    <w:p>
      <w:pPr>
        <w:adjustRightInd w:val="0"/>
        <w:snapToGrid w:val="0"/>
        <w:spacing w:beforeLines="0" w:afterLines="0" w:line="568" w:lineRule="exact"/>
        <w:ind w:firstLine="640" w:firstLineChars="200"/>
        <w:rPr>
          <w:rFonts w:ascii="仿宋_GB2312" w:hAnsi="仿宋_GB2312" w:cs="仿宋_GB2312"/>
          <w:color w:val="auto"/>
          <w:sz w:val="32"/>
          <w:szCs w:val="32"/>
          <w:lang w:bidi="ar"/>
        </w:rPr>
      </w:pPr>
      <w:r>
        <w:rPr>
          <w:rFonts w:hint="eastAsia" w:ascii="仿宋_GB2312" w:hAnsi="仿宋_GB2312" w:cs="仿宋_GB2312"/>
          <w:color w:val="auto"/>
          <w:sz w:val="32"/>
          <w:szCs w:val="32"/>
          <w:lang w:bidi="ar"/>
        </w:rPr>
        <w:t>2021年省财政共安排专项资金111721万元，总体支出93864.27万元，支出率84.02%。其中科技兴农、农业农村重点试点示范及基地建设、农业农村监测检测、农业农村宣传推广和综合管理及能力建设4个政策任务支出率较低，分别为65.46%、68.75%、76.67%和76.90%。如农业农村监测检测中潮州、茂名和清远市省级动物及动物产品指定道口运转维护多个项目未发生支出。又如仲恺农业工程学院承担的“农业领域为单元的广东省现代农业产业共性关键技术研发创新团队建设项目（林果机器人）”资金支出率为31.80%，支出率低主要原因一是受新冠疫情影响，项目无法正常开展导致经费使用进度不理想。</w:t>
      </w:r>
      <w:r>
        <w:rPr>
          <w:rFonts w:hint="eastAsia" w:ascii="仿宋_GB2312" w:hAnsi="仿宋_GB2312" w:cs="仿宋_GB2312"/>
          <w:color w:val="auto"/>
          <w:sz w:val="32"/>
          <w:szCs w:val="32"/>
        </w:rPr>
        <w:t>二是项目资金下达较晚，部分项目上下级单位之间资金划拨效率较低。</w:t>
      </w:r>
    </w:p>
    <w:p>
      <w:pPr>
        <w:adjustRightInd w:val="0"/>
        <w:snapToGrid w:val="0"/>
        <w:spacing w:beforeLines="0" w:afterLines="0" w:line="568" w:lineRule="exact"/>
        <w:ind w:firstLine="640" w:firstLineChars="200"/>
        <w:outlineLvl w:val="1"/>
        <w:rPr>
          <w:rFonts w:hint="eastAsia" w:ascii="楷体_GB2312" w:hAnsi="楷体_GB2312" w:eastAsia="楷体_GB2312" w:cs="楷体_GB2312"/>
          <w:b w:val="0"/>
          <w:bCs w:val="0"/>
          <w:color w:val="auto"/>
          <w:kern w:val="0"/>
          <w:sz w:val="32"/>
          <w:szCs w:val="32"/>
        </w:rPr>
      </w:pPr>
      <w:bookmarkStart w:id="132" w:name="_Toc9013"/>
      <w:bookmarkStart w:id="133" w:name="_Toc104847470"/>
      <w:bookmarkStart w:id="134" w:name="_Toc12824"/>
      <w:bookmarkStart w:id="135" w:name="_Toc104847145"/>
      <w:bookmarkStart w:id="136" w:name="_Toc25688"/>
      <w:r>
        <w:rPr>
          <w:rFonts w:hint="eastAsia" w:ascii="楷体_GB2312" w:hAnsi="楷体_GB2312" w:eastAsia="楷体_GB2312" w:cs="楷体_GB2312"/>
          <w:b w:val="0"/>
          <w:bCs w:val="0"/>
          <w:color w:val="auto"/>
          <w:kern w:val="0"/>
          <w:sz w:val="32"/>
          <w:szCs w:val="32"/>
        </w:rPr>
        <w:t>（二）部分项目管理流程有待优化，影响建设项目规范性</w:t>
      </w:r>
      <w:bookmarkEnd w:id="132"/>
      <w:bookmarkEnd w:id="133"/>
      <w:bookmarkEnd w:id="134"/>
      <w:bookmarkEnd w:id="135"/>
      <w:bookmarkEnd w:id="136"/>
    </w:p>
    <w:p>
      <w:pPr>
        <w:pStyle w:val="3"/>
        <w:adjustRightInd w:val="0"/>
        <w:snapToGrid w:val="0"/>
        <w:spacing w:beforeLines="0" w:afterLines="0" w:line="568"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分项目建设前期审批环节较多，部分项目实施单位缺少项目建设管理经验，对申请流程不熟悉，导致审批时间较长；部分建设类项目资金使用单位对用地落实、环评、规划、设计、预算，以及投资审核、招投标、建设工程规划许可和施工许可等程序理解不到位，建设过程未能按规范程序执行或因履行程序耗时较长影响进度；部分项目实施单位存在内部单位或职能部门之间沟通不畅，重申报、轻实施问题；个别项目实施单位对项目管理的重要性认识不足，管理不够规范，在网上报送信息方面存在缓报、报送信息不完整等问题。</w:t>
      </w:r>
    </w:p>
    <w:p>
      <w:pPr>
        <w:adjustRightInd w:val="0"/>
        <w:snapToGrid w:val="0"/>
        <w:spacing w:beforeLines="0" w:afterLines="0" w:line="590" w:lineRule="exact"/>
        <w:ind w:firstLine="640" w:firstLineChars="200"/>
        <w:outlineLvl w:val="1"/>
        <w:rPr>
          <w:rFonts w:hint="eastAsia" w:ascii="楷体_GB2312" w:hAnsi="楷体_GB2312" w:eastAsia="楷体_GB2312" w:cs="楷体_GB2312"/>
          <w:b w:val="0"/>
          <w:bCs w:val="0"/>
          <w:color w:val="auto"/>
          <w:kern w:val="0"/>
          <w:sz w:val="32"/>
          <w:szCs w:val="32"/>
        </w:rPr>
      </w:pPr>
      <w:bookmarkStart w:id="137" w:name="_Toc104847146"/>
      <w:bookmarkStart w:id="138" w:name="_Toc104847471"/>
      <w:bookmarkStart w:id="139" w:name="_Toc29153"/>
      <w:bookmarkStart w:id="140" w:name="_Toc32491"/>
      <w:bookmarkStart w:id="141" w:name="_Toc23811"/>
      <w:r>
        <w:rPr>
          <w:rFonts w:hint="eastAsia" w:ascii="楷体_GB2312" w:hAnsi="楷体_GB2312" w:eastAsia="楷体_GB2312" w:cs="楷体_GB2312"/>
          <w:b w:val="0"/>
          <w:bCs w:val="0"/>
          <w:color w:val="auto"/>
          <w:kern w:val="0"/>
          <w:sz w:val="32"/>
          <w:szCs w:val="32"/>
        </w:rPr>
        <w:t>（三）财政政策与产业园政策存在差距，企业经营难度大</w:t>
      </w:r>
      <w:bookmarkEnd w:id="137"/>
      <w:bookmarkEnd w:id="138"/>
      <w:bookmarkEnd w:id="139"/>
      <w:bookmarkEnd w:id="140"/>
      <w:bookmarkEnd w:id="141"/>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省委、省政府为破解金融下乡难的现象，出台金融支持保障力度相关政策，但在执行过程中仍存在园区企业“融资难、融资贵”的现象。归根结底在于园区实施主体均为农业企业，我省农业企业普遍存在制度不健全、资产负债率较高、现金流状况不佳、缴税信息不全面、财务透明度低、土地手续不健全、抵押物少的情况；其生产经营活动受自然气候及环境因素影响大，风险难于把控，且农业品牌普遍市场竞争力不强，企业面临市场与自然双重风险，使之在融资市场天然处于弱势；金融机构在农业企业可抵押资产不足、资信匮乏、投资回报见效慢的情形下，难于有效获取信息评估企业经营能力，是否能满足现代化银行的融资要求，对企业的信誉和抵御风险能力缺乏信心，由此金融机构创新涉农服务意愿低，放贷额度小期限短。产业园实施主体贷款难度较大，能贷款的企业不多，贷款金额不高，期限较短，从而促使产业园贷款贴息资金用量少。</w:t>
      </w:r>
    </w:p>
    <w:p>
      <w:pPr>
        <w:keepNext w:val="0"/>
        <w:keepLines w:val="0"/>
        <w:adjustRightInd w:val="0"/>
        <w:snapToGrid w:val="0"/>
        <w:spacing w:beforeLines="0" w:afterLines="0" w:line="590" w:lineRule="exact"/>
        <w:ind w:left="0" w:leftChars="0" w:firstLine="640" w:firstLineChars="200"/>
        <w:outlineLvl w:val="0"/>
        <w:rPr>
          <w:rFonts w:hint="eastAsia" w:ascii="黑体" w:hAnsi="黑体" w:eastAsia="黑体" w:cs="黑体"/>
          <w:color w:val="auto"/>
          <w:sz w:val="32"/>
          <w:szCs w:val="32"/>
        </w:rPr>
      </w:pPr>
      <w:bookmarkStart w:id="142" w:name="_Toc25993"/>
      <w:bookmarkStart w:id="143" w:name="_Toc26142"/>
      <w:bookmarkStart w:id="144" w:name="_Toc104847472"/>
      <w:r>
        <w:rPr>
          <w:rFonts w:hint="eastAsia" w:ascii="黑体" w:hAnsi="黑体" w:eastAsia="黑体" w:cs="黑体"/>
          <w:color w:val="auto"/>
          <w:kern w:val="0"/>
          <w:sz w:val="32"/>
          <w:szCs w:val="32"/>
        </w:rPr>
        <w:t>七、</w:t>
      </w:r>
      <w:r>
        <w:rPr>
          <w:rFonts w:hint="eastAsia" w:ascii="黑体" w:hAnsi="黑体" w:eastAsia="黑体" w:cs="黑体"/>
          <w:bCs/>
          <w:color w:val="auto"/>
          <w:sz w:val="32"/>
          <w:szCs w:val="32"/>
          <w:lang w:bidi="ar"/>
        </w:rPr>
        <w:t>下一步工作计划</w:t>
      </w:r>
      <w:bookmarkEnd w:id="103"/>
      <w:bookmarkEnd w:id="142"/>
      <w:bookmarkEnd w:id="143"/>
      <w:bookmarkEnd w:id="144"/>
    </w:p>
    <w:p>
      <w:pPr>
        <w:adjustRightInd w:val="0"/>
        <w:snapToGrid w:val="0"/>
        <w:spacing w:beforeLines="0" w:afterLines="0" w:line="568" w:lineRule="exact"/>
        <w:ind w:firstLine="640" w:firstLineChars="200"/>
        <w:outlineLvl w:val="1"/>
        <w:rPr>
          <w:rFonts w:hint="eastAsia" w:ascii="楷体_GB2312" w:hAnsi="楷体_GB2312" w:eastAsia="楷体_GB2312" w:cs="楷体_GB2312"/>
          <w:b w:val="0"/>
          <w:bCs w:val="0"/>
          <w:color w:val="auto"/>
          <w:kern w:val="0"/>
          <w:sz w:val="32"/>
          <w:szCs w:val="32"/>
        </w:rPr>
      </w:pPr>
      <w:bookmarkStart w:id="145" w:name="_Toc5938"/>
      <w:bookmarkStart w:id="146" w:name="_Toc15614"/>
      <w:bookmarkStart w:id="147" w:name="_Toc104847473"/>
      <w:bookmarkStart w:id="148" w:name="_Toc104847148"/>
      <w:bookmarkStart w:id="149" w:name="_Toc2362"/>
      <w:r>
        <w:rPr>
          <w:rFonts w:hint="eastAsia" w:ascii="楷体_GB2312" w:hAnsi="楷体_GB2312" w:eastAsia="楷体_GB2312" w:cs="楷体_GB2312"/>
          <w:b w:val="0"/>
          <w:bCs w:val="0"/>
          <w:color w:val="auto"/>
          <w:kern w:val="0"/>
          <w:sz w:val="32"/>
          <w:szCs w:val="32"/>
        </w:rPr>
        <w:t>（一）优化资金管理流程，加强业务培训和典型经验推广</w:t>
      </w:r>
      <w:bookmarkEnd w:id="145"/>
      <w:bookmarkEnd w:id="146"/>
      <w:bookmarkEnd w:id="147"/>
      <w:bookmarkEnd w:id="148"/>
      <w:bookmarkEnd w:id="149"/>
    </w:p>
    <w:p>
      <w:pPr>
        <w:adjustRightInd w:val="0"/>
        <w:snapToGrid w:val="0"/>
        <w:spacing w:beforeLines="0" w:afterLines="0" w:line="590" w:lineRule="exact"/>
        <w:ind w:firstLine="640" w:firstLineChars="200"/>
        <w:rPr>
          <w:rFonts w:ascii="仿宋_GB2312" w:hAnsi="仿宋_GB2312" w:cs="仿宋_GB2312"/>
          <w:color w:val="auto"/>
          <w:sz w:val="32"/>
          <w:szCs w:val="32"/>
          <w:lang w:bidi="ar"/>
        </w:rPr>
      </w:pPr>
      <w:r>
        <w:rPr>
          <w:rFonts w:hint="eastAsia" w:ascii="仿宋_GB2312" w:hAnsi="仿宋_GB2312" w:cs="仿宋_GB2312"/>
          <w:color w:val="auto"/>
          <w:sz w:val="32"/>
          <w:szCs w:val="32"/>
          <w:lang w:bidi="ar"/>
        </w:rPr>
        <w:t>一是提高项目预算编制质量，细化预算执行环节。根据相关标准加强对项目预算的审核，进一步强化预算编制的科学性、精准性。编制专项资金预算时，加强项目前期论证，合理安排各项经费指标。对可能产生的费用考虑周全，避免执行过程中一些费用无法归口或超标准无法支付。二是适当提前下达专项资金，从源头上保障项目资金使用效率；提高上下级单位之间资金划拨效率，落实省级专项资金管理办法有关专项资金在上下级单位之间的划拨期限，对超期未划拨的单位进行问责，促进专项资金尽快拨付到项目实施单位。三是加强相关业务管理人员培训，提高工作效率。做好相关项目实施人员及财务管理人员的岗位培训，尤其是加强科技项目财务管理方面的培训，孰悉项目管理流程，学习财务工作相关知识，提高工作人员财务知识水平和报账能力。加强新系统数据录入的培训，提高系统数据录入工作效率。</w:t>
      </w:r>
    </w:p>
    <w:p>
      <w:pPr>
        <w:adjustRightInd w:val="0"/>
        <w:snapToGrid w:val="0"/>
        <w:spacing w:beforeLines="0" w:afterLines="0" w:line="568" w:lineRule="exact"/>
        <w:ind w:firstLine="640" w:firstLineChars="200"/>
        <w:outlineLvl w:val="1"/>
        <w:rPr>
          <w:rFonts w:hint="eastAsia" w:ascii="楷体_GB2312" w:hAnsi="楷体_GB2312" w:eastAsia="楷体_GB2312" w:cs="楷体_GB2312"/>
          <w:b w:val="0"/>
          <w:bCs w:val="0"/>
          <w:color w:val="auto"/>
          <w:spacing w:val="-6"/>
          <w:kern w:val="0"/>
          <w:sz w:val="32"/>
          <w:szCs w:val="32"/>
        </w:rPr>
      </w:pPr>
      <w:bookmarkStart w:id="150" w:name="_Toc6939"/>
      <w:bookmarkStart w:id="151" w:name="_Toc18375"/>
      <w:bookmarkStart w:id="152" w:name="_Toc104847474"/>
      <w:bookmarkStart w:id="153" w:name="_Toc104847149"/>
      <w:bookmarkStart w:id="154" w:name="_Toc28066"/>
      <w:r>
        <w:rPr>
          <w:rFonts w:hint="eastAsia" w:ascii="楷体_GB2312" w:hAnsi="楷体_GB2312" w:eastAsia="楷体_GB2312" w:cs="楷体_GB2312"/>
          <w:b w:val="0"/>
          <w:bCs w:val="0"/>
          <w:color w:val="auto"/>
          <w:kern w:val="0"/>
          <w:sz w:val="32"/>
          <w:szCs w:val="32"/>
        </w:rPr>
        <w:t>（二）</w:t>
      </w:r>
      <w:r>
        <w:rPr>
          <w:rFonts w:hint="eastAsia" w:ascii="楷体_GB2312" w:hAnsi="楷体_GB2312" w:eastAsia="楷体_GB2312" w:cs="楷体_GB2312"/>
          <w:b w:val="0"/>
          <w:bCs w:val="0"/>
          <w:color w:val="auto"/>
          <w:spacing w:val="-6"/>
          <w:kern w:val="0"/>
          <w:sz w:val="32"/>
          <w:szCs w:val="32"/>
        </w:rPr>
        <w:t>强化项目实施单位的主体责任，健全项目监督管理机制</w:t>
      </w:r>
      <w:bookmarkEnd w:id="150"/>
      <w:bookmarkEnd w:id="151"/>
      <w:bookmarkEnd w:id="152"/>
      <w:bookmarkEnd w:id="153"/>
      <w:bookmarkEnd w:id="154"/>
    </w:p>
    <w:p>
      <w:pPr>
        <w:adjustRightInd w:val="0"/>
        <w:snapToGrid w:val="0"/>
        <w:spacing w:beforeLines="0" w:afterLines="0" w:line="59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一是完善绩效考核机制，促使项目实施单位重视专项资金使用绩效。强化项目实施单位的主体责任，加强各级业务主管部门对项目的监督管理，落实监管责任，及时发现和解决项目实施过程出现的问题。按规定做好对专项资金项目的检查、督导、整改、考核验收等，确保专项资金安全有效地使用，达成专项资金的预期效果。二是指导项目单位完善项目管理制度，强化对项目全过程管理，提高工作效率，并及时完成系统信息上报等工作，全程实时监控项目进度、绩效目标完成情况和预算执行率。三是对进度较慢的项目，采取督查、通报、约谈等方式，督促项目实施单位加快建设进度。重视技术赋能，发挥好各类云平台、APP等信息技术工具对优化项目和资金管理的推动作用。</w:t>
      </w:r>
    </w:p>
    <w:p>
      <w:pPr>
        <w:adjustRightInd w:val="0"/>
        <w:snapToGrid w:val="0"/>
        <w:spacing w:beforeLines="0" w:afterLines="0" w:line="568" w:lineRule="exact"/>
        <w:ind w:firstLine="640" w:firstLineChars="200"/>
        <w:outlineLvl w:val="1"/>
        <w:rPr>
          <w:rFonts w:hint="eastAsia" w:ascii="楷体_GB2312" w:hAnsi="楷体_GB2312" w:eastAsia="楷体_GB2312" w:cs="楷体_GB2312"/>
          <w:b w:val="0"/>
          <w:bCs w:val="0"/>
          <w:color w:val="auto"/>
          <w:kern w:val="0"/>
          <w:sz w:val="32"/>
          <w:szCs w:val="32"/>
        </w:rPr>
      </w:pPr>
      <w:bookmarkStart w:id="155" w:name="_Toc5178"/>
      <w:bookmarkStart w:id="156" w:name="_Toc104847150"/>
      <w:bookmarkStart w:id="157" w:name="_Toc17356"/>
      <w:bookmarkStart w:id="158" w:name="_Toc1853"/>
      <w:bookmarkStart w:id="159" w:name="_Toc104847475"/>
      <w:r>
        <w:rPr>
          <w:rFonts w:hint="eastAsia" w:ascii="楷体_GB2312" w:hAnsi="楷体_GB2312" w:eastAsia="楷体_GB2312" w:cs="楷体_GB2312"/>
          <w:b w:val="0"/>
          <w:bCs w:val="0"/>
          <w:color w:val="auto"/>
          <w:kern w:val="0"/>
          <w:sz w:val="32"/>
          <w:szCs w:val="32"/>
        </w:rPr>
        <w:t>（三）优化产业园建设政策措施，保障产业园建设有序推进</w:t>
      </w:r>
      <w:bookmarkEnd w:id="155"/>
      <w:bookmarkEnd w:id="156"/>
      <w:bookmarkEnd w:id="157"/>
      <w:bookmarkEnd w:id="158"/>
      <w:bookmarkEnd w:id="159"/>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针对产业园企业贷款难，贴息比例低，建议各地加大财政在金融、保险及贷款贴息的扶持力度，将政府基金及地方金融资金投入或帮扶公益性的服务，纳入政府绩效考核范围，制定政策引导及鼓励融资担保机构降低费率支持产业园小企业建设，让更多的金融机构参与到产业园项目建设中。同时应完善农业保险机制，扩大政策性农业保险覆盖范围，将产业园特色农产品纳入保险覆盖范围，进一步增强农户、经营主体抵御灾害风险的能力，降低农业生产风险。</w:t>
      </w: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p>
    <w:p>
      <w:pPr>
        <w:adjustRightInd w:val="0"/>
        <w:snapToGrid w:val="0"/>
        <w:spacing w:beforeLines="0" w:afterLines="0" w:line="59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附件：</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2021年省级乡村振兴战略专项省级组织实施项目</w:t>
      </w:r>
    </w:p>
    <w:p>
      <w:pPr>
        <w:adjustRightInd w:val="0"/>
        <w:snapToGrid w:val="0"/>
        <w:spacing w:beforeLines="0" w:afterLines="0" w:line="590" w:lineRule="exact"/>
        <w:ind w:firstLine="1920" w:firstLineChars="600"/>
        <w:rPr>
          <w:rFonts w:hint="eastAsia" w:ascii="仿宋_GB2312" w:hAnsi="仿宋_GB2312" w:cs="仿宋_GB2312"/>
          <w:color w:val="auto"/>
          <w:sz w:val="32"/>
          <w:szCs w:val="32"/>
        </w:rPr>
      </w:pPr>
      <w:r>
        <w:rPr>
          <w:rFonts w:hint="eastAsia" w:ascii="仿宋_GB2312" w:hAnsi="仿宋_GB2312" w:cs="仿宋_GB2312"/>
          <w:color w:val="auto"/>
          <w:sz w:val="32"/>
          <w:szCs w:val="32"/>
        </w:rPr>
        <w:t>资金绩效自评评分表</w:t>
      </w:r>
    </w:p>
    <w:p>
      <w:pPr>
        <w:adjustRightInd w:val="0"/>
        <w:snapToGrid w:val="0"/>
        <w:spacing w:beforeLines="0" w:afterLines="0" w:line="590" w:lineRule="exact"/>
        <w:ind w:firstLine="1600" w:firstLineChars="5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2-1.佐证材料清单（2021科技兴农）</w:t>
      </w:r>
    </w:p>
    <w:p>
      <w:pPr>
        <w:adjustRightInd w:val="0"/>
        <w:snapToGrid w:val="0"/>
        <w:spacing w:beforeLines="0" w:afterLines="0" w:line="590" w:lineRule="exact"/>
        <w:ind w:firstLine="1600" w:firstLineChars="5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2-2.佐证材料清单（2021农业农村监测检测）</w:t>
      </w:r>
    </w:p>
    <w:p>
      <w:pPr>
        <w:adjustRightInd w:val="0"/>
        <w:snapToGrid w:val="0"/>
        <w:spacing w:beforeLines="0" w:afterLines="0" w:line="590" w:lineRule="exact"/>
        <w:ind w:left="0" w:leftChars="0" w:firstLine="1600" w:firstLineChars="5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2-3.佐证材料清单（2021年农业农村宣传推广和综</w:t>
      </w:r>
    </w:p>
    <w:p>
      <w:pPr>
        <w:adjustRightInd w:val="0"/>
        <w:snapToGrid w:val="0"/>
        <w:spacing w:beforeLines="0" w:afterLines="0" w:line="590" w:lineRule="exact"/>
        <w:ind w:left="0" w:leftChars="0" w:firstLine="2240" w:firstLineChars="7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合管理及能力建设）</w:t>
      </w:r>
    </w:p>
    <w:p>
      <w:pPr>
        <w:adjustRightInd w:val="0"/>
        <w:snapToGrid w:val="0"/>
        <w:spacing w:beforeLines="0" w:afterLines="0" w:line="590" w:lineRule="exact"/>
        <w:ind w:left="576" w:leftChars="192" w:firstLine="960" w:firstLineChars="3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2-4.佐证材料清单（2021年农业农村重点试点示范及</w:t>
      </w:r>
    </w:p>
    <w:p>
      <w:pPr>
        <w:adjustRightInd w:val="0"/>
        <w:snapToGrid w:val="0"/>
        <w:spacing w:beforeLines="0" w:afterLines="0" w:line="590" w:lineRule="exact"/>
        <w:ind w:left="576" w:leftChars="192" w:firstLine="1600" w:firstLineChars="5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基地建设）</w:t>
      </w:r>
    </w:p>
    <w:p>
      <w:pPr>
        <w:adjustRightInd w:val="0"/>
        <w:snapToGrid w:val="0"/>
        <w:spacing w:beforeLines="0" w:afterLines="0" w:line="590" w:lineRule="exact"/>
        <w:ind w:firstLine="1600" w:firstLineChars="500"/>
        <w:rPr>
          <w:rFonts w:hint="eastAsia" w:ascii="仿宋_GB2312" w:hAnsi="仿宋_GB2312" w:cs="仿宋_GB2312"/>
          <w:color w:val="auto"/>
          <w:spacing w:val="-6"/>
          <w:sz w:val="32"/>
          <w:szCs w:val="32"/>
          <w:lang w:val="en-US" w:eastAsia="zh-CN"/>
        </w:rPr>
      </w:pPr>
      <w:r>
        <w:rPr>
          <w:rFonts w:hint="eastAsia" w:ascii="仿宋_GB2312" w:hAnsi="仿宋_GB2312" w:cs="仿宋_GB2312"/>
          <w:color w:val="auto"/>
          <w:sz w:val="32"/>
          <w:szCs w:val="32"/>
          <w:lang w:val="en-US" w:eastAsia="zh-CN"/>
        </w:rPr>
        <w:t>2-5.</w:t>
      </w:r>
      <w:r>
        <w:rPr>
          <w:rFonts w:hint="eastAsia" w:ascii="仿宋_GB2312" w:hAnsi="仿宋_GB2312" w:cs="仿宋_GB2312"/>
          <w:color w:val="auto"/>
          <w:spacing w:val="-6"/>
          <w:sz w:val="32"/>
          <w:szCs w:val="32"/>
          <w:lang w:val="en-US" w:eastAsia="zh-CN"/>
        </w:rPr>
        <w:t>佐证材料清单（2021年省级现代农业产业园建设）</w:t>
      </w:r>
    </w:p>
    <w:p>
      <w:pPr>
        <w:adjustRightInd w:val="0"/>
        <w:snapToGrid w:val="0"/>
        <w:spacing w:beforeLines="0" w:afterLines="0" w:line="590" w:lineRule="exact"/>
        <w:ind w:left="600" w:leftChars="200" w:firstLine="960" w:firstLineChars="3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3.5个政策任务资金绩效自评指标评分表（电子版）</w:t>
      </w:r>
    </w:p>
    <w:p>
      <w:pPr>
        <w:adjustRightInd w:val="0"/>
        <w:snapToGrid w:val="0"/>
        <w:spacing w:beforeLines="0" w:afterLines="0" w:line="590" w:lineRule="exact"/>
        <w:ind w:left="600" w:leftChars="200" w:firstLine="960" w:firstLineChars="3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4.作证材料（电子版）</w:t>
      </w:r>
    </w:p>
    <w:p>
      <w:pPr>
        <w:pStyle w:val="2"/>
        <w:rPr>
          <w:rFonts w:hint="default"/>
          <w:lang w:val="en-US" w:eastAsia="zh-CN"/>
        </w:rPr>
      </w:pPr>
    </w:p>
    <w:p>
      <w:pPr>
        <w:rPr>
          <w:rFonts w:hint="default"/>
          <w:lang w:val="en-US" w:eastAsia="zh-CN"/>
        </w:rPr>
        <w:sectPr>
          <w:footerReference r:id="rId8" w:type="default"/>
          <w:footerReference r:id="rId9" w:type="even"/>
          <w:pgSz w:w="11906" w:h="16838"/>
          <w:pgMar w:top="1871" w:right="1531" w:bottom="1871" w:left="1531" w:header="851" w:footer="1417" w:gutter="0"/>
          <w:pgBorders>
            <w:top w:val="none" w:sz="0" w:space="0"/>
            <w:left w:val="none" w:sz="0" w:space="0"/>
            <w:bottom w:val="none" w:sz="0" w:space="0"/>
            <w:right w:val="none" w:sz="0" w:space="0"/>
          </w:pgBorders>
          <w:pgNumType w:fmt="decimal" w:start="1"/>
          <w:cols w:space="0" w:num="1"/>
          <w:rtlGutter w:val="0"/>
          <w:docGrid w:type="lines" w:linePitch="595" w:charSpace="0"/>
        </w:sectPr>
      </w:pPr>
    </w:p>
    <w:p>
      <w:pPr>
        <w:adjustRightInd w:val="0"/>
        <w:snapToGrid w:val="0"/>
        <w:spacing w:line="580" w:lineRule="exact"/>
        <w:jc w:val="left"/>
        <w:rPr>
          <w:rFonts w:hint="eastAsia" w:ascii="黑体" w:hAnsi="黑体" w:eastAsia="黑体"/>
          <w:color w:val="auto"/>
          <w:sz w:val="32"/>
          <w:szCs w:val="28"/>
          <w:lang w:val="en-US" w:eastAsia="zh-CN"/>
        </w:rPr>
      </w:pPr>
      <w:bookmarkStart w:id="160" w:name="_Toc28472"/>
      <w:bookmarkStart w:id="161" w:name="_Toc3585"/>
      <w:bookmarkStart w:id="162" w:name="_Toc104847476"/>
      <w:r>
        <w:rPr>
          <w:rFonts w:hint="eastAsia" w:ascii="黑体" w:hAnsi="黑体" w:eastAsia="黑体"/>
          <w:color w:val="auto"/>
          <w:sz w:val="32"/>
          <w:szCs w:val="28"/>
        </w:rPr>
        <w:t>附件</w:t>
      </w:r>
      <w:bookmarkEnd w:id="160"/>
      <w:bookmarkEnd w:id="161"/>
      <w:bookmarkEnd w:id="162"/>
      <w:r>
        <w:rPr>
          <w:rFonts w:hint="eastAsia" w:ascii="黑体" w:hAnsi="黑体" w:eastAsia="黑体"/>
          <w:color w:val="auto"/>
          <w:sz w:val="32"/>
          <w:szCs w:val="28"/>
          <w:lang w:val="en-US" w:eastAsia="zh-CN"/>
        </w:rPr>
        <w:t>1</w:t>
      </w:r>
    </w:p>
    <w:p>
      <w:pPr>
        <w:pStyle w:val="15"/>
        <w:adjustRightInd w:val="0"/>
        <w:snapToGrid w:val="0"/>
        <w:spacing w:line="580" w:lineRule="exact"/>
        <w:ind w:firstLine="562"/>
        <w:jc w:val="center"/>
        <w:rPr>
          <w:rFonts w:hint="eastAsia" w:ascii="方正小标宋简体" w:hAnsi="方正小标宋简体" w:eastAsia="方正小标宋简体" w:cs="方正小标宋简体"/>
          <w:b w:val="0"/>
          <w:bCs w:val="0"/>
          <w:color w:val="auto"/>
          <w:sz w:val="44"/>
          <w:szCs w:val="40"/>
        </w:rPr>
      </w:pPr>
      <w:r>
        <w:rPr>
          <w:rFonts w:hint="eastAsia" w:ascii="方正小标宋简体" w:hAnsi="方正小标宋简体" w:eastAsia="方正小标宋简体" w:cs="方正小标宋简体"/>
          <w:b w:val="0"/>
          <w:bCs w:val="0"/>
          <w:color w:val="auto"/>
          <w:sz w:val="44"/>
          <w:szCs w:val="40"/>
        </w:rPr>
        <w:t>2021年省级乡村振兴战略专项省级组织实施项目资金</w:t>
      </w:r>
    </w:p>
    <w:p>
      <w:pPr>
        <w:pStyle w:val="15"/>
        <w:adjustRightInd w:val="0"/>
        <w:snapToGrid w:val="0"/>
        <w:spacing w:line="580" w:lineRule="exact"/>
        <w:ind w:firstLine="562"/>
        <w:jc w:val="center"/>
        <w:rPr>
          <w:rFonts w:hint="eastAsia" w:ascii="方正小标宋简体" w:hAnsi="方正小标宋简体" w:eastAsia="方正小标宋简体" w:cs="方正小标宋简体"/>
          <w:b w:val="0"/>
          <w:bCs w:val="0"/>
          <w:color w:val="auto"/>
          <w:sz w:val="44"/>
          <w:szCs w:val="40"/>
        </w:rPr>
      </w:pPr>
      <w:r>
        <w:rPr>
          <w:rFonts w:hint="eastAsia" w:ascii="方正小标宋简体" w:hAnsi="方正小标宋简体" w:eastAsia="方正小标宋简体" w:cs="方正小标宋简体"/>
          <w:b w:val="0"/>
          <w:bCs w:val="0"/>
          <w:color w:val="auto"/>
          <w:sz w:val="44"/>
          <w:szCs w:val="40"/>
        </w:rPr>
        <w:t>绩效自评得分汇总表</w:t>
      </w:r>
    </w:p>
    <w:tbl>
      <w:tblPr>
        <w:tblStyle w:val="8"/>
        <w:tblW w:w="13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1066"/>
        <w:gridCol w:w="959"/>
        <w:gridCol w:w="1064"/>
        <w:gridCol w:w="1443"/>
        <w:gridCol w:w="1077"/>
        <w:gridCol w:w="4501"/>
        <w:gridCol w:w="1051"/>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jc w:val="center"/>
        </w:trPr>
        <w:tc>
          <w:tcPr>
            <w:tcW w:w="1797" w:type="dxa"/>
            <w:gridSpan w:val="2"/>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一级指标</w:t>
            </w:r>
          </w:p>
        </w:tc>
        <w:tc>
          <w:tcPr>
            <w:tcW w:w="2023" w:type="dxa"/>
            <w:gridSpan w:val="2"/>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二级指标</w:t>
            </w:r>
          </w:p>
        </w:tc>
        <w:tc>
          <w:tcPr>
            <w:tcW w:w="2520" w:type="dxa"/>
            <w:gridSpan w:val="2"/>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三级指标</w:t>
            </w:r>
          </w:p>
        </w:tc>
        <w:tc>
          <w:tcPr>
            <w:tcW w:w="5552" w:type="dxa"/>
            <w:gridSpan w:val="2"/>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四级指标</w:t>
            </w:r>
          </w:p>
        </w:tc>
        <w:tc>
          <w:tcPr>
            <w:tcW w:w="1168"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自评分数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名称</w:t>
            </w:r>
          </w:p>
        </w:tc>
        <w:tc>
          <w:tcPr>
            <w:tcW w:w="1066"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权重(%)</w:t>
            </w:r>
          </w:p>
        </w:tc>
        <w:tc>
          <w:tcPr>
            <w:tcW w:w="959"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名称</w:t>
            </w:r>
          </w:p>
        </w:tc>
        <w:tc>
          <w:tcPr>
            <w:tcW w:w="1064"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权重(%)</w:t>
            </w:r>
          </w:p>
        </w:tc>
        <w:tc>
          <w:tcPr>
            <w:tcW w:w="1443"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名称</w:t>
            </w:r>
          </w:p>
        </w:tc>
        <w:tc>
          <w:tcPr>
            <w:tcW w:w="1077"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权重(%)</w:t>
            </w:r>
          </w:p>
        </w:tc>
        <w:tc>
          <w:tcPr>
            <w:tcW w:w="4501"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名称</w:t>
            </w:r>
          </w:p>
        </w:tc>
        <w:tc>
          <w:tcPr>
            <w:tcW w:w="1051"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权重(%)</w:t>
            </w:r>
          </w:p>
        </w:tc>
        <w:tc>
          <w:tcPr>
            <w:tcW w:w="1168" w:type="dxa"/>
            <w:shd w:val="clear" w:color="auto" w:fill="auto"/>
            <w:vAlign w:val="center"/>
          </w:tcPr>
          <w:p>
            <w:pPr>
              <w:widowControl/>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决策</w:t>
            </w:r>
          </w:p>
        </w:tc>
        <w:tc>
          <w:tcPr>
            <w:tcW w:w="1066"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20</w:t>
            </w:r>
          </w:p>
        </w:tc>
        <w:tc>
          <w:tcPr>
            <w:tcW w:w="959" w:type="dxa"/>
            <w:vMerge w:val="restart"/>
            <w:shd w:val="clear" w:color="auto" w:fill="auto"/>
            <w:vAlign w:val="center"/>
          </w:tcPr>
          <w:p>
            <w:pPr>
              <w:widowControl/>
              <w:jc w:val="center"/>
              <w:textAlignment w:val="center"/>
              <w:rPr>
                <w:rFonts w:hint="eastAsia" w:ascii="仿宋_GB2312" w:hAnsi="仿宋_GB2312" w:cs="仿宋_GB2312"/>
                <w:color w:val="auto"/>
                <w:sz w:val="21"/>
                <w:szCs w:val="21"/>
              </w:rPr>
            </w:pPr>
            <w:r>
              <w:rPr>
                <w:rFonts w:hint="eastAsia" w:ascii="仿宋_GB2312" w:hAnsi="仿宋_GB2312" w:cs="仿宋_GB2312"/>
                <w:color w:val="auto"/>
                <w:sz w:val="21"/>
                <w:szCs w:val="21"/>
              </w:rPr>
              <w:t>项目</w:t>
            </w:r>
          </w:p>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立项</w:t>
            </w:r>
          </w:p>
        </w:tc>
        <w:tc>
          <w:tcPr>
            <w:tcW w:w="1064"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12</w:t>
            </w: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论证决策</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论证充分性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目标设置</w:t>
            </w:r>
          </w:p>
        </w:tc>
        <w:tc>
          <w:tcPr>
            <w:tcW w:w="1077"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6</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完整性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77"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合理性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77"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可衡量性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保障措施</w:t>
            </w:r>
          </w:p>
        </w:tc>
        <w:tc>
          <w:tcPr>
            <w:tcW w:w="1077"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制度完整性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77"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计划安排合理性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资金落实</w:t>
            </w:r>
          </w:p>
        </w:tc>
        <w:tc>
          <w:tcPr>
            <w:tcW w:w="1064"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8</w:t>
            </w:r>
          </w:p>
        </w:tc>
        <w:tc>
          <w:tcPr>
            <w:tcW w:w="1443"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资金到位</w:t>
            </w:r>
          </w:p>
        </w:tc>
        <w:tc>
          <w:tcPr>
            <w:tcW w:w="1077"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资金到位率</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77"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资金到位及时性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资金分配</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资金分配合理性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过程</w:t>
            </w:r>
          </w:p>
        </w:tc>
        <w:tc>
          <w:tcPr>
            <w:tcW w:w="1066"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20</w:t>
            </w:r>
          </w:p>
        </w:tc>
        <w:tc>
          <w:tcPr>
            <w:tcW w:w="959" w:type="dxa"/>
            <w:vMerge w:val="restart"/>
            <w:shd w:val="clear" w:color="auto" w:fill="auto"/>
            <w:vAlign w:val="center"/>
          </w:tcPr>
          <w:p>
            <w:pPr>
              <w:widowControl/>
              <w:jc w:val="center"/>
              <w:textAlignment w:val="center"/>
              <w:rPr>
                <w:rFonts w:hint="eastAsia" w:ascii="仿宋_GB2312" w:hAnsi="仿宋_GB2312" w:cs="仿宋_GB2312"/>
                <w:color w:val="auto"/>
                <w:sz w:val="21"/>
                <w:szCs w:val="21"/>
              </w:rPr>
            </w:pPr>
            <w:r>
              <w:rPr>
                <w:rFonts w:hint="eastAsia" w:ascii="仿宋_GB2312" w:hAnsi="仿宋_GB2312" w:cs="仿宋_GB2312"/>
                <w:color w:val="auto"/>
                <w:sz w:val="21"/>
                <w:szCs w:val="21"/>
              </w:rPr>
              <w:t>资金</w:t>
            </w:r>
          </w:p>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管理</w:t>
            </w:r>
          </w:p>
        </w:tc>
        <w:tc>
          <w:tcPr>
            <w:tcW w:w="1064"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12</w:t>
            </w: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资金支付</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6</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资金支出率</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6</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支出规范性</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6</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支出规范性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6</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restart"/>
            <w:shd w:val="clear" w:color="auto" w:fill="auto"/>
            <w:vAlign w:val="center"/>
          </w:tcPr>
          <w:p>
            <w:pPr>
              <w:widowControl/>
              <w:jc w:val="center"/>
              <w:textAlignment w:val="center"/>
              <w:rPr>
                <w:rFonts w:hint="eastAsia" w:ascii="仿宋_GB2312" w:hAnsi="仿宋_GB2312" w:cs="仿宋_GB2312"/>
                <w:color w:val="auto"/>
                <w:sz w:val="21"/>
                <w:szCs w:val="21"/>
              </w:rPr>
            </w:pPr>
            <w:r>
              <w:rPr>
                <w:rFonts w:hint="eastAsia" w:ascii="仿宋_GB2312" w:hAnsi="仿宋_GB2312" w:cs="仿宋_GB2312"/>
                <w:color w:val="auto"/>
                <w:sz w:val="21"/>
                <w:szCs w:val="21"/>
              </w:rPr>
              <w:t>事项</w:t>
            </w:r>
          </w:p>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管理</w:t>
            </w:r>
          </w:p>
        </w:tc>
        <w:tc>
          <w:tcPr>
            <w:tcW w:w="1064"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8</w:t>
            </w: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实施程序</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程序规范性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管理情况</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监管有效性</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产出</w:t>
            </w:r>
          </w:p>
        </w:tc>
        <w:tc>
          <w:tcPr>
            <w:tcW w:w="1066"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30</w:t>
            </w:r>
          </w:p>
        </w:tc>
        <w:tc>
          <w:tcPr>
            <w:tcW w:w="959"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经济性</w:t>
            </w:r>
          </w:p>
        </w:tc>
        <w:tc>
          <w:tcPr>
            <w:tcW w:w="1064"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w:t>
            </w: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预算控制</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预算控制</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成本控制</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成本节约（成本指标）</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效率性</w:t>
            </w:r>
          </w:p>
        </w:tc>
        <w:tc>
          <w:tcPr>
            <w:tcW w:w="1064"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25</w:t>
            </w: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完成进度</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 xml:space="preserve">17.11 </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5项政策任务产出数量指标完成情况</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17.11</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完成质量</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 xml:space="preserve">4.55 </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5项政策任务产出质量指标完成情况</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4.55</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6"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959"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vMerge w:val="continue"/>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时效指标</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 xml:space="preserve">3.34 </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5项政策任务产出时效指标完成情况</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3.34</w:t>
            </w:r>
          </w:p>
        </w:tc>
        <w:tc>
          <w:tcPr>
            <w:tcW w:w="1168" w:type="dxa"/>
            <w:shd w:val="clear" w:color="auto" w:fill="auto"/>
            <w:noWrap/>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效益</w:t>
            </w:r>
          </w:p>
        </w:tc>
        <w:tc>
          <w:tcPr>
            <w:tcW w:w="1066"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30</w:t>
            </w:r>
          </w:p>
        </w:tc>
        <w:tc>
          <w:tcPr>
            <w:tcW w:w="959"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效果性</w:t>
            </w:r>
          </w:p>
        </w:tc>
        <w:tc>
          <w:tcPr>
            <w:tcW w:w="1064" w:type="dxa"/>
            <w:vMerge w:val="restart"/>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25</w:t>
            </w: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ascii="仿宋_GB2312" w:hAnsi="仿宋_GB2312" w:cs="仿宋_GB2312"/>
                <w:color w:val="auto"/>
                <w:sz w:val="21"/>
                <w:szCs w:val="21"/>
              </w:rPr>
              <w:t>经济效益</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 xml:space="preserve">2.18 </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5项政策任务经济效益指标完成情况</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2.18</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jc w:val="center"/>
              <w:rPr>
                <w:rFonts w:ascii="宋体" w:hAnsi="宋体" w:eastAsia="宋体" w:cs="宋体"/>
                <w:color w:val="auto"/>
                <w:sz w:val="21"/>
                <w:szCs w:val="21"/>
              </w:rPr>
            </w:pPr>
          </w:p>
        </w:tc>
        <w:tc>
          <w:tcPr>
            <w:tcW w:w="1066" w:type="dxa"/>
            <w:vMerge w:val="continue"/>
            <w:shd w:val="clear" w:color="auto" w:fill="auto"/>
            <w:vAlign w:val="center"/>
          </w:tcPr>
          <w:p>
            <w:pPr>
              <w:jc w:val="center"/>
              <w:rPr>
                <w:rFonts w:ascii="宋体" w:hAnsi="宋体" w:eastAsia="宋体" w:cs="宋体"/>
                <w:color w:val="auto"/>
                <w:sz w:val="21"/>
                <w:szCs w:val="21"/>
              </w:rPr>
            </w:pPr>
          </w:p>
        </w:tc>
        <w:tc>
          <w:tcPr>
            <w:tcW w:w="959" w:type="dxa"/>
            <w:vMerge w:val="continue"/>
            <w:shd w:val="clear" w:color="auto" w:fill="auto"/>
            <w:vAlign w:val="center"/>
          </w:tcPr>
          <w:p>
            <w:pPr>
              <w:jc w:val="center"/>
              <w:rPr>
                <w:rFonts w:ascii="宋体" w:hAnsi="宋体" w:eastAsia="宋体" w:cs="宋体"/>
                <w:color w:val="auto"/>
                <w:sz w:val="21"/>
                <w:szCs w:val="21"/>
              </w:rPr>
            </w:pPr>
          </w:p>
        </w:tc>
        <w:tc>
          <w:tcPr>
            <w:tcW w:w="1064" w:type="dxa"/>
            <w:vMerge w:val="continue"/>
            <w:shd w:val="clear" w:color="auto" w:fill="auto"/>
            <w:vAlign w:val="center"/>
          </w:tcPr>
          <w:p>
            <w:pPr>
              <w:jc w:val="center"/>
              <w:rPr>
                <w:rFonts w:ascii="宋体" w:hAnsi="宋体" w:eastAsia="宋体" w:cs="宋体"/>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社会效益</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 xml:space="preserve">14.70 </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5项政策任务社会效益指标完成情况</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14.70</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 xml:space="preserve">14.70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jc w:val="center"/>
              <w:rPr>
                <w:rFonts w:ascii="宋体" w:hAnsi="宋体" w:eastAsia="宋体" w:cs="宋体"/>
                <w:color w:val="auto"/>
                <w:sz w:val="21"/>
                <w:szCs w:val="21"/>
              </w:rPr>
            </w:pPr>
          </w:p>
        </w:tc>
        <w:tc>
          <w:tcPr>
            <w:tcW w:w="1066" w:type="dxa"/>
            <w:vMerge w:val="continue"/>
            <w:shd w:val="clear" w:color="auto" w:fill="auto"/>
            <w:vAlign w:val="center"/>
          </w:tcPr>
          <w:p>
            <w:pPr>
              <w:jc w:val="center"/>
              <w:rPr>
                <w:rFonts w:ascii="宋体" w:hAnsi="宋体" w:eastAsia="宋体" w:cs="宋体"/>
                <w:color w:val="auto"/>
                <w:sz w:val="21"/>
                <w:szCs w:val="21"/>
              </w:rPr>
            </w:pPr>
          </w:p>
        </w:tc>
        <w:tc>
          <w:tcPr>
            <w:tcW w:w="959" w:type="dxa"/>
            <w:vMerge w:val="continue"/>
            <w:shd w:val="clear" w:color="auto" w:fill="auto"/>
            <w:vAlign w:val="center"/>
          </w:tcPr>
          <w:p>
            <w:pPr>
              <w:jc w:val="center"/>
              <w:rPr>
                <w:rFonts w:ascii="宋体" w:hAnsi="宋体" w:eastAsia="宋体" w:cs="宋体"/>
                <w:color w:val="auto"/>
                <w:sz w:val="21"/>
                <w:szCs w:val="21"/>
              </w:rPr>
            </w:pPr>
          </w:p>
        </w:tc>
        <w:tc>
          <w:tcPr>
            <w:tcW w:w="1064" w:type="dxa"/>
            <w:vMerge w:val="continue"/>
            <w:shd w:val="clear" w:color="auto" w:fill="auto"/>
            <w:vAlign w:val="center"/>
          </w:tcPr>
          <w:p>
            <w:pPr>
              <w:jc w:val="center"/>
              <w:rPr>
                <w:rFonts w:ascii="宋体" w:hAnsi="宋体" w:eastAsia="宋体" w:cs="宋体"/>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环境效益</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 xml:space="preserve">2.15 </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5项政策任务环境效益指标完成情况</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2.15</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jc w:val="center"/>
              <w:rPr>
                <w:rFonts w:ascii="宋体" w:hAnsi="宋体" w:eastAsia="宋体" w:cs="宋体"/>
                <w:color w:val="auto"/>
                <w:sz w:val="21"/>
                <w:szCs w:val="21"/>
              </w:rPr>
            </w:pPr>
          </w:p>
        </w:tc>
        <w:tc>
          <w:tcPr>
            <w:tcW w:w="1066" w:type="dxa"/>
            <w:vMerge w:val="continue"/>
            <w:shd w:val="clear" w:color="auto" w:fill="auto"/>
            <w:vAlign w:val="center"/>
          </w:tcPr>
          <w:p>
            <w:pPr>
              <w:jc w:val="center"/>
              <w:rPr>
                <w:rFonts w:ascii="宋体" w:hAnsi="宋体" w:eastAsia="宋体" w:cs="宋体"/>
                <w:color w:val="auto"/>
                <w:sz w:val="21"/>
                <w:szCs w:val="21"/>
              </w:rPr>
            </w:pPr>
          </w:p>
        </w:tc>
        <w:tc>
          <w:tcPr>
            <w:tcW w:w="959" w:type="dxa"/>
            <w:vMerge w:val="continue"/>
            <w:shd w:val="clear" w:color="auto" w:fill="auto"/>
            <w:vAlign w:val="center"/>
          </w:tcPr>
          <w:p>
            <w:pPr>
              <w:jc w:val="center"/>
              <w:rPr>
                <w:rFonts w:ascii="宋体" w:hAnsi="宋体" w:eastAsia="宋体" w:cs="宋体"/>
                <w:color w:val="auto"/>
                <w:sz w:val="21"/>
                <w:szCs w:val="21"/>
              </w:rPr>
            </w:pPr>
          </w:p>
        </w:tc>
        <w:tc>
          <w:tcPr>
            <w:tcW w:w="1064" w:type="dxa"/>
            <w:vMerge w:val="continue"/>
            <w:shd w:val="clear" w:color="auto" w:fill="auto"/>
            <w:vAlign w:val="center"/>
          </w:tcPr>
          <w:p>
            <w:pPr>
              <w:jc w:val="center"/>
              <w:rPr>
                <w:rFonts w:ascii="宋体" w:hAnsi="宋体" w:eastAsia="宋体" w:cs="宋体"/>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可持续发展</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 xml:space="preserve">5.97 </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5项政策任务经可持续发展指标完成情况</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5.97</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vMerge w:val="continue"/>
            <w:shd w:val="clear" w:color="auto" w:fill="auto"/>
            <w:vAlign w:val="center"/>
          </w:tcPr>
          <w:p>
            <w:pPr>
              <w:jc w:val="center"/>
              <w:rPr>
                <w:rFonts w:ascii="宋体" w:hAnsi="宋体" w:eastAsia="宋体" w:cs="宋体"/>
                <w:color w:val="auto"/>
                <w:sz w:val="21"/>
                <w:szCs w:val="21"/>
              </w:rPr>
            </w:pPr>
          </w:p>
        </w:tc>
        <w:tc>
          <w:tcPr>
            <w:tcW w:w="1066" w:type="dxa"/>
            <w:vMerge w:val="continue"/>
            <w:shd w:val="clear" w:color="auto" w:fill="auto"/>
            <w:vAlign w:val="center"/>
          </w:tcPr>
          <w:p>
            <w:pPr>
              <w:jc w:val="center"/>
              <w:rPr>
                <w:rFonts w:ascii="宋体" w:hAnsi="宋体" w:eastAsia="宋体" w:cs="宋体"/>
                <w:color w:val="auto"/>
                <w:sz w:val="21"/>
                <w:szCs w:val="21"/>
              </w:rPr>
            </w:pPr>
          </w:p>
        </w:tc>
        <w:tc>
          <w:tcPr>
            <w:tcW w:w="959"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公平性</w:t>
            </w:r>
          </w:p>
        </w:tc>
        <w:tc>
          <w:tcPr>
            <w:tcW w:w="1064"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w:t>
            </w: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满意度</w:t>
            </w: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5项政策任务服务对象满意度指标完成情况</w:t>
            </w: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1" w:type="dxa"/>
            <w:shd w:val="clear" w:color="auto" w:fill="auto"/>
            <w:vAlign w:val="center"/>
          </w:tcPr>
          <w:p>
            <w:pPr>
              <w:widowControl/>
              <w:jc w:val="center"/>
              <w:textAlignment w:val="center"/>
              <w:rPr>
                <w:rFonts w:ascii="宋体" w:hAnsi="宋体" w:eastAsia="宋体" w:cs="宋体"/>
                <w:b/>
                <w:bCs/>
                <w:color w:val="auto"/>
                <w:sz w:val="21"/>
                <w:szCs w:val="21"/>
              </w:rPr>
            </w:pPr>
            <w:r>
              <w:rPr>
                <w:rFonts w:hint="eastAsia" w:ascii="仿宋_GB2312" w:hAnsi="仿宋_GB2312" w:cs="仿宋_GB2312"/>
                <w:b/>
                <w:bCs/>
                <w:color w:val="auto"/>
                <w:sz w:val="21"/>
                <w:szCs w:val="21"/>
              </w:rPr>
              <w:t>合计</w:t>
            </w:r>
          </w:p>
        </w:tc>
        <w:tc>
          <w:tcPr>
            <w:tcW w:w="1066" w:type="dxa"/>
            <w:shd w:val="clear" w:color="auto" w:fill="auto"/>
            <w:vAlign w:val="center"/>
          </w:tcPr>
          <w:p>
            <w:pPr>
              <w:rPr>
                <w:rFonts w:ascii="宋体" w:hAnsi="宋体" w:eastAsia="宋体" w:cs="宋体"/>
                <w:b/>
                <w:bCs/>
                <w:color w:val="auto"/>
                <w:sz w:val="21"/>
                <w:szCs w:val="21"/>
              </w:rPr>
            </w:pPr>
          </w:p>
        </w:tc>
        <w:tc>
          <w:tcPr>
            <w:tcW w:w="959" w:type="dxa"/>
            <w:shd w:val="clear" w:color="auto" w:fill="auto"/>
            <w:vAlign w:val="center"/>
          </w:tcPr>
          <w:p>
            <w:pPr>
              <w:widowControl/>
              <w:jc w:val="center"/>
              <w:textAlignment w:val="center"/>
              <w:rPr>
                <w:rFonts w:ascii="仿宋_GB2312" w:hAnsi="仿宋_GB2312" w:cs="仿宋_GB2312"/>
                <w:color w:val="auto"/>
                <w:sz w:val="21"/>
                <w:szCs w:val="21"/>
              </w:rPr>
            </w:pPr>
          </w:p>
        </w:tc>
        <w:tc>
          <w:tcPr>
            <w:tcW w:w="1064" w:type="dxa"/>
            <w:shd w:val="clear" w:color="auto" w:fill="auto"/>
            <w:vAlign w:val="center"/>
          </w:tcPr>
          <w:p>
            <w:pPr>
              <w:widowControl/>
              <w:jc w:val="center"/>
              <w:textAlignment w:val="center"/>
              <w:rPr>
                <w:rFonts w:ascii="仿宋_GB2312" w:hAnsi="仿宋_GB2312" w:cs="仿宋_GB2312"/>
                <w:color w:val="auto"/>
                <w:sz w:val="21"/>
                <w:szCs w:val="21"/>
              </w:rPr>
            </w:pPr>
          </w:p>
        </w:tc>
        <w:tc>
          <w:tcPr>
            <w:tcW w:w="1443" w:type="dxa"/>
            <w:shd w:val="clear" w:color="auto" w:fill="auto"/>
            <w:vAlign w:val="center"/>
          </w:tcPr>
          <w:p>
            <w:pPr>
              <w:widowControl/>
              <w:jc w:val="center"/>
              <w:textAlignment w:val="center"/>
              <w:rPr>
                <w:rFonts w:ascii="仿宋_GB2312" w:hAnsi="仿宋_GB2312" w:cs="仿宋_GB2312"/>
                <w:color w:val="auto"/>
                <w:sz w:val="21"/>
                <w:szCs w:val="21"/>
              </w:rPr>
            </w:pPr>
          </w:p>
        </w:tc>
        <w:tc>
          <w:tcPr>
            <w:tcW w:w="1077"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100</w:t>
            </w:r>
          </w:p>
        </w:tc>
        <w:tc>
          <w:tcPr>
            <w:tcW w:w="4501" w:type="dxa"/>
            <w:shd w:val="clear" w:color="auto" w:fill="auto"/>
            <w:vAlign w:val="center"/>
          </w:tcPr>
          <w:p>
            <w:pPr>
              <w:widowControl/>
              <w:jc w:val="center"/>
              <w:textAlignment w:val="center"/>
              <w:rPr>
                <w:rFonts w:ascii="仿宋_GB2312" w:hAnsi="仿宋_GB2312" w:cs="仿宋_GB2312"/>
                <w:color w:val="auto"/>
                <w:sz w:val="21"/>
                <w:szCs w:val="21"/>
              </w:rPr>
            </w:pPr>
          </w:p>
        </w:tc>
        <w:tc>
          <w:tcPr>
            <w:tcW w:w="1051"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100</w:t>
            </w:r>
          </w:p>
        </w:tc>
        <w:tc>
          <w:tcPr>
            <w:tcW w:w="1168" w:type="dxa"/>
            <w:shd w:val="clear" w:color="auto" w:fill="auto"/>
            <w:vAlign w:val="center"/>
          </w:tcPr>
          <w:p>
            <w:pPr>
              <w:widowControl/>
              <w:jc w:val="center"/>
              <w:textAlignment w:val="center"/>
              <w:rPr>
                <w:rFonts w:ascii="仿宋_GB2312" w:hAnsi="仿宋_GB2312" w:cs="仿宋_GB2312"/>
                <w:color w:val="auto"/>
                <w:sz w:val="21"/>
                <w:szCs w:val="21"/>
              </w:rPr>
            </w:pPr>
            <w:r>
              <w:rPr>
                <w:rFonts w:hint="eastAsia" w:ascii="仿宋_GB2312" w:hAnsi="仿宋_GB2312" w:cs="仿宋_GB2312"/>
                <w:color w:val="auto"/>
                <w:sz w:val="21"/>
                <w:szCs w:val="21"/>
              </w:rPr>
              <w:t>99.12</w:t>
            </w:r>
          </w:p>
        </w:tc>
      </w:tr>
    </w:tbl>
    <w:p>
      <w:pPr>
        <w:widowControl/>
        <w:ind w:left="627" w:leftChars="69" w:hanging="420" w:hangingChars="200"/>
        <w:jc w:val="left"/>
        <w:rPr>
          <w:rFonts w:hint="eastAsia"/>
          <w:color w:val="auto"/>
          <w:sz w:val="21"/>
          <w:szCs w:val="21"/>
        </w:rPr>
      </w:pPr>
      <w:r>
        <w:rPr>
          <w:rFonts w:hint="eastAsia"/>
          <w:color w:val="auto"/>
          <w:sz w:val="21"/>
          <w:szCs w:val="21"/>
        </w:rPr>
        <w:t>说明：汇总自评得分是按照</w:t>
      </w:r>
      <w:r>
        <w:rPr>
          <w:rFonts w:hint="eastAsia" w:ascii="仿宋_GB2312" w:hAnsi="仿宋_GB2312" w:cs="仿宋_GB2312"/>
          <w:color w:val="auto"/>
          <w:sz w:val="21"/>
          <w:szCs w:val="21"/>
        </w:rPr>
        <w:t>5项政策</w:t>
      </w:r>
      <w:r>
        <w:rPr>
          <w:rFonts w:hint="eastAsia"/>
          <w:color w:val="auto"/>
          <w:sz w:val="21"/>
          <w:szCs w:val="21"/>
        </w:rPr>
        <w:t>任务的自评得分，再根据各</w:t>
      </w:r>
      <w:r>
        <w:rPr>
          <w:rFonts w:hint="eastAsia" w:ascii="仿宋_GB2312" w:hAnsi="仿宋_GB2312" w:cs="仿宋_GB2312"/>
          <w:color w:val="auto"/>
          <w:sz w:val="21"/>
          <w:szCs w:val="21"/>
        </w:rPr>
        <w:t>项政策</w:t>
      </w:r>
      <w:r>
        <w:rPr>
          <w:rFonts w:hint="eastAsia"/>
          <w:color w:val="auto"/>
          <w:sz w:val="21"/>
          <w:szCs w:val="21"/>
        </w:rPr>
        <w:t>任务的资金权重计算出该项政策任务的权重</w:t>
      </w:r>
      <w:r>
        <w:rPr>
          <w:rFonts w:hint="eastAsia"/>
          <w:color w:val="auto"/>
          <w:sz w:val="21"/>
          <w:szCs w:val="21"/>
          <w:lang w:val="en-US" w:eastAsia="zh-CN"/>
        </w:rPr>
        <w:t xml:space="preserve"> </w:t>
      </w:r>
      <w:r>
        <w:rPr>
          <w:rFonts w:hint="eastAsia"/>
          <w:color w:val="auto"/>
          <w:sz w:val="21"/>
          <w:szCs w:val="21"/>
        </w:rPr>
        <w:t>分值后汇总形成的。</w:t>
      </w:r>
    </w:p>
    <w:p>
      <w:pPr>
        <w:pStyle w:val="2"/>
        <w:rPr>
          <w:rFonts w:hint="eastAsia"/>
          <w:color w:val="auto"/>
          <w:sz w:val="21"/>
          <w:szCs w:val="21"/>
        </w:rPr>
      </w:pPr>
    </w:p>
    <w:p>
      <w:pPr>
        <w:rPr>
          <w:rFonts w:hint="default"/>
          <w:color w:val="auto"/>
          <w:sz w:val="30"/>
          <w:szCs w:val="24"/>
        </w:rPr>
        <w:sectPr>
          <w:footerReference r:id="rId10" w:type="default"/>
          <w:footerReference r:id="rId11" w:type="even"/>
          <w:pgSz w:w="16838" w:h="11906" w:orient="landscape"/>
          <w:pgMar w:top="1503" w:right="1701" w:bottom="1403"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adjustRightInd w:val="0"/>
        <w:snapToGrid w:val="0"/>
        <w:spacing w:before="0" w:beforeAutospacing="0" w:after="0" w:afterAutospacing="0" w:line="570" w:lineRule="exact"/>
        <w:rPr>
          <w:rFonts w:hint="eastAsia" w:ascii="黑体" w:hAnsi="黑体" w:eastAsia="黑体" w:cs="黑体"/>
          <w:b w:val="0"/>
          <w:bCs/>
          <w:sz w:val="32"/>
          <w:szCs w:val="32"/>
          <w:lang w:val="en-US" w:eastAsia="zh-CN"/>
        </w:rPr>
      </w:pPr>
      <w:bookmarkStart w:id="163" w:name="_Toc11282"/>
      <w:bookmarkStart w:id="164" w:name="_Toc2126"/>
      <w:bookmarkStart w:id="165" w:name="_Toc4298"/>
      <w:bookmarkStart w:id="166" w:name="_Toc4437"/>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2-1</w:t>
      </w:r>
      <w:bookmarkEnd w:id="163"/>
      <w:bookmarkEnd w:id="164"/>
      <w:bookmarkEnd w:id="165"/>
      <w:bookmarkEnd w:id="166"/>
    </w:p>
    <w:p>
      <w:pPr>
        <w:pStyle w:val="2"/>
        <w:adjustRightInd w:val="0"/>
        <w:snapToGrid w:val="0"/>
        <w:spacing w:before="0" w:beforeAutospacing="0" w:after="0" w:afterAutospacing="0" w:line="57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67" w:name="_Toc5154"/>
      <w:bookmarkStart w:id="168" w:name="_Toc291"/>
      <w:bookmarkStart w:id="169" w:name="_Toc21166"/>
      <w:bookmarkStart w:id="170" w:name="_Toc17090"/>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佐证材料清单</w:t>
      </w:r>
      <w:bookmarkEnd w:id="167"/>
      <w:bookmarkEnd w:id="168"/>
      <w:bookmarkEnd w:id="169"/>
      <w:bookmarkEnd w:id="170"/>
    </w:p>
    <w:p>
      <w:pPr>
        <w:pStyle w:val="2"/>
        <w:adjustRightInd w:val="0"/>
        <w:snapToGrid w:val="0"/>
        <w:spacing w:before="0" w:beforeAutospacing="0" w:after="0" w:afterAutospacing="0" w:line="570" w:lineRule="exact"/>
        <w:jc w:val="center"/>
        <w:rPr>
          <w:rStyle w:val="16"/>
          <w:rFonts w:ascii="楷体_GB2312" w:hAnsi="楷体_GB2312" w:eastAsia="楷体_GB2312" w:cs="楷体_GB2312"/>
          <w:b w:val="0"/>
          <w:bCs w:val="0"/>
          <w:sz w:val="32"/>
          <w:szCs w:val="32"/>
          <w:lang w:val="en-US" w:eastAsia="zh-CN" w:bidi="ar"/>
        </w:rPr>
      </w:pPr>
      <w:bookmarkStart w:id="171" w:name="_Toc4161"/>
      <w:bookmarkStart w:id="172" w:name="_Toc2465"/>
      <w:bookmarkStart w:id="173" w:name="_Toc25642"/>
      <w:bookmarkStart w:id="174" w:name="_Toc2709"/>
      <w:r>
        <w:rPr>
          <w:rStyle w:val="16"/>
          <w:rFonts w:ascii="楷体_GB2312" w:hAnsi="楷体_GB2312" w:eastAsia="楷体_GB2312" w:cs="楷体_GB2312"/>
          <w:b w:val="0"/>
          <w:bCs w:val="0"/>
          <w:sz w:val="32"/>
          <w:szCs w:val="32"/>
          <w:lang w:val="en-US" w:eastAsia="zh-CN" w:bidi="ar"/>
        </w:rPr>
        <w:t>（2021年科技兴农）</w:t>
      </w:r>
      <w:bookmarkEnd w:id="171"/>
      <w:bookmarkEnd w:id="172"/>
      <w:bookmarkEnd w:id="173"/>
      <w:bookmarkEnd w:id="174"/>
    </w:p>
    <w:p>
      <w:pPr>
        <w:pStyle w:val="2"/>
        <w:adjustRightInd w:val="0"/>
        <w:snapToGrid w:val="0"/>
        <w:spacing w:before="0" w:beforeAutospacing="0" w:after="0" w:afterAutospacing="0" w:line="570" w:lineRule="exact"/>
        <w:jc w:val="center"/>
        <w:rPr>
          <w:rStyle w:val="16"/>
          <w:rFonts w:hint="eastAsia" w:ascii="方正小标宋简体" w:hAnsi="方正小标宋简体" w:eastAsia="方正小标宋简体" w:cs="方正小标宋简体"/>
          <w:b w:val="0"/>
          <w:bCs w:val="0"/>
          <w:sz w:val="44"/>
          <w:szCs w:val="44"/>
          <w:lang w:val="en-US" w:eastAsia="zh-CN" w:bidi="ar"/>
        </w:rPr>
      </w:pPr>
    </w:p>
    <w:tbl>
      <w:tblPr>
        <w:tblStyle w:val="8"/>
        <w:tblpPr w:leftFromText="180" w:rightFromText="180" w:vertAnchor="text" w:tblpY="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5"/>
        <w:gridCol w:w="892"/>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95" w:type="dxa"/>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类别</w:t>
            </w: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材料编号</w:t>
            </w:r>
          </w:p>
        </w:tc>
        <w:tc>
          <w:tcPr>
            <w:tcW w:w="7173" w:type="dxa"/>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佐证材料名称及文号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restart"/>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决策类</w:t>
            </w: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1-01</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1-01中华人民共和国乡村振兴促进法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1-02</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1-02中华人民共和国生物安全法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1-03</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1-03中华人民共和国农业技术推广法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1-04</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1-04中共中央 国务院关于全面推进乡村振兴加快农业农村现代化的意见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1-05</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1-05乡村振兴战略规划（2018－2022年）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1-06</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1-06农业农村部 广东省人民政府共同推进广东乡村振兴战略实施2021年度工作要点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1-07</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1-07《农业农村部办公厅关于做好2022年高素质农民培育工作的通知》（农办科〔2022〕10号）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1-08</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1-08中共广东省委广东省人民政府 关于推进乡村振兴战略的实施意见 粤发〔2018〕16号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1-09</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1-09中共广东省委 广东省人民政府关于全面推进乡村振兴加快农业农村现代化的实施意见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1-10</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1-10广东省人民政府关于印发广东省推进农业农村 现代化 “十四五” 规划的通知 （粤府〔2021〕56号）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1-11</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1-11关于印发《广东省农业科技发展“十四五”规划》的通知（粤农农函〔2021〕567号）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1-12</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1-12 2021年重点项目绩效目标表-1（90-184页）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1-13</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1-13关于切实做好2021年省级乡村振兴战略专项——农业科技创新推广及农业资源与生态环境保护建设项目实施管理的通知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1-14</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-14《关于印发〈广东省农业农村厅财政专项资金管理办法（试行）〉等管理制度的通知》（粤农农办〔2019〕615号）、《关于印发新修订的&lt;广东省农业农村厅财务管理规定（2021年修订稿）&gt;等8项制度》粤农农办〔2021〕180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1-15</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1-15广东省人民政府关于印发广东省政府投资省属非经营性项目代建管理办法（试行）的通知（粤府〔2016〕36号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1-16</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1-16关于报送2021年省级乡村振兴战略专项省级项目资金安排计划的函（粤农农计〔2021〕21号）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1-17</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1-17广东省财政厅关于安排2021年省级乡村振兴战略专项省级组织实施项目资金（第1批）的通知（粤财农〔2021〕37号）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1-18</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1-18广东省财政厅关于安排2021年省级乡村振兴战略专项省级组织实施项目资金（第3批）的通知（粤财农〔2021〕73号）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1-19</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1-19广东省财政厅关于安排2021年省级乡村振兴战略专项省级项目资金（第4批）的通知(粤财农〔2021〕125号）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1-20</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1-20广东省财政厅关于安排2021年省级乡村振兴战略专项省级项目资金（第5批）的通知（粤财农〔2021〕170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1-21</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1-21专项资金总体支出明细表（科技兴农-22682万元）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restart"/>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过程类</w:t>
            </w: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2-01</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3-01关于切实做好2021年省级乡村振兴战略专项——农业科技创新推广及农业资源与生态环境保护建设项目实施管理的通知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2-02</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3-02关于印发《广东省现代农业产业技术体系创新团队建设实施方案（2019-2023年）》的通知（粤农农〔2018〕95号）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2-03</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3-03关于印发《新时代广东省现代种业发展规划（2019-2025）》的通知（粤农农〔2019〕463号）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2-04</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2-04广东省农业有害生物预警防控中心项目验收表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2-05</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2-05关于印发《广东省“十二五”以来高标准农田 建设清查评估问题整改工作方案》的通知（粤农农函〔2021〕17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2-06</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2-06主任办公会议纪要(粤农植防纪〔2021〕第3号)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2-07</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2-07广东省农业农村厅江毅副厅长等农业调研组汇报广东种质银行平台（照片）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2-08</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2-08关于做好2020年度广东省农业技术推广奖评委会评审会议答辩工作的通知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2-09</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2-09专项资金总体支出明细表（科技兴农-22682万元）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restart"/>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产出、效益类</w:t>
            </w: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3-01</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3-01关于2021年度推进实施乡村振兴战略进展情况的报告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3-02</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3-02 2021年全省农业农村工作情况和2022年工作安排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3-03</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3-03科技兴农项目实施完成情况表（项目实施单位、本厅业务处室自评材料）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3-04</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3-04科技兴农项目绩效自评报告（种业管理处）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3-05</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3-05科技兴农项目绩效自评报告（科教处）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3-06</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3-06授权实用新型专利： 一种对制冷循环主路制冷剂过冷的融霜装置 2020209120669 实用新型专利证书(签章)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3-07</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3-07新申请国际专利：果蔬双层膜包装袋及保鲜方法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3-08</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3-08新闻报道：创设“133N”模式，广州国家农业科创中心助力科产融通互促【人民日报】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3-09</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3-09新闻报道：南方+省农科院专家团队走访揭阳惠来凤梨基地，助力产业链高质量发展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3-10</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3-10新闻报道：突破瓶颈——我科学家开发高密度液相生物芯片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3-11</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3-11“十三五”农业科技标志性成果入库汇总表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trPr>
        <w:tc>
          <w:tcPr>
            <w:tcW w:w="995"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92"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3-12</w:t>
            </w:r>
          </w:p>
        </w:tc>
        <w:tc>
          <w:tcPr>
            <w:tcW w:w="7173"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3-12 2021年农村创业创新人才和农业农村干部培训资金绩效自评基础信息表</w:t>
            </w:r>
          </w:p>
        </w:tc>
      </w:tr>
    </w:tbl>
    <w:p>
      <w:pPr>
        <w:rPr>
          <w:rFonts w:hint="default"/>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2"/>
        <w:adjustRightInd w:val="0"/>
        <w:snapToGrid w:val="0"/>
        <w:spacing w:before="0" w:beforeAutospacing="0" w:after="0" w:afterAutospacing="0" w:line="570" w:lineRule="exact"/>
        <w:rPr>
          <w:rFonts w:hint="eastAsia" w:ascii="黑体" w:hAnsi="黑体" w:eastAsia="黑体" w:cs="黑体"/>
          <w:b w:val="0"/>
          <w:bCs/>
          <w:sz w:val="32"/>
          <w:szCs w:val="32"/>
          <w:lang w:val="en-US" w:eastAsia="zh-CN"/>
        </w:rPr>
      </w:pPr>
      <w:bookmarkStart w:id="175" w:name="_Toc9001"/>
      <w:bookmarkStart w:id="176" w:name="_Toc21567"/>
      <w:bookmarkStart w:id="177" w:name="_Toc17023"/>
      <w:bookmarkStart w:id="178" w:name="_Toc12604"/>
      <w:r>
        <w:rPr>
          <w:rFonts w:hint="eastAsia" w:ascii="黑体" w:hAnsi="黑体" w:eastAsia="黑体" w:cs="黑体"/>
          <w:b w:val="0"/>
          <w:bCs/>
          <w:sz w:val="32"/>
          <w:szCs w:val="32"/>
          <w:lang w:val="en-US" w:eastAsia="zh-CN"/>
        </w:rPr>
        <w:t>附件2-2</w:t>
      </w:r>
      <w:bookmarkEnd w:id="175"/>
      <w:bookmarkEnd w:id="176"/>
      <w:bookmarkEnd w:id="177"/>
      <w:bookmarkEnd w:id="178"/>
    </w:p>
    <w:p>
      <w:pPr>
        <w:pStyle w:val="2"/>
        <w:adjustRightInd w:val="0"/>
        <w:snapToGrid w:val="0"/>
        <w:spacing w:before="0" w:beforeAutospacing="0" w:after="0" w:afterAutospacing="0" w:line="57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79" w:name="_Toc23729"/>
      <w:bookmarkStart w:id="180" w:name="_Toc24835"/>
      <w:bookmarkStart w:id="181" w:name="_Toc22946"/>
      <w:bookmarkStart w:id="182" w:name="_Toc4980"/>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佐证材料清单</w:t>
      </w:r>
      <w:bookmarkEnd w:id="179"/>
      <w:bookmarkEnd w:id="180"/>
      <w:bookmarkEnd w:id="181"/>
      <w:bookmarkEnd w:id="182"/>
    </w:p>
    <w:p>
      <w:pPr>
        <w:pStyle w:val="2"/>
        <w:adjustRightInd w:val="0"/>
        <w:snapToGrid w:val="0"/>
        <w:spacing w:before="0" w:beforeAutospacing="0" w:after="0" w:afterAutospacing="0" w:line="570" w:lineRule="exact"/>
        <w:jc w:val="center"/>
        <w:rPr>
          <w:rFonts w:hint="eastAsia" w:ascii="楷体_GB2312" w:hAnsi="楷体_GB2312" w:eastAsia="楷体_GB2312" w:cs="楷体_GB2312"/>
          <w:b w:val="0"/>
          <w:bCs/>
          <w:sz w:val="32"/>
          <w:szCs w:val="32"/>
          <w:lang w:val="en-US" w:eastAsia="zh-CN"/>
        </w:rPr>
      </w:pPr>
      <w:bookmarkStart w:id="183" w:name="_Toc30566"/>
      <w:bookmarkStart w:id="184" w:name="_Toc28340"/>
      <w:bookmarkStart w:id="185" w:name="_Toc9749"/>
      <w:bookmarkStart w:id="186" w:name="_Toc5673"/>
      <w:r>
        <w:rPr>
          <w:rFonts w:hint="eastAsia" w:ascii="楷体_GB2312" w:hAnsi="楷体_GB2312" w:eastAsia="楷体_GB2312" w:cs="楷体_GB2312"/>
          <w:b w:val="0"/>
          <w:bCs w:val="0"/>
          <w:i w:val="0"/>
          <w:iCs w:val="0"/>
          <w:color w:val="000000"/>
          <w:kern w:val="0"/>
          <w:sz w:val="32"/>
          <w:szCs w:val="32"/>
          <w:u w:val="none"/>
          <w:lang w:val="en-US" w:eastAsia="zh-CN" w:bidi="ar"/>
        </w:rPr>
        <w:t>（2021年农业农村监测检测）</w:t>
      </w:r>
      <w:bookmarkEnd w:id="183"/>
      <w:bookmarkEnd w:id="184"/>
      <w:bookmarkEnd w:id="185"/>
      <w:bookmarkEnd w:id="186"/>
    </w:p>
    <w:tbl>
      <w:tblPr>
        <w:tblStyle w:val="8"/>
        <w:tblW w:w="93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295"/>
        <w:gridCol w:w="7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类别</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材料编号</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佐证材料名称及文号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决</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策</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类</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1-01</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1-02</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1-02农用地土壤环境管理办法（试行）（部令第46号）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1-03</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1-03关于印发《国家土壤环境监测网农产品产地土壤环境监测工作方案（试行）》的通知农办科〔2018〕19号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1-04</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1-04关于印发农业面源污染治理监督指导实施方案的通知（环办土壤〔2021〕8号）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1-05</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1-05关于印发《2022年农业转基因生物监管工作方案》的通知（农办科〔2022〕5号）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1-06</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1-06关于开展2021年度农产品产地土壤环境国控与省控例行监测工作的通知(粤农农函〔2021〕454号)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1-07</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1-07关于印发2022年广东省农业转基因生物监管实施方案的通知（粤农农办〔2022〕13号）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1-08</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1-08广东省农业农村厅 广东省生态环境厅 关于印发广东省2021年度年受污染耕地安全利用工作方案的通知(粤农农函〔2021〕631号)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1-09</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1-09广东省土壤污染防治行动计划实施方案（粤府〔2016〕145号）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1-10</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1-10省政府印发的2021年广东省大气、水、土壤污染防治工作方案（粤办函〔2021〕58号）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1-11</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1-11关于印发《广东省外来入侵物种普查总体方案》的通知（粤农农函〔2022〕329号）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1-12</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 2021年重点项目绩效目标表-1（90-184页）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1-13</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1-13关于切实做好2021年省级乡村振兴战略专项——农业科技创新推广及农业资源与生态环境保护建设项目实施管理的通知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1-14</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关于印发〈广东省农业农村厅财政专项资金管理办法（试行）〉等管理制度的通知》（粤农农办〔2019〕615号）、《关于印发新修订的&lt;广东省农业农村厅财务管理规定（2021年修订稿）&gt;等8项制度》粤农农办〔2021〕180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1-15</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1-15省农业农村厅财政专项资金安排计划上会呈批表（2021年省级乡村振兴专项--农业生态环境保护项目）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1-16</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1-16省农业农村厅财政专项资金安排计划上会呈批表（2021年省级乡村振兴专项--农业科技创新推广及耕地土壤环境与生物多样性管理项目）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1-17</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1-17关于报送2021年省级乡村振兴战略专项省级项目资金安排计划的函（粤农农计〔2021〕21号）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1-18</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1-18广东省财政厅关于安排2021年省级乡村振兴战略专项省级组织实施项目资金（第1批）的通知（粤财农〔2021〕37号）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1-19</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1-19广东省财政厅关于安排2021年省级乡村振兴战略专项省级组织实施项目资金（第3批）的通知（粤财农〔2021〕73号）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1-20</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1-20广东省财政厅关于安排2021年省级乡村振兴战略专项省级项目资金（第4批）的通知(粤财农〔2021〕125号）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1-21</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2-21专项资金总体支出明细表（农业农村监测检测-12985万元）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过</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程</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类</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2-01</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2-01关于切实做好2021年省级乡村振兴战略专项——农业科技创新推广及农业资源与生态环境保护建设项目实施管理的通知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2-02</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2-02关于做好耕地质量等级年度变更调查评价工作的通知(粤农农函〔2020〕824号)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2-03</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2-03关于印发&lt;广东省农田整治提升行动方案（2021-2025年）&gt;的通知（粤农农〔2021〕151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2-04</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2-04 关于印发农业面源污染治理监督指导实施方案的通知（环办土壤〔2021〕8号）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2-05</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2-05省农业农村厅工作会议纪要〔2019〕4号（隔离试种）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2-06</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2-06 2021年乡村振兴战略专项资金省级项目专家评分表-植物疫病防控及农药监管项目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2-07</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2-07广东省主要农产品产销形势分析专家会商记录（3本）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2-08</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2-08广东省农业农村厅关于开展国家救灾备荒和省级应急种子储备工作检查的通知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2-09</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2-09专项资金总体支出明细表（农业农村监测检测-12985万元）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产</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出</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效</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益</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类</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3-01</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3-01关于2021年度推进实施乡村振兴战略进展情况的报告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3-02</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3-02 2021年全省农业农村工作情况和2022年工作安排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3-03</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3-03农业农村监测检测实施完成情况表（项目实施单位、本厅业务处室自评材料）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3-04</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3-04农业农村监测检测项目绩效自评报告（种业管理处）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3-05</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3-05广东省33个土壤墒情自动监测站点情况表-正常站点情况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3-06</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3-06 2021年广东省全年墒情监测情况（25期简报上报给全国墒情监测网）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3-07</w:t>
            </w:r>
          </w:p>
        </w:tc>
        <w:tc>
          <w:tcPr>
            <w:tcW w:w="7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3-07全省农业用农药使用量（2020年-2021年）</w:t>
            </w:r>
          </w:p>
        </w:tc>
      </w:tr>
    </w:tbl>
    <w:p>
      <w:pPr>
        <w:rPr>
          <w:rFonts w:hint="default"/>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2"/>
        <w:adjustRightInd w:val="0"/>
        <w:snapToGrid w:val="0"/>
        <w:spacing w:before="0" w:beforeAutospacing="0" w:after="0" w:afterAutospacing="0" w:line="570" w:lineRule="exact"/>
        <w:rPr>
          <w:rFonts w:hint="eastAsia" w:ascii="黑体" w:hAnsi="黑体" w:eastAsia="黑体" w:cs="黑体"/>
          <w:b w:val="0"/>
          <w:bCs/>
          <w:sz w:val="32"/>
          <w:szCs w:val="32"/>
          <w:lang w:val="en-US" w:eastAsia="zh-CN"/>
        </w:rPr>
      </w:pPr>
      <w:bookmarkStart w:id="187" w:name="_Toc20032"/>
      <w:bookmarkStart w:id="188" w:name="_Toc17180"/>
      <w:bookmarkStart w:id="189" w:name="_Toc18936"/>
      <w:bookmarkStart w:id="190" w:name="_Toc30939"/>
      <w:r>
        <w:rPr>
          <w:rFonts w:hint="eastAsia" w:ascii="黑体" w:hAnsi="黑体" w:eastAsia="黑体" w:cs="黑体"/>
          <w:b w:val="0"/>
          <w:bCs/>
          <w:sz w:val="32"/>
          <w:szCs w:val="32"/>
          <w:lang w:val="en-US" w:eastAsia="zh-CN"/>
        </w:rPr>
        <w:t>附件2-3</w:t>
      </w:r>
      <w:bookmarkEnd w:id="187"/>
      <w:bookmarkEnd w:id="188"/>
      <w:bookmarkEnd w:id="189"/>
      <w:bookmarkEnd w:id="190"/>
    </w:p>
    <w:p>
      <w:pPr>
        <w:pStyle w:val="2"/>
        <w:adjustRightInd w:val="0"/>
        <w:snapToGrid w:val="0"/>
        <w:spacing w:before="0" w:beforeAutospacing="0" w:after="0" w:afterAutospacing="0" w:line="57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191" w:name="_Toc11864"/>
      <w:bookmarkStart w:id="192" w:name="_Toc17032"/>
      <w:bookmarkStart w:id="193" w:name="_Toc30537"/>
      <w:bookmarkStart w:id="194" w:name="_Toc22772"/>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佐证材料清单</w:t>
      </w:r>
      <w:bookmarkEnd w:id="191"/>
      <w:bookmarkEnd w:id="192"/>
      <w:bookmarkEnd w:id="193"/>
      <w:bookmarkEnd w:id="194"/>
    </w:p>
    <w:p>
      <w:pPr>
        <w:pStyle w:val="2"/>
        <w:adjustRightInd w:val="0"/>
        <w:snapToGrid w:val="0"/>
        <w:spacing w:before="0" w:beforeAutospacing="0" w:after="0" w:afterAutospacing="0" w:line="570" w:lineRule="exact"/>
        <w:jc w:val="center"/>
        <w:rPr>
          <w:rStyle w:val="17"/>
          <w:rFonts w:ascii="楷体_GB2312" w:hAnsi="楷体_GB2312" w:eastAsia="楷体_GB2312" w:cs="楷体_GB2312"/>
          <w:b w:val="0"/>
          <w:bCs w:val="0"/>
          <w:sz w:val="32"/>
          <w:szCs w:val="32"/>
          <w:lang w:val="en-US" w:eastAsia="zh-CN" w:bidi="ar"/>
        </w:rPr>
      </w:pPr>
      <w:bookmarkStart w:id="195" w:name="_Toc2967"/>
      <w:bookmarkStart w:id="196" w:name="_Toc14450"/>
      <w:bookmarkStart w:id="197" w:name="_Toc2308"/>
      <w:bookmarkStart w:id="198" w:name="_Toc16864"/>
      <w:r>
        <w:rPr>
          <w:rStyle w:val="17"/>
          <w:rFonts w:ascii="楷体_GB2312" w:hAnsi="楷体_GB2312" w:eastAsia="楷体_GB2312" w:cs="楷体_GB2312"/>
          <w:b w:val="0"/>
          <w:bCs w:val="0"/>
          <w:sz w:val="32"/>
          <w:szCs w:val="32"/>
          <w:lang w:val="en-US" w:eastAsia="zh-CN" w:bidi="ar"/>
        </w:rPr>
        <w:t>（2021年农业农村宣传推广和综合管理及能力建设）</w:t>
      </w:r>
      <w:bookmarkEnd w:id="195"/>
      <w:bookmarkEnd w:id="196"/>
      <w:bookmarkEnd w:id="197"/>
      <w:bookmarkEnd w:id="198"/>
    </w:p>
    <w:p>
      <w:pPr>
        <w:pStyle w:val="2"/>
        <w:adjustRightInd w:val="0"/>
        <w:snapToGrid w:val="0"/>
        <w:spacing w:before="0" w:beforeAutospacing="0" w:after="0" w:afterAutospacing="0" w:line="570" w:lineRule="exact"/>
        <w:jc w:val="center"/>
        <w:rPr>
          <w:rStyle w:val="17"/>
          <w:rFonts w:hint="eastAsia" w:ascii="楷体_GB2312" w:hAnsi="楷体_GB2312" w:eastAsia="楷体_GB2312" w:cs="楷体_GB2312"/>
          <w:b w:val="0"/>
          <w:bCs w:val="0"/>
          <w:sz w:val="32"/>
          <w:szCs w:val="32"/>
          <w:lang w:val="en-US" w:eastAsia="zh-CN" w:bidi="ar"/>
        </w:rPr>
      </w:pPr>
    </w:p>
    <w:tbl>
      <w:tblPr>
        <w:tblStyle w:val="8"/>
        <w:tblW w:w="884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936"/>
        <w:gridCol w:w="7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类别</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材料</w:t>
            </w:r>
          </w:p>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编号</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佐证材料名称及文号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1-01</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1-01关于进一步推进广东东西部扶贫协作产品交易市场建设的情况报告（粤农农〔2019〕400号）（省领导批示）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1-02</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1-02关于成立广东东西部扶贫协作产品交易市场的请示（粤农农〔2019〕274号）（省领导批示）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1-03</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1-03关于印发《广东省农业科技发展“十四五”规划》的通知（粤农农函〔2021〕567号）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1-04</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1-04广东省发展改革委关于省动物疫病预防控制中心项目可行性研究报告的复函(粤发改投资函〔2014〕3883号)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1-05</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1-05广东省发展改革委关于省动物疫病预防控制中心项目初步设计概算的复函（粤发改投资函〔2019〕4008号）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1-06</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1-06 2021年重点项目绩效目标表-1（90-184页）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52" w:type="dxa"/>
            <w:vMerge w:val="restart"/>
            <w:tcBorders>
              <w:top w:val="nil"/>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1-07</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-07《关于印发〈广东省农业农村厅财政专项资金管理办法（试行）〉等管理制度的通知》（粤农农办〔2019〕615号）、《关于印发新修订的&lt;广东省农业农村厅财务管理规定（2021年修订稿）&gt;等8项制度》粤农农办〔2021〕180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552" w:type="dxa"/>
            <w:vMerge w:val="continue"/>
            <w:tcBorders>
              <w:top w:val="nil"/>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1-08</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1-08广东省人民政府关于印发广东省政府投资省属非经营性项目代建管理办法（试行）的通知（粤府〔2016〕36号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nil"/>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1-09</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1-09关于报送2021年省级乡村振兴战略专项省级项目资金安排计划的函（粤农农计〔2021〕21号）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nil"/>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1-10</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1-10关于报送委托代建项目2021年度资金使用计划的函（粤代建计函〔2020〕322号）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552" w:type="dxa"/>
            <w:vMerge w:val="continue"/>
            <w:tcBorders>
              <w:top w:val="nil"/>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1-11</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1-11广东省财政厅关于安排2021年省级乡村振兴战略专项省级组织实施项目资金（第1批）的通知（粤财农〔2021〕37号）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52" w:type="dxa"/>
            <w:vMerge w:val="continue"/>
            <w:tcBorders>
              <w:top w:val="nil"/>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1-12</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1-12广东省财政厅关于安排2021年省级乡村振兴战略专项省级组织实施项目资金（第3批）的通知（粤财农〔2021〕73号）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nil"/>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1-13</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1-13广东省财政厅关于安排2021年省级乡村振兴战略专项省级项目资金（第4批）的通知(粤财农〔2021〕125号）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nil"/>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1-14</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1-14广东省财政厅关于安排2021年省级乡村振兴战略专项省级项目资金（第5批）的通知（粤财农〔2021〕170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nil"/>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1-15</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1-15专项资金总体支出明细表（农业农村宣传推广、综合管理及能力建设-14097万元）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过程类</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2-01</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2-01中共广东省委办公厅 广东省人民政府办公厅关于印发《广东省乡村振兴驻镇帮镇扶村工作方案》的通知（粤委办发电〔2021〕60号）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552"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2-02</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2-02关于印发&lt;省委实施乡村振兴战略领导小组工作规则&gt;&lt;省委实施乡村振兴战略领导小组专项组工作规则&gt;和&lt;省委实施乡村振兴战略领导小组专项组设置方案&gt;的通知（粤乡振组〔2019〕1号）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2-03</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2-03广东东西部扶贫协作产品交易市场管理制度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2-04</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2-04关于广东东西部扶贫协作产品交易市场21地市消费扶贫专馆建设运营考评情况的报告（粤农扶办〔2021〕4 号）（报叶常委）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2-05</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2-05专项资金总体支出明细表（农业农村宣传推广、综合管理及能力建设-14097万元）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产出、效益类</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3-01</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3-01关于2021年度推进实施乡村振兴战略进展情况的报告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3-02</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3-02 2021年全省农业农村工作情况和2022年工作安排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3-03</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3-03农业农村宣传推广和综合管理及能力建设实施完成情况表（项目实施单位、本厅业务处室自评材料）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3-04</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3-04农业农村宣传推广、综合管理及能力建设项目绩效自评报告（消费帮扶专班）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3-05</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3-05《关于呈报广东东西部扶贫协作产品交易市场开业以来建设运营情况的报告》（粤农扶办〔2020〕148 号）(报国扶办)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3-06</w:t>
            </w:r>
          </w:p>
        </w:tc>
        <w:tc>
          <w:tcPr>
            <w:tcW w:w="7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3-06开幕中国农业绿色产业大会暨第二十届广东种业大会推进种业绿色发展（南方农村报）</w:t>
            </w:r>
          </w:p>
        </w:tc>
      </w:tr>
    </w:tbl>
    <w:p>
      <w:pPr>
        <w:rPr>
          <w:rFonts w:hint="default"/>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2"/>
        <w:adjustRightInd w:val="0"/>
        <w:snapToGrid w:val="0"/>
        <w:spacing w:before="0" w:beforeAutospacing="0" w:after="0" w:afterAutospacing="0" w:line="570" w:lineRule="exact"/>
        <w:rPr>
          <w:rFonts w:hint="eastAsia" w:ascii="黑体" w:hAnsi="黑体" w:eastAsia="黑体" w:cs="黑体"/>
          <w:b w:val="0"/>
          <w:bCs/>
          <w:sz w:val="32"/>
          <w:szCs w:val="32"/>
          <w:lang w:val="en-US" w:eastAsia="zh-CN"/>
        </w:rPr>
      </w:pPr>
      <w:bookmarkStart w:id="199" w:name="_Toc20244"/>
      <w:bookmarkStart w:id="200" w:name="_Toc11389"/>
      <w:bookmarkStart w:id="201" w:name="_Toc29437"/>
      <w:bookmarkStart w:id="202" w:name="_Toc9503"/>
      <w:r>
        <w:rPr>
          <w:rFonts w:hint="eastAsia" w:ascii="黑体" w:hAnsi="黑体" w:eastAsia="黑体" w:cs="黑体"/>
          <w:b w:val="0"/>
          <w:bCs/>
          <w:sz w:val="32"/>
          <w:szCs w:val="32"/>
          <w:lang w:val="en-US" w:eastAsia="zh-CN"/>
        </w:rPr>
        <w:t>附件2-4</w:t>
      </w:r>
      <w:bookmarkEnd w:id="199"/>
      <w:bookmarkEnd w:id="200"/>
      <w:bookmarkEnd w:id="201"/>
      <w:bookmarkEnd w:id="202"/>
    </w:p>
    <w:p>
      <w:pPr>
        <w:pStyle w:val="2"/>
        <w:adjustRightInd w:val="0"/>
        <w:snapToGrid w:val="0"/>
        <w:spacing w:before="0" w:beforeAutospacing="0" w:after="0" w:afterAutospacing="0" w:line="57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203" w:name="_Toc24521"/>
      <w:bookmarkStart w:id="204" w:name="_Toc17373"/>
      <w:bookmarkStart w:id="205" w:name="_Toc17781"/>
      <w:bookmarkStart w:id="206" w:name="_Toc19909"/>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佐证材料清单</w:t>
      </w:r>
      <w:bookmarkEnd w:id="203"/>
      <w:bookmarkEnd w:id="204"/>
      <w:bookmarkEnd w:id="205"/>
      <w:bookmarkEnd w:id="206"/>
    </w:p>
    <w:p>
      <w:pPr>
        <w:pStyle w:val="2"/>
        <w:adjustRightInd w:val="0"/>
        <w:snapToGrid w:val="0"/>
        <w:spacing w:before="0" w:beforeAutospacing="0" w:after="0" w:afterAutospacing="0" w:line="570" w:lineRule="exact"/>
        <w:jc w:val="center"/>
        <w:rPr>
          <w:rFonts w:hint="eastAsia" w:ascii="楷体_GB2312" w:hAnsi="楷体_GB2312" w:eastAsia="楷体_GB2312" w:cs="楷体_GB2312"/>
          <w:b w:val="0"/>
          <w:bCs w:val="0"/>
          <w:i w:val="0"/>
          <w:iCs w:val="0"/>
          <w:color w:val="000000"/>
          <w:kern w:val="0"/>
          <w:sz w:val="32"/>
          <w:szCs w:val="32"/>
          <w:u w:val="none"/>
          <w:lang w:val="en-US" w:eastAsia="zh-CN" w:bidi="ar"/>
        </w:rPr>
      </w:pPr>
      <w:bookmarkStart w:id="207" w:name="_Toc25039"/>
      <w:bookmarkStart w:id="208" w:name="_Toc29555"/>
      <w:bookmarkStart w:id="209" w:name="_Toc10727"/>
      <w:bookmarkStart w:id="210" w:name="_Toc17860"/>
      <w:r>
        <w:rPr>
          <w:rFonts w:hint="eastAsia" w:ascii="楷体_GB2312" w:hAnsi="楷体_GB2312" w:eastAsia="楷体_GB2312" w:cs="楷体_GB2312"/>
          <w:b w:val="0"/>
          <w:bCs w:val="0"/>
          <w:i w:val="0"/>
          <w:iCs w:val="0"/>
          <w:color w:val="000000"/>
          <w:kern w:val="0"/>
          <w:sz w:val="32"/>
          <w:szCs w:val="32"/>
          <w:u w:val="none"/>
          <w:lang w:val="en-US" w:eastAsia="zh-CN" w:bidi="ar"/>
        </w:rPr>
        <w:t>（2021年农业农村重点试点示范及基地建设）</w:t>
      </w:r>
      <w:bookmarkEnd w:id="207"/>
      <w:bookmarkEnd w:id="208"/>
      <w:bookmarkEnd w:id="209"/>
      <w:bookmarkEnd w:id="210"/>
    </w:p>
    <w:p>
      <w:pPr>
        <w:pStyle w:val="2"/>
        <w:adjustRightInd w:val="0"/>
        <w:snapToGrid w:val="0"/>
        <w:spacing w:before="0" w:beforeAutospacing="0" w:after="0" w:afterAutospacing="0" w:line="570" w:lineRule="exact"/>
        <w:jc w:val="center"/>
        <w:rPr>
          <w:rFonts w:hint="eastAsia" w:ascii="楷体_GB2312" w:hAnsi="楷体_GB2312" w:eastAsia="楷体_GB2312" w:cs="楷体_GB2312"/>
          <w:b w:val="0"/>
          <w:bCs w:val="0"/>
          <w:color w:val="000000"/>
          <w:sz w:val="32"/>
          <w:szCs w:val="32"/>
          <w:u w:val="none"/>
          <w:lang w:val="en-US" w:eastAsia="zh-CN" w:bidi="ar"/>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696"/>
        <w:gridCol w:w="7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类别</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材料编号</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佐证材料名称及文号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决</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策</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类</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1-01</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1-01国务院土壤污染防治行动计划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1-02</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1-02生态环境部《关于分解落实2021年度受污染耕地安全利用任务的函》（环土壤函〔2021〕55号）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1-03</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1-03广东省土壤污染防治行动计划实施方案（粤府〔2016〕145号）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1-04</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1-04广东省农业农村厅 广东省生态环境厅 关于印发广东省2021年度年受污染耕地安全利用工作方案的通知(粤农农函〔2021〕631号)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1-05</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1-05 2021年重点项目绩效目标表-1（90-184页）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1-06</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-02《关于印发〈广东省农业农村厅财政专项资金管理办法（试行）〉等管理制度的通知》（粤农农办〔2019〕615号）、《关于印发新修订的&lt;广东省农业农村厅财务管理规定（2021年修订稿）&gt;等8项制度》粤农农办〔2021〕180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1-07</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2-05省农业农村厅财政专项资金安排计划上会呈批表（2021年省级乡村振兴专项--农业生态环境保护项目）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1-08</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2-06关于报送2021年省级乡村振兴战略专项省级项目资金安排计划的函（粤农农计〔2021〕21号）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1-09</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2-07广东省财政厅关于安排2021年省级乡村振兴战略专项省级组织实施项目资金（第1批）的通知（粤财农〔2021〕37号）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1-10</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2-08广东省财政厅关于安排2021年省级乡村振兴战略专项省级项目资金（第4批）的通知(粤财农〔2021〕125号）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1-11</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1-11广东省财政厅关于安排2021年省级乡村振兴战略专项省级项目资金（第5批）的通知（粤财农〔2021〕170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1-12</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1-12省农业农村厅财政专项资金安排计划上会呈批表（2021年省级乡村振兴专项--农业生态环境保护项目）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1-13</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1-13专项资金支出明细表（农业农村重点试点示范及基地建设资金-11957万元）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过</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程</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类</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2-01</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2-01关于切实做好2021年省级乡村振兴战略专项——农业科技创新推广及农业资源与生态环境保护建设项目实施管理的通知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2-02</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2-02广东省财政厅 广东省发展改革委关于申请调整世行贷款广东农业面源污染治理项目贷（赠）款协定和绩效监测指标的函(盖章版）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2-03</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2-03 省委领导在我厅《关于世界银行贷款广东农业面源污染治理项目完工的报告》（粤农农〔2022〕61号）上的批示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2-04</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2-04广东省供销合作联社关于开展协同监督工作的通知(粤供监事函〔2022〕44号)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2-05</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2-05关于印发《2021年省供销社农业面源污染防控示范体系建设工作方案》的通知粤供农联〔2021〕7号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2-06</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2-06专项资金支出明细表（农业农村重点试点示范及基地建设资金-11957万元）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产</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出</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效</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益</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类</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3-01</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3-01关于2021年度推进实施乡村振兴战略进展情况的报告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3-02</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3-02 2021年全省农业农村工作情况和2022年工作安排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3-03</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3-03农业农村重点试点示范及基地建设实施完成情况表（项目实施单位、本厅业务处室自评材料）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3-04</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3-04农业农村重点试点示范及基地建设项目绩效自评报告（广东省农业环境与耕地质量保护中心）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3-05</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3-05农业农村重点试点示范及基地建设项目绩效自评报告（种植业处）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3-06</w:t>
            </w:r>
          </w:p>
        </w:tc>
        <w:tc>
          <w:tcPr>
            <w:tcW w:w="7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3-06省级高标准示范基地项目发明专利受通（一种基于几何变换原理的图像视角变换方法）</w:t>
            </w:r>
          </w:p>
        </w:tc>
      </w:tr>
    </w:tbl>
    <w:p>
      <w:pPr>
        <w:rPr>
          <w:rFonts w:hint="default"/>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2"/>
        <w:adjustRightInd w:val="0"/>
        <w:snapToGrid w:val="0"/>
        <w:spacing w:before="0" w:beforeAutospacing="0" w:after="0" w:afterAutospacing="0" w:line="570" w:lineRule="exact"/>
        <w:rPr>
          <w:rFonts w:hint="eastAsia" w:ascii="黑体" w:hAnsi="黑体" w:eastAsia="黑体" w:cs="黑体"/>
          <w:b w:val="0"/>
          <w:bCs/>
          <w:sz w:val="32"/>
          <w:szCs w:val="32"/>
          <w:lang w:val="en-US" w:eastAsia="zh-CN"/>
        </w:rPr>
      </w:pPr>
      <w:bookmarkStart w:id="211" w:name="_Toc6090"/>
      <w:bookmarkStart w:id="212" w:name="_Toc16878"/>
      <w:bookmarkStart w:id="213" w:name="_Toc10410"/>
      <w:bookmarkStart w:id="214" w:name="_Toc3442"/>
      <w:r>
        <w:rPr>
          <w:rFonts w:hint="eastAsia" w:ascii="黑体" w:hAnsi="黑体" w:eastAsia="黑体" w:cs="黑体"/>
          <w:b w:val="0"/>
          <w:bCs/>
          <w:sz w:val="32"/>
          <w:szCs w:val="32"/>
          <w:lang w:val="en-US" w:eastAsia="zh-CN"/>
        </w:rPr>
        <w:t>附件2-5</w:t>
      </w:r>
      <w:bookmarkEnd w:id="211"/>
      <w:bookmarkEnd w:id="212"/>
      <w:bookmarkEnd w:id="213"/>
      <w:bookmarkEnd w:id="214"/>
    </w:p>
    <w:p>
      <w:pPr>
        <w:pStyle w:val="2"/>
        <w:adjustRightInd w:val="0"/>
        <w:snapToGrid w:val="0"/>
        <w:spacing w:before="0" w:beforeAutospacing="0" w:after="0" w:afterAutospacing="0" w:line="57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215" w:name="_Toc7639"/>
      <w:bookmarkStart w:id="216" w:name="_Toc29373"/>
      <w:bookmarkStart w:id="217" w:name="_Toc15020"/>
      <w:bookmarkStart w:id="218" w:name="_Toc28861"/>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佐证材料清单</w:t>
      </w:r>
      <w:bookmarkEnd w:id="215"/>
      <w:bookmarkEnd w:id="216"/>
      <w:bookmarkEnd w:id="217"/>
      <w:bookmarkEnd w:id="218"/>
    </w:p>
    <w:p>
      <w:pPr>
        <w:pStyle w:val="2"/>
        <w:adjustRightInd w:val="0"/>
        <w:snapToGrid w:val="0"/>
        <w:spacing w:before="0" w:beforeAutospacing="0" w:after="0" w:afterAutospacing="0" w:line="570" w:lineRule="exact"/>
        <w:jc w:val="center"/>
        <w:rPr>
          <w:rFonts w:hint="eastAsia" w:ascii="楷体_GB2312" w:hAnsi="楷体_GB2312" w:eastAsia="楷体_GB2312" w:cs="楷体_GB2312"/>
          <w:b w:val="0"/>
          <w:bCs w:val="0"/>
          <w:i w:val="0"/>
          <w:iCs w:val="0"/>
          <w:color w:val="000000"/>
          <w:kern w:val="0"/>
          <w:sz w:val="32"/>
          <w:szCs w:val="32"/>
          <w:u w:val="none"/>
          <w:lang w:val="en-US" w:eastAsia="zh-CN" w:bidi="ar"/>
        </w:rPr>
      </w:pPr>
      <w:bookmarkStart w:id="219" w:name="_Toc26306"/>
      <w:bookmarkStart w:id="220" w:name="_Toc4875"/>
      <w:bookmarkStart w:id="221" w:name="_Toc27323"/>
      <w:bookmarkStart w:id="222" w:name="_Toc26719"/>
      <w:r>
        <w:rPr>
          <w:rFonts w:hint="eastAsia" w:ascii="楷体_GB2312" w:hAnsi="楷体_GB2312" w:eastAsia="楷体_GB2312" w:cs="楷体_GB2312"/>
          <w:b w:val="0"/>
          <w:bCs w:val="0"/>
          <w:i w:val="0"/>
          <w:iCs w:val="0"/>
          <w:color w:val="000000"/>
          <w:kern w:val="0"/>
          <w:sz w:val="32"/>
          <w:szCs w:val="32"/>
          <w:u w:val="none"/>
          <w:lang w:val="en-US" w:eastAsia="zh-CN" w:bidi="ar"/>
        </w:rPr>
        <w:t>（2021年省级现代农业产业园建设）</w:t>
      </w:r>
      <w:bookmarkEnd w:id="219"/>
      <w:bookmarkEnd w:id="220"/>
      <w:bookmarkEnd w:id="221"/>
      <w:bookmarkEnd w:id="222"/>
    </w:p>
    <w:p>
      <w:pPr>
        <w:pStyle w:val="2"/>
        <w:adjustRightInd w:val="0"/>
        <w:snapToGrid w:val="0"/>
        <w:spacing w:before="0" w:beforeAutospacing="0" w:after="0" w:afterAutospacing="0" w:line="570" w:lineRule="exact"/>
        <w:jc w:val="center"/>
        <w:rPr>
          <w:rFonts w:hint="eastAsia" w:ascii="楷体_GB2312" w:hAnsi="楷体_GB2312" w:eastAsia="楷体_GB2312" w:cs="楷体_GB2312"/>
          <w:b w:val="0"/>
          <w:bCs w:val="0"/>
          <w:color w:val="000000"/>
          <w:sz w:val="32"/>
          <w:szCs w:val="32"/>
          <w:u w:val="none"/>
          <w:lang w:val="en-US" w:eastAsia="zh-CN" w:bidi="ar"/>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0"/>
        <w:gridCol w:w="830"/>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0" w:hRule="atLeast"/>
        </w:trPr>
        <w:tc>
          <w:tcPr>
            <w:tcW w:w="600" w:type="dxa"/>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类别</w:t>
            </w: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材料编号</w:t>
            </w:r>
          </w:p>
        </w:tc>
        <w:tc>
          <w:tcPr>
            <w:tcW w:w="7630" w:type="dxa"/>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佐证材料名称及文号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restart"/>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决策类</w:t>
            </w: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1</w:t>
            </w:r>
            <w:r>
              <w:rPr>
                <w:rFonts w:hint="eastAsia" w:ascii="仿宋_GB2312" w:hAnsi="仿宋_GB2312" w:eastAsia="仿宋_GB2312" w:cs="仿宋_GB2312"/>
                <w:b w:val="0"/>
                <w:bCs w:val="0"/>
                <w:i w:val="0"/>
                <w:iCs w:val="0"/>
                <w:color w:val="000000"/>
                <w:kern w:val="0"/>
                <w:sz w:val="24"/>
                <w:szCs w:val="24"/>
                <w:u w:val="none"/>
                <w:lang w:val="en-US" w:eastAsia="zh-CN" w:bidi="ar"/>
              </w:rPr>
              <w:t>-01</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1-01关于印发《关于推进广东优势产区现代农业产业园建设的工作方案》的通知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1</w:t>
            </w:r>
            <w:r>
              <w:rPr>
                <w:rFonts w:hint="eastAsia" w:ascii="仿宋_GB2312" w:hAnsi="仿宋_GB2312" w:eastAsia="仿宋_GB2312" w:cs="仿宋_GB2312"/>
                <w:b w:val="0"/>
                <w:bCs w:val="0"/>
                <w:i w:val="0"/>
                <w:iCs w:val="0"/>
                <w:color w:val="000000"/>
                <w:kern w:val="0"/>
                <w:sz w:val="24"/>
                <w:szCs w:val="24"/>
                <w:u w:val="none"/>
                <w:lang w:val="en-US" w:eastAsia="zh-CN" w:bidi="ar"/>
              </w:rPr>
              <w:t>-02</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1-02关于建设农业优势产业区（带）及现代农业产业园工作的签报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1</w:t>
            </w:r>
            <w:r>
              <w:rPr>
                <w:rFonts w:hint="eastAsia" w:ascii="仿宋_GB2312" w:hAnsi="仿宋_GB2312" w:eastAsia="仿宋_GB2312" w:cs="仿宋_GB2312"/>
                <w:b w:val="0"/>
                <w:bCs w:val="0"/>
                <w:i w:val="0"/>
                <w:iCs w:val="0"/>
                <w:color w:val="000000"/>
                <w:kern w:val="0"/>
                <w:sz w:val="24"/>
                <w:szCs w:val="24"/>
                <w:u w:val="none"/>
                <w:lang w:val="en-US" w:eastAsia="zh-CN" w:bidi="ar"/>
              </w:rPr>
              <w:t>-03</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1-03（关于印发《2019-2020年全省现代农业产业园建设工作方案》的通知）粤农农[2018]76号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1-04</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1-04关于加快推进省级现代农业产业园建设工作的通知 粤农农函〔2021〕462号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1-05</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1-05关于印发《省农业农村厅领导和处室挂钩联系现代农业产业园建设的工作方案》的通知粤农农[2019]82号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1</w:t>
            </w:r>
            <w:r>
              <w:rPr>
                <w:rFonts w:hint="eastAsia" w:ascii="仿宋_GB2312" w:hAnsi="仿宋_GB2312" w:eastAsia="仿宋_GB2312" w:cs="仿宋_GB2312"/>
                <w:b w:val="0"/>
                <w:bCs w:val="0"/>
                <w:i w:val="0"/>
                <w:iCs w:val="0"/>
                <w:color w:val="000000"/>
                <w:kern w:val="0"/>
                <w:sz w:val="24"/>
                <w:szCs w:val="24"/>
                <w:u w:val="none"/>
                <w:lang w:val="en-US" w:eastAsia="zh-CN" w:bidi="ar"/>
              </w:rPr>
              <w:t>-06</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1-06关于印发《省农业农村厅领导和处室业务指导2020年省级现代农业产业园工作方案》的通知粤农农办〔2020〕156号（发展规划处，6页）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1-07</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1-07（关于印发《广东省现代农业产业园建设指引》（试行）的通知）粤农农规[2018]1号）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1-08</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1-08（关于印发《广东省现代农业产业园财政资金管理规定》（试行）的通知）粤农农规[2018]2号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1</w:t>
            </w:r>
            <w:r>
              <w:rPr>
                <w:rFonts w:hint="eastAsia" w:ascii="仿宋_GB2312" w:hAnsi="仿宋_GB2312" w:eastAsia="仿宋_GB2312" w:cs="仿宋_GB2312"/>
                <w:b w:val="0"/>
                <w:bCs w:val="0"/>
                <w:i w:val="0"/>
                <w:iCs w:val="0"/>
                <w:color w:val="000000"/>
                <w:kern w:val="0"/>
                <w:sz w:val="24"/>
                <w:szCs w:val="24"/>
                <w:u w:val="none"/>
                <w:lang w:val="en-US" w:eastAsia="zh-CN" w:bidi="ar"/>
              </w:rPr>
              <w:t>-09</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1-09（关于印发《广东省现代农业产业园绩效评价办法》（试行）的通知）粤农农规[2018]3号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1-10</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1-10 关于加快省级现代农业产业园建设工作的通知粤农农函【2020】425号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1</w:t>
            </w: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1-11关于公布2020年第一批省级现代农业产业园建设名单的通知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1-12</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1-12关于公布2020年优势产区（第二批）省级现代农业产业园建设名单的通知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1</w:t>
            </w: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1-13）关于公布广东省乡村振兴文化服务产业园列入省级现代农业产业园建设名单的通知粤农农办〔2020〕215号（发展规划处，2页）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1-14</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-14《关于印发〈广东省农业农村厅财政专项资金管理办法（试行）〉等管理制度的通知》（粤农农办〔2019〕615号）、《关于印发新修订的&lt;广东省农业农村厅财务管理规定（2021年修订稿）&gt;等8项制度》粤农农办〔2021〕180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1-14</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1-14广东省财政厅关于下达2020年省级现代农业产业园省级补助资金（第一批）的通知粤财农〔2020〕66号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1-15</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1-15广东省财政厅关于下达2020年省级现代农业产业园省级补助资金（第二期）的通知粤财农〔2021〕39号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1-16</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1-16广东省财政厅关于下达2020年省级现代农业产业园省级补助资金（第三期）的通知粤财农〔2021〕96号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1-17</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1-17关于下达2020年省级现代农业产业园省级补助资金（第二批）的通知粤财农〔2020〕108号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1-18</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1-18关于下达2020年省级现代农业产业园省级补助资金（第三批）的通知粤财农〔2020〕134号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restart"/>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过程类</w:t>
            </w: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2-01</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2-01关于组织开展2020年优势产区和特色产业现代农业产业园申报工作的通知(粤农农计〔2019〕26号)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2-02</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2-02关于印发《广东省农业农村厅关于省级现代农业产业园建设验收工作的指导意见》的通知 粤农农函〔2019〕1728号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2-03</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2-03关于省级现代农业产业园2020年12月-2021年12月份建设进展情况的通报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2-04</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2-04.2021年省级现代农业产业园支付数据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00" w:type="dxa"/>
            <w:vMerge w:val="restart"/>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产出</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效益类</w:t>
            </w: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3-01</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3-01 2021年12月省级现代农业产业园统计(最终确定数据)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0" w:type="dxa"/>
            <w:vMerge w:val="continue"/>
            <w:shd w:val="clear" w:color="auto" w:fill="auto"/>
            <w:vAlign w:val="center"/>
          </w:tcPr>
          <w:p>
            <w:pPr>
              <w:adjustRightInd w:val="0"/>
              <w:snapToGrid w:val="0"/>
              <w:jc w:val="center"/>
              <w:rPr>
                <w:rFonts w:hint="eastAsia" w:ascii="仿宋_GB2312" w:hAnsi="仿宋_GB2312" w:eastAsia="仿宋_GB2312" w:cs="仿宋_GB2312"/>
                <w:b w:val="0"/>
                <w:bCs w:val="0"/>
                <w:i w:val="0"/>
                <w:iCs w:val="0"/>
                <w:color w:val="000000"/>
                <w:sz w:val="24"/>
                <w:szCs w:val="24"/>
                <w:u w:val="none"/>
              </w:rPr>
            </w:pPr>
          </w:p>
        </w:tc>
        <w:tc>
          <w:tcPr>
            <w:tcW w:w="830" w:type="dxa"/>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3-02</w:t>
            </w:r>
          </w:p>
        </w:tc>
        <w:tc>
          <w:tcPr>
            <w:tcW w:w="7630" w:type="dxa"/>
            <w:shd w:val="clear" w:color="auto" w:fill="auto"/>
            <w:vAlign w:val="center"/>
          </w:tcPr>
          <w:p>
            <w:pPr>
              <w:keepNext w:val="0"/>
              <w:keepLines w:val="0"/>
              <w:widowControl w:val="0"/>
              <w:suppressLineNumbers w:val="0"/>
              <w:adjustRightInd w:val="0"/>
              <w:snapToGrid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3-02 2020年省级现代农业产业园项目绩效自评报告</w:t>
            </w:r>
          </w:p>
        </w:tc>
      </w:tr>
    </w:tbl>
    <w:p>
      <w:pPr>
        <w:rPr>
          <w:rFonts w:hint="default"/>
          <w:lang w:val="en-US" w:eastAsia="zh-CN"/>
        </w:rPr>
      </w:pPr>
    </w:p>
    <w:p/>
    <w:p/>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79"/>
        <w:tab w:val="clear" w:pos="4153"/>
      </w:tabs>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300480" cy="217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0048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 w:hAnsi="仿宋" w:eastAsia="仿宋" w:cs="仿宋"/>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7.1pt;width:102.4pt;mso-position-horizontal:left;mso-position-horizontal-relative:margin;z-index:251659264;mso-width-relative:page;mso-height-relative:page;" filled="f" stroked="f" coordsize="21600,21600" o:gfxdata="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Kocm9MAAAAEAQAADwAAAAAAAAABACAA&#10;AAAiAAAAZHJzL2Rvd25yZXYueG1sUEsBAhQAFAAAAAgAh07iQAS6KqoSAgAACAQAAA4AAAAAAAAA&#10;AQAgAAAAIgEAAGRycy9lMm9Eb2MueG1sUEsFBgAAAAAGAAYAWQEAAKYFAAAAAA==&#10;">
              <v:fill on="f" focussize="0,0"/>
              <v:stroke on="f" weight="0.5pt"/>
              <v:imagedata o:title=""/>
              <o:lock v:ext="edit" aspectratio="f"/>
              <v:textbox inset="0mm,0mm,0mm,0mm">
                <w:txbxContent>
                  <w:p>
                    <w:pPr>
                      <w:pStyle w:val="4"/>
                      <w:rPr>
                        <w:rFonts w:ascii="仿宋" w:hAnsi="仿宋" w:eastAsia="仿宋" w:cs="仿宋"/>
                        <w:sz w:val="28"/>
                        <w:szCs w:val="28"/>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32765" cy="3873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2765"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 w:cs="仿宋"/>
                              <w:sz w:val="28"/>
                              <w:szCs w:val="28"/>
                            </w:rPr>
                          </w:pPr>
                          <w:r>
                            <w:rPr>
                              <w:rFonts w:ascii="仿宋_GB2312" w:hAnsi="仿宋_GB2312" w:eastAsia="仿宋" w:cs="仿宋"/>
                              <w:sz w:val="28"/>
                              <w:szCs w:val="28"/>
                            </w:rPr>
                            <w:fldChar w:fldCharType="begin"/>
                          </w:r>
                          <w:r>
                            <w:rPr>
                              <w:rFonts w:ascii="仿宋_GB2312" w:hAnsi="仿宋_GB2312" w:eastAsia="仿宋" w:cs="仿宋"/>
                              <w:sz w:val="28"/>
                              <w:szCs w:val="28"/>
                            </w:rPr>
                            <w:instrText xml:space="preserve"> PAGE  \* MERGEFORMAT </w:instrText>
                          </w:r>
                          <w:r>
                            <w:rPr>
                              <w:rFonts w:ascii="仿宋_GB2312" w:hAnsi="仿宋_GB2312" w:eastAsia="仿宋" w:cs="仿宋"/>
                              <w:sz w:val="28"/>
                              <w:szCs w:val="28"/>
                            </w:rPr>
                            <w:fldChar w:fldCharType="separate"/>
                          </w:r>
                          <w:r>
                            <w:rPr>
                              <w:rFonts w:ascii="仿宋_GB2312" w:hAnsi="仿宋_GB2312" w:eastAsia="仿宋" w:cs="仿宋"/>
                              <w:sz w:val="28"/>
                              <w:szCs w:val="28"/>
                            </w:rPr>
                            <w:t>- 3 -</w:t>
                          </w:r>
                          <w:r>
                            <w:rPr>
                              <w:rFonts w:ascii="仿宋_GB2312" w:hAnsi="仿宋_GB2312" w:eastAsia="仿宋" w:cs="仿宋"/>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30.5pt;width:41.95pt;mso-position-horizontal:center;mso-position-horizontal-relative:margin;z-index:251662336;mso-width-relative:page;mso-height-relative:page;" filled="f" stroked="f" coordsize="21600,21600" o:gfxdata="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76VytMAAAADAQAADwAAAAAAAAAB&#10;ACAAAAAiAAAAZHJzL2Rvd25yZXYueG1sUEsBAhQAFAAAAAgAh07iQHxfSToVAgAABwQAAA4AAAAA&#10;AAAAAQAgAAAAIgEAAGRycy9lMm9Eb2MueG1sUEsFBgAAAAAGAAYAWQEAAKkFAAAAAA==&#10;">
              <v:fill on="f" focussize="0,0"/>
              <v:stroke on="f" weight="0.5pt"/>
              <v:imagedata o:title=""/>
              <o:lock v:ext="edit" aspectratio="f"/>
              <v:textbox inset="0mm,0mm,0mm,0mm">
                <w:txbxContent>
                  <w:p>
                    <w:pPr>
                      <w:pStyle w:val="4"/>
                      <w:rPr>
                        <w:rFonts w:ascii="仿宋_GB2312" w:hAnsi="仿宋_GB2312" w:eastAsia="仿宋" w:cs="仿宋"/>
                        <w:sz w:val="28"/>
                        <w:szCs w:val="28"/>
                      </w:rPr>
                    </w:pPr>
                    <w:r>
                      <w:rPr>
                        <w:rFonts w:ascii="仿宋_GB2312" w:hAnsi="仿宋_GB2312" w:eastAsia="仿宋" w:cs="仿宋"/>
                        <w:sz w:val="28"/>
                        <w:szCs w:val="28"/>
                      </w:rPr>
                      <w:fldChar w:fldCharType="begin"/>
                    </w:r>
                    <w:r>
                      <w:rPr>
                        <w:rFonts w:ascii="仿宋_GB2312" w:hAnsi="仿宋_GB2312" w:eastAsia="仿宋" w:cs="仿宋"/>
                        <w:sz w:val="28"/>
                        <w:szCs w:val="28"/>
                      </w:rPr>
                      <w:instrText xml:space="preserve"> PAGE  \* MERGEFORMAT </w:instrText>
                    </w:r>
                    <w:r>
                      <w:rPr>
                        <w:rFonts w:ascii="仿宋_GB2312" w:hAnsi="仿宋_GB2312" w:eastAsia="仿宋" w:cs="仿宋"/>
                        <w:sz w:val="28"/>
                        <w:szCs w:val="28"/>
                      </w:rPr>
                      <w:fldChar w:fldCharType="separate"/>
                    </w:r>
                    <w:r>
                      <w:rPr>
                        <w:rFonts w:ascii="仿宋_GB2312" w:hAnsi="仿宋_GB2312" w:eastAsia="仿宋" w:cs="仿宋"/>
                        <w:sz w:val="28"/>
                        <w:szCs w:val="28"/>
                      </w:rPr>
                      <w:t>- 3 -</w:t>
                    </w:r>
                    <w:r>
                      <w:rPr>
                        <w:rFonts w:ascii="仿宋_GB2312" w:hAnsi="仿宋_GB2312" w:eastAsia="仿宋" w:cs="仿宋"/>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  \* MERGEFORMAT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- 1 -</w:t>
                          </w:r>
                          <w:r>
                            <w:rPr>
                              <w:rFonts w:hint="eastAsia" w:ascii="仿宋_GB2312" w:hAnsi="仿宋_GB2312" w:eastAsia="仿宋_GB2312" w:cs="仿宋_GB2312"/>
                              <w:b w:val="0"/>
                              <w:bCs/>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  \* MERGEFORMAT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- 1 -</w:t>
                    </w:r>
                    <w:r>
                      <w:rPr>
                        <w:rFonts w:hint="eastAsia" w:ascii="仿宋_GB2312" w:hAnsi="仿宋_GB2312" w:eastAsia="仿宋_GB2312" w:cs="仿宋_GB2312"/>
                        <w:b w:val="0"/>
                        <w:bCs/>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82955" cy="3041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8295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- 39 -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3.95pt;width:61.65pt;mso-position-horizontal:center;mso-position-horizontal-relative:margin;z-index:251660288;mso-width-relative:page;mso-height-relative:page;" filled="f" stroked="f" coordsize="21600,21600" o:gfxdata="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GUUANQAAAAEAQAADwAAAAAAAAAB&#10;ACAAAAAiAAAAZHJzL2Rvd25yZXYueG1sUEsBAhQAFAAAAAgAh07iQOxE6sEUAgAABwQAAA4AAAAA&#10;AAAAAQAgAAAAIwEAAGRycy9lMm9Eb2MueG1sUEsFBgAAAAAGAAYAWQEAAKkFAAAAAA==&#10;">
              <v:fill on="f" focussize="0,0"/>
              <v:stroke on="f" weight="0.5pt"/>
              <v:imagedata o:title=""/>
              <o:lock v:ext="edit" aspectratio="f"/>
              <v:textbox inset="0mm,0mm,0mm,0mm">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- 39 -</w:t>
                    </w:r>
                    <w:r>
                      <w:rPr>
                        <w:rFonts w:hint="eastAsia" w:ascii="仿宋_GB2312" w:hAnsi="仿宋_GB2312" w:eastAsia="仿宋_GB2312" w:cs="仿宋_GB2312"/>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- 38 -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4"/>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- 38 -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D0569"/>
    <w:multiLevelType w:val="singleLevel"/>
    <w:tmpl w:val="DC0D0569"/>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Thousand"/>
      <w:suff w:val="nothing"/>
      <w:lvlText w:val="%1、"/>
      <w:lvlJc w:val="left"/>
    </w:lvl>
    <w:lvl w:ilvl="1" w:tentative="0">
      <w:start w:val="1"/>
      <w:numFmt w:val="chineseCountingThousand"/>
      <w:suff w:val="nothing"/>
      <w:lvlText w:val="（%1）"/>
      <w:lvlJc w:val="left"/>
      <w:pPr>
        <w:ind w:left="709"/>
      </w:pPr>
    </w:lvl>
    <w:lvl w:ilvl="2" w:tentative="0">
      <w:start w:val="1"/>
      <w:numFmt w:val="decimal"/>
      <w:pStyle w:val="12"/>
      <w:suff w:val="nothing"/>
      <w:lvlText w:val="%1、"/>
      <w:lvlJc w:val="left"/>
      <w:pPr>
        <w:ind w:left="567"/>
      </w:pPr>
    </w:lvl>
    <w:lvl w:ilvl="3" w:tentative="0">
      <w:start w:val="1"/>
      <w:numFmt w:val="decimal"/>
      <w:suff w:val="nothing"/>
      <w:lvlText w:val="（%1）"/>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
    <w:nsid w:val="180A7C5E"/>
    <w:multiLevelType w:val="singleLevel"/>
    <w:tmpl w:val="180A7C5E"/>
    <w:lvl w:ilvl="0" w:tentative="0">
      <w:start w:val="1"/>
      <w:numFmt w:val="decimal"/>
      <w:suff w:val="nothing"/>
      <w:lvlText w:val="（%1）"/>
      <w:lvlJc w:val="left"/>
    </w:lvl>
  </w:abstractNum>
  <w:abstractNum w:abstractNumId="3">
    <w:nsid w:val="1C13C4C8"/>
    <w:multiLevelType w:val="singleLevel"/>
    <w:tmpl w:val="1C13C4C8"/>
    <w:lvl w:ilvl="0" w:tentative="0">
      <w:start w:val="1"/>
      <w:numFmt w:val="decimal"/>
      <w:suff w:val="nothing"/>
      <w:lvlText w:val="（%1）"/>
      <w:lvlJc w:val="left"/>
    </w:lvl>
  </w:abstractNum>
  <w:abstractNum w:abstractNumId="4">
    <w:nsid w:val="46F73C24"/>
    <w:multiLevelType w:val="singleLevel"/>
    <w:tmpl w:val="46F73C24"/>
    <w:lvl w:ilvl="0" w:tentative="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5608"/>
    <w:rsid w:val="3808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b/>
      <w:kern w:val="0"/>
      <w:sz w:val="27"/>
      <w:szCs w:val="27"/>
    </w:rPr>
  </w:style>
  <w:style w:type="character" w:default="1" w:styleId="9">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Calibri"/>
      <w:sz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39"/>
    <w:pPr>
      <w:ind w:left="420" w:leftChars="200"/>
    </w:pPr>
    <w:rPr>
      <w:rFonts w:eastAsia="宋体"/>
      <w:sz w:val="21"/>
    </w:rPr>
  </w:style>
  <w:style w:type="paragraph" w:styleId="7">
    <w:name w:val="Normal (Web)"/>
    <w:basedOn w:val="1"/>
    <w:qFormat/>
    <w:uiPriority w:val="0"/>
    <w:rPr>
      <w:sz w:val="24"/>
    </w:rPr>
  </w:style>
  <w:style w:type="paragraph" w:customStyle="1" w:styleId="10">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1">
    <w:name w:val="正文（缩进）"/>
    <w:basedOn w:val="1"/>
    <w:qFormat/>
    <w:uiPriority w:val="0"/>
    <w:pPr>
      <w:spacing w:before="156" w:beforeLines="50" w:after="156" w:afterLines="50" w:line="360" w:lineRule="auto"/>
      <w:ind w:firstLine="480" w:firstLineChars="200"/>
    </w:pPr>
    <w:rPr>
      <w:kern w:val="0"/>
      <w:sz w:val="24"/>
      <w:szCs w:val="20"/>
    </w:rPr>
  </w:style>
  <w:style w:type="paragraph" w:customStyle="1" w:styleId="12">
    <w:name w:val="Heading3"/>
    <w:basedOn w:val="1"/>
    <w:next w:val="1"/>
    <w:qFormat/>
    <w:uiPriority w:val="0"/>
    <w:pPr>
      <w:numPr>
        <w:ilvl w:val="2"/>
        <w:numId w:val="1"/>
      </w:numPr>
      <w:spacing w:line="360" w:lineRule="auto"/>
      <w:textAlignment w:val="baseline"/>
    </w:pPr>
    <w:rPr>
      <w:rFonts w:ascii="楷体_GB2312" w:hAnsi="Calibri" w:eastAsia="楷体_GB2312"/>
      <w:b/>
      <w:kern w:val="0"/>
      <w:szCs w:val="30"/>
    </w:rPr>
  </w:style>
  <w:style w:type="character" w:customStyle="1" w:styleId="13">
    <w:name w:val="font11"/>
    <w:basedOn w:val="9"/>
    <w:qFormat/>
    <w:uiPriority w:val="0"/>
    <w:rPr>
      <w:rFonts w:hint="eastAsia" w:ascii="仿宋_GB2312" w:eastAsia="仿宋_GB2312" w:cs="仿宋_GB2312"/>
      <w:color w:val="000000"/>
      <w:sz w:val="18"/>
      <w:szCs w:val="18"/>
      <w:u w:val="none"/>
    </w:rPr>
  </w:style>
  <w:style w:type="character" w:customStyle="1" w:styleId="14">
    <w:name w:val="NormalCharacter"/>
    <w:semiHidden/>
    <w:qFormat/>
    <w:uiPriority w:val="0"/>
    <w:rPr>
      <w:rFonts w:ascii="Times New Roman" w:hAnsi="Times New Roman" w:eastAsia="仿宋_GB2312" w:cs="Times New Roman"/>
      <w:kern w:val="2"/>
      <w:sz w:val="30"/>
      <w:szCs w:val="24"/>
      <w:lang w:val="en-US" w:eastAsia="zh-CN" w:bidi="ar-SA"/>
    </w:rPr>
  </w:style>
  <w:style w:type="paragraph" w:customStyle="1" w:styleId="15">
    <w:name w:val="正文文本缩进1"/>
    <w:basedOn w:val="1"/>
    <w:qFormat/>
    <w:uiPriority w:val="0"/>
    <w:pPr>
      <w:spacing w:line="150" w:lineRule="atLeast"/>
      <w:ind w:firstLine="420" w:firstLineChars="200"/>
      <w:textAlignment w:val="baseline"/>
    </w:pPr>
  </w:style>
  <w:style w:type="character" w:customStyle="1" w:styleId="16">
    <w:name w:val="font61"/>
    <w:basedOn w:val="9"/>
    <w:qFormat/>
    <w:uiPriority w:val="0"/>
    <w:rPr>
      <w:rFonts w:hint="eastAsia" w:ascii="宋体" w:hAnsi="宋体" w:eastAsia="宋体" w:cs="宋体"/>
      <w:b/>
      <w:bCs/>
      <w:color w:val="000000"/>
      <w:sz w:val="28"/>
      <w:szCs w:val="28"/>
      <w:u w:val="none"/>
    </w:rPr>
  </w:style>
  <w:style w:type="character" w:customStyle="1" w:styleId="17">
    <w:name w:val="font41"/>
    <w:basedOn w:val="9"/>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省农业农村厅</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2022-06-20T08:27:00Z</dcterms:created>
  <dc:creator>dell</dc:creator>
  <cp:lastModifiedBy>dell</cp:lastModifiedBy>
  <dcterms:modified xsi:type="dcterms:W3CDTF">2022-06-20T08:28:05Z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