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附件6-1</w:t>
      </w:r>
    </w:p>
    <w:p>
      <w:pPr>
        <w:pStyle w:val="4"/>
        <w:bidi w:val="0"/>
        <w:spacing w:line="240" w:lineRule="auto"/>
        <w:rPr>
          <w:rFonts w:hint="eastAsia"/>
          <w:lang w:val="en-US" w:eastAsia="zh-CN"/>
        </w:rPr>
      </w:pPr>
    </w:p>
    <w:p>
      <w:pPr>
        <w:pStyle w:val="4"/>
        <w:bidi w:val="0"/>
        <w:spacing w:line="240" w:lineRule="auto"/>
        <w:rPr>
          <w:rFonts w:hint="eastAsia"/>
          <w:lang w:val="en-US" w:eastAsia="zh-CN"/>
        </w:rPr>
      </w:pPr>
    </w:p>
    <w:p>
      <w:pPr>
        <w:pStyle w:val="4"/>
        <w:bidi w:val="0"/>
        <w:spacing w:line="240" w:lineRule="auto"/>
        <w:rPr>
          <w:rFonts w:hint="eastAsia"/>
          <w:lang w:val="en-US" w:eastAsia="zh-CN"/>
        </w:rPr>
      </w:pPr>
      <w:r>
        <w:rPr>
          <w:rFonts w:hint="eastAsia"/>
          <w:lang w:val="en-US" w:eastAsia="zh-CN"/>
        </w:rPr>
        <w:t>广东省农业农村厅</w:t>
      </w:r>
      <w:r>
        <w:rPr>
          <w:rFonts w:hint="eastAsia"/>
        </w:rPr>
        <w:t>高标准农田建设</w:t>
      </w:r>
      <w:r>
        <w:rPr>
          <w:rFonts w:hint="eastAsia"/>
          <w:lang w:val="en-US" w:eastAsia="zh-CN"/>
        </w:rPr>
        <w:t>（管护）</w:t>
      </w:r>
    </w:p>
    <w:p>
      <w:pPr>
        <w:pStyle w:val="4"/>
        <w:bidi w:val="0"/>
        <w:spacing w:line="240" w:lineRule="auto"/>
        <w:rPr>
          <w:rFonts w:hint="eastAsia"/>
        </w:rPr>
      </w:pPr>
    </w:p>
    <w:p>
      <w:pPr>
        <w:pStyle w:val="4"/>
        <w:bidi w:val="0"/>
        <w:spacing w:line="240" w:lineRule="auto"/>
        <w:rPr>
          <w:rFonts w:hint="eastAsia"/>
          <w:lang w:val="en-US" w:eastAsia="zh-CN"/>
        </w:rPr>
      </w:pPr>
      <w:r>
        <w:rPr>
          <w:rFonts w:hint="eastAsia"/>
        </w:rPr>
        <w:t>项目</w:t>
      </w:r>
      <w:r>
        <w:rPr>
          <w:rFonts w:hint="eastAsia"/>
          <w:lang w:val="en-US" w:eastAsia="zh-CN"/>
        </w:rPr>
        <w:t>申报书模板</w:t>
      </w: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宋体" w:hAnsi="宋体" w:eastAsia="宋体" w:cs="Times New Roman"/>
          <w:color w:val="auto"/>
          <w:sz w:val="28"/>
          <w:szCs w:val="28"/>
        </w:rPr>
      </w:pPr>
    </w:p>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tbl>
      <w:tblPr>
        <w:tblStyle w:val="14"/>
        <w:tblW w:w="8472" w:type="dxa"/>
        <w:jc w:val="center"/>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项</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目</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名</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称：</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单 位：</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项目</w:t>
            </w:r>
            <w:r>
              <w:rPr>
                <w:rFonts w:hint="eastAsia" w:ascii="黑体" w:hAnsi="Times New Roman" w:eastAsia="黑体" w:cs="Times New Roman"/>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黑体" w:hAnsi="宋体" w:eastAsia="黑体" w:cs="Times New Roman"/>
                <w:color w:val="auto"/>
                <w:sz w:val="28"/>
                <w:szCs w:val="28"/>
              </w:rPr>
            </w:pPr>
          </w:p>
        </w:tc>
      </w:tr>
      <w:tr>
        <w:trPr>
          <w:jc w:val="center"/>
        </w:trPr>
        <w:tc>
          <w:tcPr>
            <w:tcW w:w="2632" w:type="dxa"/>
            <w:vAlign w:val="center"/>
          </w:tcPr>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主 管 单 位</w:t>
            </w:r>
            <w:r>
              <w:rPr>
                <w:rFonts w:hint="eastAsia" w:ascii="黑体" w:hAnsi="Times New Roman" w:eastAsia="黑体" w:cs="Times New Roman"/>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日 期：</w:t>
            </w:r>
          </w:p>
        </w:tc>
        <w:tc>
          <w:tcPr>
            <w:tcW w:w="5840" w:type="dxa"/>
            <w:vAlign w:val="center"/>
          </w:tcPr>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kern w:val="2"/>
                <w:sz w:val="28"/>
                <w:szCs w:val="28"/>
                <w:lang w:val="en-US" w:eastAsia="zh-CN" w:bidi="ar-SA"/>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黑体" w:hAnsi="Times New Roman" w:eastAsia="黑体" w:cs="Times New Roman"/>
                <w:color w:val="auto"/>
                <w:sz w:val="28"/>
                <w:szCs w:val="28"/>
              </w:rPr>
            </w:pPr>
          </w:p>
        </w:tc>
        <w:tc>
          <w:tcPr>
            <w:tcW w:w="5840" w:type="dxa"/>
            <w:tcBorders>
              <w:bottom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420" w:lineRule="exact"/>
              <w:ind w:firstLine="0" w:firstLineChars="0"/>
              <w:jc w:val="both"/>
              <w:textAlignment w:val="auto"/>
              <w:rPr>
                <w:rFonts w:hint="eastAsia" w:ascii="Times New Roman" w:hAnsi="Times New Roman" w:eastAsia="宋体" w:cs="Times New Roman"/>
                <w:color w:val="auto"/>
                <w:sz w:val="28"/>
                <w:szCs w:val="28"/>
              </w:rPr>
            </w:pPr>
          </w:p>
        </w:tc>
      </w:tr>
    </w:tbl>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p>
      <w:pPr>
        <w:keepNext w:val="0"/>
        <w:keepLines w:val="0"/>
        <w:pageBreakBefore w:val="0"/>
        <w:widowControl w:val="0"/>
        <w:kinsoku/>
        <w:wordWrap/>
        <w:overflowPunct/>
        <w:topLinePunct w:val="0"/>
        <w:autoSpaceDN/>
        <w:bidi w:val="0"/>
        <w:adjustRightInd w:val="0"/>
        <w:snapToGrid w:val="0"/>
        <w:spacing w:line="420" w:lineRule="exact"/>
        <w:ind w:firstLine="536" w:firstLineChars="0"/>
        <w:jc w:val="center"/>
        <w:textAlignment w:val="auto"/>
        <w:rPr>
          <w:rFonts w:ascii="宋体" w:hAnsi="宋体" w:eastAsia="宋体" w:cs="Times New Roman"/>
          <w:color w:val="auto"/>
          <w:sz w:val="28"/>
          <w:szCs w:val="28"/>
        </w:rPr>
      </w:pP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both"/>
        <w:textAlignment w:val="auto"/>
        <w:outlineLvl w:val="1"/>
        <w:rPr>
          <w:rFonts w:ascii="宋体" w:hAnsi="宋体" w:eastAsia="宋体" w:cs="楷体"/>
          <w:b/>
          <w:bCs/>
          <w:color w:val="auto"/>
          <w:kern w:val="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both"/>
        <w:textAlignment w:val="auto"/>
        <w:outlineLvl w:val="1"/>
        <w:rPr>
          <w:rFonts w:ascii="楷体" w:hAnsi="楷体" w:eastAsia="宋体" w:cs="楷体"/>
          <w:b/>
          <w:bCs/>
          <w:color w:val="auto"/>
          <w:kern w:val="2"/>
          <w:sz w:val="28"/>
          <w:szCs w:val="28"/>
          <w:lang w:val="en-US" w:eastAsia="zh-CN" w:bidi="ar-SA"/>
        </w:rPr>
      </w:pPr>
    </w:p>
    <w:p>
      <w:pPr>
        <w:adjustRightInd/>
        <w:snapToGrid/>
        <w:spacing w:line="240" w:lineRule="auto"/>
        <w:ind w:firstLine="0" w:firstLineChars="0"/>
        <w:rPr>
          <w:rFonts w:ascii="Times New Roman" w:hAnsi="Times New Roman" w:eastAsia="宋体" w:cs="Times New Roman"/>
          <w:color w:val="auto"/>
          <w:sz w:val="28"/>
          <w:szCs w:val="28"/>
        </w:rPr>
      </w:pPr>
    </w:p>
    <w:p>
      <w:pPr>
        <w:widowControl w:val="0"/>
        <w:ind w:firstLine="0" w:firstLineChars="0"/>
        <w:jc w:val="both"/>
        <w:outlineLvl w:val="1"/>
        <w:rPr>
          <w:rFonts w:ascii="楷体" w:hAnsi="楷体" w:eastAsia="宋体" w:cs="楷体"/>
          <w:b/>
          <w:bCs/>
          <w:kern w:val="2"/>
          <w:sz w:val="30"/>
          <w:szCs w:val="30"/>
          <w:lang w:val="en-US" w:eastAsia="zh-CN" w:bidi="ar-SA"/>
        </w:rPr>
      </w:pPr>
    </w:p>
    <w:p>
      <w:pPr>
        <w:adjustRightInd/>
        <w:snapToGrid/>
        <w:spacing w:line="240" w:lineRule="auto"/>
        <w:ind w:firstLine="0" w:firstLineChars="0"/>
        <w:rPr>
          <w:rFonts w:ascii="Times New Roman" w:hAnsi="Times New Roman" w:eastAsia="宋体" w:cs="Times New Roman"/>
          <w:sz w:val="21"/>
          <w:szCs w:val="22"/>
        </w:rPr>
      </w:pP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w:t>
      </w:r>
    </w:p>
    <w:p>
      <w:pPr>
        <w:keepNext w:val="0"/>
        <w:keepLines w:val="0"/>
        <w:pageBreakBefore w:val="0"/>
        <w:widowControl w:val="0"/>
        <w:kinsoku/>
        <w:wordWrap/>
        <w:overflowPunct/>
        <w:topLinePunct w:val="0"/>
        <w:autoSpaceDN/>
        <w:bidi w:val="0"/>
        <w:adjustRightInd w:val="0"/>
        <w:snapToGrid w:val="0"/>
        <w:spacing w:line="420" w:lineRule="exact"/>
        <w:jc w:val="center"/>
        <w:textAlignment w:val="auto"/>
        <w:rPr>
          <w:rFonts w:hint="eastAsia" w:ascii="楷体_GB2312" w:hAnsi="楷体_GB2312" w:eastAsia="楷体_GB2312" w:cs="楷体_GB2312"/>
          <w:b/>
          <w:bCs w:val="0"/>
          <w:color w:val="auto"/>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kinsoku/>
        <w:wordWrap/>
        <w:overflowPunct/>
        <w:topLinePunct w:val="0"/>
        <w:autoSpaceDN/>
        <w:bidi w:val="0"/>
        <w:adjustRightInd w:val="0"/>
        <w:snapToGrid w:val="0"/>
        <w:spacing w:before="0" w:beforeLines="0" w:after="0" w:afterLines="0" w:line="420" w:lineRule="exact"/>
        <w:jc w:val="center"/>
        <w:textAlignment w:val="auto"/>
        <w:rPr>
          <w:rFonts w:hint="eastAsia" w:ascii="方正小标宋简体" w:hAnsi="方正小标宋简体" w:eastAsia="方正小标宋简体" w:cs="方正小标宋简体"/>
          <w:b w:val="0"/>
          <w:bCs w:val="0"/>
          <w:color w:val="auto"/>
          <w:sz w:val="36"/>
          <w:szCs w:val="36"/>
        </w:rPr>
      </w:pPr>
      <w:bookmarkStart w:id="0" w:name="_Toc45722995"/>
      <w:r>
        <w:rPr>
          <w:rFonts w:hint="eastAsia" w:ascii="方正小标宋简体" w:hAnsi="方正小标宋简体" w:eastAsia="方正小标宋简体" w:cs="方正小标宋简体"/>
          <w:b w:val="0"/>
          <w:bCs w:val="0"/>
          <w:color w:val="auto"/>
          <w:sz w:val="36"/>
          <w:szCs w:val="36"/>
        </w:rPr>
        <w:t>综合说明</w:t>
      </w:r>
      <w:bookmarkEnd w:id="0"/>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ascii="Times New Roman" w:hAnsi="Times New Roman"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 w:name="_Toc45722996"/>
      <w:bookmarkStart w:id="2" w:name="_Toc14854180"/>
      <w:r>
        <w:rPr>
          <w:rFonts w:hint="eastAsia" w:ascii="黑体" w:hAnsi="黑体" w:eastAsia="黑体" w:cs="黑体"/>
          <w:b w:val="0"/>
          <w:bCs w:val="0"/>
          <w:color w:val="auto"/>
          <w:kern w:val="2"/>
          <w:sz w:val="28"/>
          <w:szCs w:val="28"/>
          <w:lang w:val="en-US" w:eastAsia="zh-CN" w:bidi="ar-SA"/>
        </w:rPr>
        <w:t>项目背景</w:t>
      </w:r>
      <w:bookmarkEnd w:id="1"/>
      <w:bookmarkEnd w:id="2"/>
    </w:p>
    <w:p>
      <w:pPr>
        <w:keepNext w:val="0"/>
        <w:keepLines w:val="0"/>
        <w:pageBreakBefore w:val="0"/>
        <w:widowControl w:val="0"/>
        <w:kinsoku/>
        <w:wordWrap/>
        <w:overflowPunct/>
        <w:topLinePunct w:val="0"/>
        <w:autoSpaceDE/>
        <w:autoSpaceDN/>
        <w:bidi w:val="0"/>
        <w:adjustRightInd w:val="0"/>
        <w:snapToGrid w:val="0"/>
        <w:spacing w:line="420" w:lineRule="exact"/>
        <w:ind w:firstLine="561"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在中国共产党第十九次全国代表大会上的报告》中提出的“实施乡村振兴战略，要坚持农业农村优先发展，按照产业兴旺、生态宜居、乡风文明、治理有效、生活富裕的总要求，建立健全城乡融合发展体制机制和政策体系，加快推进农业农村现代化；确保国家粮食安全，把中国人的饭碗牢牢端在自己手中；促进农村一二三产业融合发展，支持和鼓励农民就业创业，拓宽增收渠道”精神，以习近平新时代中国特色社会主义思想为指导，全面贯彻中央和省委农村工作会议精神，按照新形势下保障国家粮食安全和深化农业供给侧结构性改革的总体要求，深入实施藏粮于地、藏粮于技战略，集中力量抓好高标准农田建设，完善高标准农田建设规划体系，推动高标准农田建设项目与现代农业协同推进，为农村土地流转创造条件，为保障国家粮食安全、实现乡村振兴作出贡献。积极开展高标准农田建设工作是稳步提高农业综合生产能力、保障国家粮食长久安全的基础；是打造粮食核心产区、发展现代农业、建设</w:t>
      </w:r>
      <w:r>
        <w:rPr>
          <w:rFonts w:hint="eastAsia" w:ascii="仿宋_GB2312" w:hAnsi="仿宋_GB2312" w:eastAsia="仿宋_GB2312" w:cs="仿宋_GB2312"/>
          <w:snapToGrid w:val="0"/>
          <w:color w:val="auto"/>
          <w:spacing w:val="-6"/>
          <w:kern w:val="0"/>
          <w:sz w:val="28"/>
          <w:szCs w:val="28"/>
        </w:rPr>
        <w:t>美丽乡村的现实要求；是进一步提升农业</w:t>
      </w:r>
      <w:r>
        <w:rPr>
          <w:rFonts w:hint="eastAsia" w:ascii="仿宋_GB2312" w:hAnsi="仿宋_GB2312" w:cs="仿宋_GB2312"/>
          <w:snapToGrid w:val="0"/>
          <w:color w:val="auto"/>
          <w:spacing w:val="-6"/>
          <w:kern w:val="0"/>
          <w:sz w:val="28"/>
          <w:szCs w:val="28"/>
          <w:lang w:eastAsia="zh-CN"/>
        </w:rPr>
        <w:t>生产</w:t>
      </w:r>
      <w:r>
        <w:rPr>
          <w:rFonts w:hint="eastAsia" w:ascii="仿宋_GB2312" w:hAnsi="仿宋_GB2312" w:eastAsia="仿宋_GB2312" w:cs="仿宋_GB2312"/>
          <w:snapToGrid w:val="0"/>
          <w:color w:val="auto"/>
          <w:spacing w:val="-6"/>
          <w:kern w:val="0"/>
          <w:sz w:val="28"/>
          <w:szCs w:val="28"/>
        </w:rPr>
        <w:t>水平和创新开发的需要</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1"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县经过农田建设的地区，有力地改善了农业基础条件，改进了农业生产方式，优化了农业种植结构，提高了农业综合生产能力，拓宽了农民增收渠道，加快了农业产业化、现代化进程，深受项目区受益群众的欢迎和拥护。鉴于此，县、乡（镇）各级政府高度重视</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度农田建设项目，并专门召开会议研究项目有关事宜，积极协调相关部门，并与项目区群众代表等相关人员进行了实地考察，现场论证，按照“统一规划布局，统一建设标准，集中连片投入，整体推进，达到投一片建一片的目的”的要求，在严格对照《XX县20</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年高标准农田项目统一上图入库》资料进行筛选的基础上，筛选2011年以来未实施过高标项目的区域，拟定在XX镇、XX镇、XX镇等三个乡镇内实施“XX市XX县XX镇等3个乡镇高标准农田建设项目（</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年度）”2.16万亩（其中高效节水灌溉面积1000亩）。XX县所在地各部门2011-2019年在本项目涉及镇、村已实施的上图入库情况见表1.1-1。</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Times New Roman" w:hAnsi="宋体" w:eastAsia="黑体" w:cs="Times New Roman"/>
          <w:b/>
          <w:color w:val="auto"/>
          <w:kern w:val="3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表1.1-1  项目区 2011-2019 年已上图入库情况统计表</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Times New Roman" w:hAnsi="宋体" w:eastAsia="黑体" w:cs="Times New Roman"/>
          <w:b/>
          <w:color w:val="auto"/>
          <w:kern w:val="32"/>
          <w:sz w:val="28"/>
          <w:szCs w:val="28"/>
          <w:lang w:val="en-US" w:eastAsia="zh-CN" w:bidi="ar-SA"/>
        </w:rPr>
      </w:pP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35"/>
        <w:gridCol w:w="1382"/>
        <w:gridCol w:w="1458"/>
        <w:gridCol w:w="1361"/>
        <w:gridCol w:w="1197"/>
        <w:gridCol w:w="1344"/>
        <w:gridCol w:w="1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10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乡镇名</w:t>
            </w:r>
          </w:p>
        </w:tc>
        <w:tc>
          <w:tcPr>
            <w:tcW w:w="138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行政村名</w:t>
            </w:r>
          </w:p>
        </w:tc>
        <w:tc>
          <w:tcPr>
            <w:tcW w:w="145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自然村名</w:t>
            </w:r>
          </w:p>
        </w:tc>
        <w:tc>
          <w:tcPr>
            <w:tcW w:w="255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耕地面积（亩）</w:t>
            </w:r>
          </w:p>
        </w:tc>
        <w:tc>
          <w:tcPr>
            <w:tcW w:w="134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已上图入库面积(亩)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水田</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旱地</w:t>
            </w:r>
          </w:p>
        </w:tc>
        <w:tc>
          <w:tcPr>
            <w:tcW w:w="134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38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毛家岗村</w:t>
            </w: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马家村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918.9</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1040.3</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1959</w:t>
            </w:r>
          </w:p>
        </w:tc>
        <w:tc>
          <w:tcPr>
            <w:tcW w:w="1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李家村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1608.9</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825.6</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2434</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兴隆村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1416.0</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590.3</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2006</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3943.8</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2456.2</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6399.9</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杨家村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1908.0</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1248.5</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3157</w:t>
            </w:r>
          </w:p>
        </w:tc>
        <w:tc>
          <w:tcPr>
            <w:tcW w:w="1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汉泗村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1938.8</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1245.8</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3185</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复兴村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1739.3</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895.0</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2634</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5586.1</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3389.4</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8975.4</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黄林堰村</w:t>
            </w: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南江村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2527.3</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1250.2</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3777</w:t>
            </w:r>
          </w:p>
        </w:tc>
        <w:tc>
          <w:tcPr>
            <w:tcW w:w="1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1464.1</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570.2</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2034</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3991.4</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1820.4</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5811.8</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84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13521.27 </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7665.91 </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21187.18 </w:t>
            </w:r>
          </w:p>
        </w:tc>
        <w:tc>
          <w:tcPr>
            <w:tcW w:w="12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毛家岗镇</w:t>
            </w:r>
          </w:p>
        </w:tc>
        <w:tc>
          <w:tcPr>
            <w:tcW w:w="13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清泉村</w:t>
            </w: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青泉村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4154.9</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2743.9</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6899</w:t>
            </w:r>
          </w:p>
        </w:tc>
        <w:tc>
          <w:tcPr>
            <w:tcW w:w="12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4154.9</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2743.9</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6898.8</w:t>
            </w:r>
          </w:p>
        </w:tc>
        <w:tc>
          <w:tcPr>
            <w:tcW w:w="12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38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金坪村</w:t>
            </w: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3987.0</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1886.9</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5874</w:t>
            </w:r>
          </w:p>
        </w:tc>
        <w:tc>
          <w:tcPr>
            <w:tcW w:w="12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长安村</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1684.0</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1133.2</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2817</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5671.0</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3020.1</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8691.1</w:t>
            </w:r>
          </w:p>
        </w:tc>
        <w:tc>
          <w:tcPr>
            <w:tcW w:w="12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87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23347.2</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13429.9</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36777.1</w:t>
            </w:r>
          </w:p>
        </w:tc>
        <w:tc>
          <w:tcPr>
            <w:tcW w:w="12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4797</w:t>
            </w:r>
          </w:p>
        </w:tc>
      </w:tr>
    </w:tbl>
    <w:p>
      <w:pPr>
        <w:keepNext w:val="0"/>
        <w:keepLines w:val="0"/>
        <w:pageBreakBefore w:val="0"/>
        <w:widowControl w:val="0"/>
        <w:kinsoku/>
        <w:wordWrap/>
        <w:overflowPunct/>
        <w:topLinePunct w:val="0"/>
        <w:autoSpaceDN/>
        <w:bidi w:val="0"/>
        <w:adjustRightInd w:val="0"/>
        <w:snapToGrid w:val="0"/>
        <w:spacing w:line="420" w:lineRule="exact"/>
        <w:ind w:firstLine="560" w:firstLineChars="0"/>
        <w:jc w:val="center"/>
        <w:textAlignment w:val="auto"/>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lang w:val="en-US" w:eastAsia="zh-CN"/>
        </w:rPr>
      </w:pPr>
      <w:bookmarkStart w:id="3" w:name="_Toc45722997"/>
      <w:bookmarkStart w:id="4" w:name="_Toc2357"/>
      <w:r>
        <w:rPr>
          <w:rFonts w:hint="eastAsia" w:ascii="仿宋_GB2312" w:hAnsi="仿宋_GB2312" w:eastAsia="仿宋_GB2312" w:cs="仿宋_GB2312"/>
          <w:color w:val="auto"/>
          <w:sz w:val="28"/>
          <w:szCs w:val="28"/>
        </w:rPr>
        <w:t>XX县2020年高标准农田建设任务为2.16万亩，经XX县农业农村局委托招标代理机构进行招投标，XX院设计中标XX市XX县XX镇等3个乡镇高标准农田建设项目（2020年度）初步设计编制任务。我院</w:t>
      </w:r>
      <w:r>
        <w:rPr>
          <w:rFonts w:hint="eastAsia" w:ascii="仿宋_GB2312" w:hAnsi="仿宋_GB2312" w:eastAsia="仿宋_GB2312" w:cs="仿宋_GB2312"/>
          <w:color w:val="auto"/>
          <w:sz w:val="28"/>
          <w:szCs w:val="28"/>
          <w:lang w:eastAsia="zh-CN"/>
        </w:rPr>
        <w:t>（公司）</w:t>
      </w:r>
      <w:r>
        <w:rPr>
          <w:rFonts w:hint="eastAsia" w:ascii="仿宋_GB2312" w:hAnsi="仿宋_GB2312" w:eastAsia="仿宋_GB2312" w:cs="仿宋_GB2312"/>
          <w:color w:val="auto"/>
          <w:sz w:val="28"/>
          <w:szCs w:val="28"/>
        </w:rPr>
        <w:t>组织精干设计团队，对建设项目进行了认真的调研、勘测、设计、评估论证，编制完成了XX市XX县XX镇等3个乡镇高标准农田建设项目（202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年度）（以下简称“项目”）初步设计</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注：</w:t>
      </w:r>
      <w:r>
        <w:rPr>
          <w:rFonts w:hint="eastAsia" w:ascii="仿宋_GB2312" w:hAnsi="仿宋_GB2312" w:eastAsia="仿宋_GB2312" w:cs="仿宋_GB2312"/>
          <w:b/>
          <w:bCs/>
          <w:color w:val="auto"/>
          <w:sz w:val="28"/>
          <w:szCs w:val="28"/>
          <w:highlight w:val="none"/>
        </w:rPr>
        <w:t>高标准农田建</w:t>
      </w:r>
      <w:r>
        <w:rPr>
          <w:rFonts w:hint="eastAsia" w:ascii="仿宋_GB2312" w:hAnsi="仿宋_GB2312" w:eastAsia="仿宋_GB2312" w:cs="仿宋_GB2312"/>
          <w:b/>
          <w:bCs/>
          <w:color w:val="auto"/>
          <w:sz w:val="28"/>
          <w:szCs w:val="28"/>
          <w:highlight w:val="none"/>
          <w:lang w:eastAsia="zh-CN"/>
        </w:rPr>
        <w:t>后管护填写本段等涉及建后管护的内容，无需填写高标准农田建设内容。</w:t>
      </w:r>
      <w:r>
        <w:rPr>
          <w:rFonts w:hint="eastAsia" w:ascii="仿宋_GB2312" w:hAnsi="仿宋_GB2312" w:eastAsia="仿宋_GB2312" w:cs="仿宋_GB2312"/>
          <w:color w:val="auto"/>
          <w:sz w:val="28"/>
          <w:szCs w:val="28"/>
          <w:highlight w:val="none"/>
        </w:rPr>
        <w:t>XX县经过农田建设的地区，有力地改善了农业基础条件，改进了农业生产方式，优化了农业种植结构，提高了农业综合生产能力，拓宽了农民增收渠道，加快了农业产业化、现代化进程，深受项目区受益群众的欢迎和拥护。鉴于此，县、乡（镇）各级政府高度重视</w:t>
      </w:r>
      <w:r>
        <w:rPr>
          <w:rFonts w:hint="eastAsia" w:ascii="仿宋_GB2312" w:hAnsi="仿宋_GB2312" w:eastAsia="仿宋_GB2312" w:cs="仿宋_GB2312"/>
          <w:color w:val="auto"/>
          <w:sz w:val="28"/>
          <w:szCs w:val="28"/>
          <w:highlight w:val="none"/>
          <w:lang w:eastAsia="zh-CN"/>
        </w:rPr>
        <w:t>项目建后管护，根据建成的高标项目和自然资源部门完成移交的垦造水田项目</w:t>
      </w:r>
      <w:r>
        <w:rPr>
          <w:rFonts w:hint="eastAsia" w:ascii="仿宋_GB2312" w:hAnsi="仿宋_GB2312" w:eastAsia="仿宋_GB2312" w:cs="仿宋_GB2312"/>
          <w:color w:val="auto"/>
          <w:sz w:val="28"/>
          <w:szCs w:val="28"/>
          <w:highlight w:val="none"/>
        </w:rPr>
        <w:t>，拟定在XX镇、XX镇、XX镇等三个乡镇内实施“XX市XX县XX镇等3个乡镇高标准农田建</w:t>
      </w:r>
      <w:r>
        <w:rPr>
          <w:rFonts w:hint="eastAsia" w:ascii="仿宋_GB2312" w:hAnsi="仿宋_GB2312" w:eastAsia="仿宋_GB2312" w:cs="仿宋_GB2312"/>
          <w:color w:val="auto"/>
          <w:sz w:val="28"/>
          <w:szCs w:val="28"/>
          <w:highlight w:val="none"/>
          <w:lang w:eastAsia="zh-CN"/>
        </w:rPr>
        <w:t>后管护</w:t>
      </w:r>
      <w:r>
        <w:rPr>
          <w:rFonts w:hint="eastAsia" w:ascii="仿宋_GB2312" w:hAnsi="仿宋_GB2312" w:eastAsia="仿宋_GB2312" w:cs="仿宋_GB2312"/>
          <w:color w:val="auto"/>
          <w:sz w:val="28"/>
          <w:szCs w:val="28"/>
          <w:highlight w:val="none"/>
        </w:rPr>
        <w:t>项目（202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年度）”2.16万亩（其中</w:t>
      </w:r>
      <w:r>
        <w:rPr>
          <w:rFonts w:hint="eastAsia" w:ascii="仿宋_GB2312" w:hAnsi="仿宋_GB2312" w:eastAsia="仿宋_GB2312" w:cs="仿宋_GB2312"/>
          <w:color w:val="auto"/>
          <w:sz w:val="28"/>
          <w:szCs w:val="28"/>
          <w:highlight w:val="none"/>
          <w:lang w:eastAsia="zh-CN"/>
        </w:rPr>
        <w:t>垦造水田项目后期管护</w:t>
      </w:r>
      <w:r>
        <w:rPr>
          <w:rFonts w:hint="eastAsia" w:ascii="仿宋_GB2312" w:hAnsi="仿宋_GB2312" w:eastAsia="仿宋_GB2312" w:cs="仿宋_GB2312"/>
          <w:color w:val="auto"/>
          <w:sz w:val="28"/>
          <w:szCs w:val="28"/>
          <w:highlight w:val="none"/>
        </w:rPr>
        <w:t>面积1000亩）。</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项目名称</w:t>
      </w:r>
      <w:bookmarkEnd w:id="3"/>
      <w:bookmarkEnd w:id="4"/>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项目的全称：（XX市XX县</w:t>
      </w:r>
      <w:r>
        <w:rPr>
          <w:rFonts w:hint="eastAsia" w:ascii="仿宋_GB2312" w:hAnsi="Times New Roman" w:eastAsia="仿宋_GB2312" w:cs="Times New Roman"/>
          <w:color w:val="auto"/>
          <w:sz w:val="28"/>
          <w:szCs w:val="28"/>
          <w:lang w:val="en-US" w:eastAsia="zh-CN"/>
        </w:rPr>
        <w:t>XX镇XX村（片区）</w:t>
      </w:r>
      <w:r>
        <w:rPr>
          <w:rFonts w:hint="eastAsia" w:ascii="仿宋_GB2312" w:hAnsi="Times New Roman" w:eastAsia="仿宋_GB2312" w:cs="Times New Roman"/>
          <w:color w:val="auto"/>
          <w:sz w:val="28"/>
          <w:szCs w:val="28"/>
        </w:rPr>
        <w:t>高标准农田建</w:t>
      </w:r>
      <w:r>
        <w:rPr>
          <w:rFonts w:hint="eastAsia" w:ascii="仿宋_GB2312" w:hAnsi="Times New Roman" w:eastAsia="仿宋_GB2312" w:cs="Times New Roman"/>
          <w:color w:val="auto"/>
          <w:sz w:val="28"/>
          <w:szCs w:val="28"/>
          <w:highlight w:val="none"/>
        </w:rPr>
        <w:t>设</w:t>
      </w:r>
      <w:r>
        <w:rPr>
          <w:rFonts w:hint="eastAsia" w:ascii="仿宋_GB2312" w:hAnsi="Times New Roman" w:eastAsia="仿宋_GB2312" w:cs="Times New Roman"/>
          <w:color w:val="auto"/>
          <w:sz w:val="28"/>
          <w:szCs w:val="28"/>
          <w:highlight w:val="none"/>
          <w:lang w:val="en-US" w:eastAsia="zh-CN"/>
        </w:rPr>
        <w:t>/建后管护</w:t>
      </w:r>
      <w:r>
        <w:rPr>
          <w:rFonts w:hint="eastAsia" w:ascii="仿宋_GB2312" w:hAnsi="Times New Roman" w:eastAsia="仿宋_GB2312" w:cs="Times New Roman"/>
          <w:color w:val="auto"/>
          <w:sz w:val="28"/>
          <w:szCs w:val="28"/>
          <w:highlight w:val="none"/>
        </w:rPr>
        <w:t>项目</w:t>
      </w:r>
      <w:r>
        <w:rPr>
          <w:rFonts w:hint="eastAsia" w:ascii="仿宋_GB2312" w:hAnsi="Times New Roman" w:eastAsia="仿宋_GB2312" w:cs="Times New Roman"/>
          <w:color w:val="auto"/>
          <w:sz w:val="28"/>
          <w:szCs w:val="28"/>
        </w:rPr>
        <w:t>（202</w:t>
      </w:r>
      <w:r>
        <w:rPr>
          <w:rFonts w:hint="eastAsia" w:ascii="仿宋_GB2312" w:hAnsi="Times New Roman" w:eastAsia="仿宋_GB2312" w:cs="Times New Roman"/>
          <w:color w:val="auto"/>
          <w:sz w:val="28"/>
          <w:szCs w:val="28"/>
          <w:lang w:val="en-US" w:eastAsia="zh-CN"/>
        </w:rPr>
        <w:t>2</w:t>
      </w:r>
      <w:r>
        <w:rPr>
          <w:rFonts w:hint="eastAsia" w:ascii="仿宋_GB2312" w:hAnsi="Times New Roman" w:eastAsia="仿宋_GB2312" w:cs="Times New Roman"/>
          <w:color w:val="auto"/>
          <w:sz w:val="28"/>
          <w:szCs w:val="28"/>
        </w:rPr>
        <w:t>年度））。</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default" w:ascii="黑体" w:hAnsi="黑体" w:eastAsia="黑体" w:cs="黑体"/>
          <w:b w:val="0"/>
          <w:bCs w:val="0"/>
          <w:color w:val="auto"/>
          <w:kern w:val="2"/>
          <w:sz w:val="28"/>
          <w:szCs w:val="28"/>
          <w:lang w:val="en-US" w:eastAsia="zh-CN" w:bidi="ar-SA"/>
        </w:rPr>
      </w:pPr>
      <w:bookmarkStart w:id="5" w:name="_Toc45722998"/>
      <w:bookmarkStart w:id="6" w:name="_Toc9991"/>
      <w:r>
        <w:rPr>
          <w:rFonts w:hint="eastAsia" w:ascii="黑体" w:hAnsi="黑体" w:eastAsia="黑体" w:cs="黑体"/>
          <w:b w:val="0"/>
          <w:bCs w:val="0"/>
          <w:color w:val="auto"/>
          <w:kern w:val="2"/>
          <w:sz w:val="28"/>
          <w:szCs w:val="28"/>
          <w:lang w:val="en-US" w:eastAsia="zh-CN" w:bidi="ar-SA"/>
        </w:rPr>
        <w:t>主管部门</w:t>
      </w:r>
      <w:bookmarkEnd w:id="5"/>
      <w:bookmarkEnd w:id="6"/>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项目主管部门的全称：（XX市XX县农业农村局）。</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 w:name="_Toc45722999"/>
      <w:bookmarkStart w:id="8" w:name="_Toc14854181"/>
      <w:r>
        <w:rPr>
          <w:rFonts w:hint="eastAsia" w:ascii="黑体" w:hAnsi="黑体" w:eastAsia="黑体" w:cs="黑体"/>
          <w:b w:val="0"/>
          <w:bCs w:val="0"/>
          <w:color w:val="auto"/>
          <w:kern w:val="2"/>
          <w:sz w:val="28"/>
          <w:szCs w:val="28"/>
          <w:lang w:val="en-US" w:eastAsia="zh-CN" w:bidi="ar-SA"/>
        </w:rPr>
        <w:t>项目区范围、任务、主要建设内容及工期</w:t>
      </w:r>
      <w:bookmarkEnd w:id="7"/>
      <w:bookmarkEnd w:id="8"/>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项目区范围</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项目实施地点位于XX镇的XX、</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岗、</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村；XX镇的</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村；XX镇的</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村，共3个镇5个村。项目区北面以</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村为界，该村地理坐标为东经111°49′86″,北纬29°31′44″；西部以XX村为界，该村地理坐标为东经111°48′18″,北纬29°30′72″；东部以黄林堰村为界，该村地理坐标为东经111°53′64″, 北纬29°31′14″；南部以金坪村为界，该村地理坐标为东经111°51′18″,北纬29°28′44″。项目区国土面积53.58平方公里。</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建设任务与目标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（1）建设任务 </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XX市XX县XX镇等3个乡镇高标准农田建设项目（202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年度）高标准农田建设任务为2.16万亩，其中高效节水灌溉面积0.1万亩。</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（2）建设目标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高标准农田建设总体规划要求，统筹规划田、土、水、路、林、电等高标准农田的相关建设内容，以行政村为基本单元，集中连片、规模开发，整体推进，建成“旱涝保收、高产稳产、生态友好”的高标准农田2.16万亩。</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土地平整。合理确定的耕地和基本农田布局，合理划分和适度归并田块，平整土地，减小农田地表坡降，合理确定田块的长度和宽度。建成后，实现田块相对集中，农田有效土层厚度达到50cm以上，耕作层厚度达到20cm以上，田间基础设施占地率下降到8%以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2）土壤改良。通过施用生石灰、深耕、改善灌排条件等措施改良土壤理化性状；施用农家肥、秸杆还田、种植绿肥、种植肥用油菜等措施，提升土壤有机质含量。耕地质量提高0.5个等级。</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3）灌溉与排水标准。灌溉设计保证率达90%；灌溉水利用系数达到0.76；水稻区10年一遇的3d暴雨，3d排至作物的耐淹深度；旱地排涝标准为10年一遇的1d暴雨，1d排至田面无积水。</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渠系建筑物配套完整，满足灌溉与排水系统要求。项目区有效灌溉面积增加，灌溉保证率、用水效率、排水能力提高，渍、涝、洪、旱灾减轻。</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4）高效节水灌溉。设计管道水利用系数不低于0.90，灌溉水利用系数达到0.86。</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5）田间道路畅通。路网布局科学，路面宽度合理，丘岗冲垄区田间道路通达度达到90%，满足农业机械化需求。</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6）林网建设适宜：防御风蚀能力提高，水土流失减少，农田生态环境改善。造林当年成活率达到95%以上，三年后保存率要达到90%以上，农村人居环境得到较大改善。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科技推广措施。在项目区推广先进适用技术，重点是良种、良法等先进适用生产技术；加强对项目区受益农民先进适用技术培训；适当支持具有技术推广服务功能的农民专业合作经济组织。在项目区推广使用频振式太阳能杀虫灯。</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8）粮食综合生产能力提高30kg/亩以上。</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9）灌溉水源质量保证年限不低于20年，田间基础设施不低于15年，输水管道及其配套设施工程质量保证年限不少于15年。</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主要建设内容</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根据项目区存在的问题，本项目涉及土壤改良工程、灌溉与排水工程、高效节水灌溉工程、田间道路工程、农田防护和生态环境保护工程和科技推广措施等六大工程。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（1）土壤改良工程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土壤改良总面积1.96万亩，其中：贫瘠土壤改良面积1.67万亩，酸性土壤改良面积0.29万亩。</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（2）灌溉排水工程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1）水源工程：加固改造堰塘66座（其中项目区外填平补齐14座），改造电灌站1座。</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2）输排水工程：改造灌排沟渠47条1.96km，其中改造田间渠（QT）7条0.13km，灌渠（QG）13条0.98km（其中4条骨干灌渠），灌排渠（QP）20条0.65km。</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渠系建筑物：新建人行桥116处，机耕桥57座，节制闸85处，过路圆涵121处，分水口293处，下河踏步82处，跌水31处。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（3）高效节水灌溉工程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新建低压管道输水灌溉面积0.1万亩，铺设输水管道1.9km，配套闸阀井14处，给水栓井39处。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（4）田间道路工程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新修、整修机耕路36条15.13km；配套下田坡道119座，会车道52处。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（5）农田防护及生态环境保持工程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新建护路护沟（渠）林2973m，人居环境整治5处（堰塘护岸、绿化、修建行人漫步道）。</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（6）科技推广措施</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推广使用频振式太阳能杀虫灯100套。</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建设工期</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本项目建设期为9个月，其中：工程筹建期安排在</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年的7月1日至</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年9月30日；主体工程施工期从</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年10月1日至202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年3月15日；工程扫尾从</w:t>
      </w:r>
      <w:r>
        <w:rPr>
          <w:rFonts w:hint="eastAsia" w:ascii="仿宋_GB2312" w:hAnsi="仿宋_GB2312" w:eastAsia="仿宋_GB2312" w:cs="仿宋_GB2312"/>
          <w:color w:val="auto"/>
          <w:sz w:val="28"/>
          <w:szCs w:val="28"/>
          <w:lang w:eastAsia="zh-CN"/>
        </w:rPr>
        <w:t>2023</w:t>
      </w:r>
      <w:r>
        <w:rPr>
          <w:rFonts w:hint="eastAsia" w:ascii="仿宋_GB2312" w:hAnsi="仿宋_GB2312" w:eastAsia="仿宋_GB2312" w:cs="仿宋_GB2312"/>
          <w:color w:val="auto"/>
          <w:sz w:val="28"/>
          <w:szCs w:val="28"/>
        </w:rPr>
        <w:t>年3月15日至3月31日；竣工验收从</w:t>
      </w:r>
      <w:r>
        <w:rPr>
          <w:rFonts w:hint="eastAsia" w:ascii="仿宋_GB2312" w:hAnsi="仿宋_GB2312" w:eastAsia="仿宋_GB2312" w:cs="仿宋_GB2312"/>
          <w:color w:val="auto"/>
          <w:sz w:val="28"/>
          <w:szCs w:val="28"/>
          <w:lang w:eastAsia="zh-CN"/>
        </w:rPr>
        <w:t>2023</w:t>
      </w:r>
      <w:r>
        <w:rPr>
          <w:rFonts w:hint="eastAsia" w:ascii="仿宋_GB2312" w:hAnsi="仿宋_GB2312" w:eastAsia="仿宋_GB2312" w:cs="仿宋_GB2312"/>
          <w:color w:val="auto"/>
          <w:sz w:val="28"/>
          <w:szCs w:val="28"/>
        </w:rPr>
        <w:t>年4月1日至4月30日。</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9" w:name="_Toc45723000"/>
      <w:bookmarkStart w:id="10" w:name="_Toc14854182"/>
      <w:r>
        <w:rPr>
          <w:rFonts w:hint="eastAsia" w:ascii="黑体" w:hAnsi="黑体" w:eastAsia="黑体" w:cs="黑体"/>
          <w:b w:val="0"/>
          <w:bCs w:val="0"/>
          <w:color w:val="auto"/>
          <w:kern w:val="2"/>
          <w:sz w:val="28"/>
          <w:szCs w:val="28"/>
          <w:lang w:val="en-US" w:eastAsia="zh-CN" w:bidi="ar-SA"/>
        </w:rPr>
        <w:t>概算和资金筹措</w:t>
      </w:r>
      <w:bookmarkEnd w:id="9"/>
      <w:bookmarkEnd w:id="10"/>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项目概算投资总额为</w:t>
      </w:r>
      <w:r>
        <w:rPr>
          <w:rFonts w:hint="eastAsia" w:ascii="仿宋_GB2312" w:hAnsi="仿宋_GB2312" w:eastAsia="仿宋_GB2312" w:cs="仿宋_GB2312"/>
          <w:color w:val="auto"/>
          <w:sz w:val="28"/>
          <w:szCs w:val="28"/>
          <w:lang w:val="en-US" w:eastAsia="zh-CN"/>
        </w:rPr>
        <w:t>XXX</w:t>
      </w:r>
      <w:r>
        <w:rPr>
          <w:rFonts w:hint="eastAsia" w:ascii="仿宋_GB2312" w:hAnsi="仿宋_GB2312" w:eastAsia="仿宋_GB2312" w:cs="仿宋_GB2312"/>
          <w:color w:val="auto"/>
          <w:sz w:val="28"/>
          <w:szCs w:val="28"/>
        </w:rPr>
        <w:t>万元，全部来源于财政资金，资金分配比例见表1.3-1。</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表1.3-1  项目资金分配比例表</w:t>
      </w:r>
    </w:p>
    <w:tbl>
      <w:tblPr>
        <w:tblStyle w:val="14"/>
        <w:tblW w:w="9056" w:type="dxa"/>
        <w:jc w:val="center"/>
        <w:tblLayout w:type="fixed"/>
        <w:tblCellMar>
          <w:top w:w="0" w:type="dxa"/>
          <w:left w:w="108" w:type="dxa"/>
          <w:bottom w:w="0" w:type="dxa"/>
          <w:right w:w="108" w:type="dxa"/>
        </w:tblCellMar>
      </w:tblPr>
      <w:tblGrid>
        <w:gridCol w:w="885"/>
        <w:gridCol w:w="3772"/>
        <w:gridCol w:w="2656"/>
        <w:gridCol w:w="1743"/>
      </w:tblGrid>
      <w:tr>
        <w:tblPrEx>
          <w:tblCellMar>
            <w:top w:w="0" w:type="dxa"/>
            <w:left w:w="108" w:type="dxa"/>
            <w:bottom w:w="0" w:type="dxa"/>
            <w:right w:w="108" w:type="dxa"/>
          </w:tblCellMar>
        </w:tblPrEx>
        <w:trPr>
          <w:trHeight w:val="397" w:hRule="atLeast"/>
          <w:tblHeader/>
          <w:jc w:val="center"/>
        </w:trPr>
        <w:tc>
          <w:tcPr>
            <w:tcW w:w="885" w:type="dxa"/>
            <w:vMerge w:val="restart"/>
            <w:tcBorders>
              <w:top w:val="single" w:color="auto" w:sz="12" w:space="0"/>
              <w:left w:val="single" w:color="auto" w:sz="12" w:space="0"/>
              <w:bottom w:val="single" w:color="000000"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序号</w:t>
            </w:r>
          </w:p>
        </w:tc>
        <w:tc>
          <w:tcPr>
            <w:tcW w:w="3772"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明细措施名称</w:t>
            </w:r>
          </w:p>
        </w:tc>
        <w:tc>
          <w:tcPr>
            <w:tcW w:w="4399" w:type="dxa"/>
            <w:gridSpan w:val="2"/>
            <w:tcBorders>
              <w:top w:val="single" w:color="auto" w:sz="12" w:space="0"/>
              <w:left w:val="nil"/>
              <w:bottom w:val="single" w:color="auto" w:sz="8"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投资（万元）</w:t>
            </w:r>
          </w:p>
        </w:tc>
      </w:tr>
      <w:tr>
        <w:tblPrEx>
          <w:tblCellMar>
            <w:top w:w="0" w:type="dxa"/>
            <w:left w:w="108" w:type="dxa"/>
            <w:bottom w:w="0" w:type="dxa"/>
            <w:right w:w="108" w:type="dxa"/>
          </w:tblCellMar>
        </w:tblPrEx>
        <w:trPr>
          <w:trHeight w:val="397" w:hRule="atLeast"/>
          <w:tblHeader/>
          <w:jc w:val="center"/>
        </w:trPr>
        <w:tc>
          <w:tcPr>
            <w:tcW w:w="885" w:type="dxa"/>
            <w:vMerge w:val="continue"/>
            <w:tcBorders>
              <w:top w:val="single" w:color="auto" w:sz="12" w:space="0"/>
              <w:left w:val="single" w:color="auto" w:sz="12"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3772" w:type="dxa"/>
            <w:vMerge w:val="continue"/>
            <w:tcBorders>
              <w:top w:val="single" w:color="auto" w:sz="12"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合计</w:t>
            </w: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占比（%）</w:t>
            </w: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Ⅰ</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总投资</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土地平整</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土壤改良</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灌溉排水</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高效节水灌溉</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田间道路</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农田防护与生态环境保护</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农田输配电</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377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科技推广措施</w:t>
            </w:r>
          </w:p>
        </w:tc>
        <w:tc>
          <w:tcPr>
            <w:tcW w:w="26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12" w:space="0"/>
              <w:bottom w:val="single" w:color="auto" w:sz="12"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w:t>
            </w:r>
          </w:p>
        </w:tc>
        <w:tc>
          <w:tcPr>
            <w:tcW w:w="3772" w:type="dxa"/>
            <w:tcBorders>
              <w:top w:val="nil"/>
              <w:left w:val="nil"/>
              <w:bottom w:val="single" w:color="auto" w:sz="12"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其他工作及措施</w:t>
            </w:r>
          </w:p>
        </w:tc>
        <w:tc>
          <w:tcPr>
            <w:tcW w:w="2656" w:type="dxa"/>
            <w:tcBorders>
              <w:top w:val="nil"/>
              <w:left w:val="nil"/>
              <w:bottom w:val="single" w:color="auto" w:sz="12"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743" w:type="dxa"/>
            <w:tcBorders>
              <w:top w:val="nil"/>
              <w:left w:val="nil"/>
              <w:bottom w:val="single" w:color="auto" w:sz="8"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bl>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1" w:name="_Toc45723001"/>
      <w:bookmarkStart w:id="12" w:name="_Toc14854183"/>
      <w:r>
        <w:rPr>
          <w:rFonts w:hint="eastAsia" w:ascii="黑体" w:hAnsi="黑体" w:eastAsia="黑体" w:cs="黑体"/>
          <w:b w:val="0"/>
          <w:bCs w:val="0"/>
          <w:color w:val="auto"/>
          <w:kern w:val="2"/>
          <w:sz w:val="28"/>
          <w:szCs w:val="28"/>
          <w:lang w:val="en-US" w:eastAsia="zh-CN" w:bidi="ar-SA"/>
        </w:rPr>
        <w:t>效益分析和综合评价</w:t>
      </w:r>
      <w:bookmarkEnd w:id="11"/>
      <w:bookmarkEnd w:id="12"/>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经济效益</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1.4.2社会效益</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配套与完善项目区农田水利设施，培育基础地力，项目建设区中低产田使其达到高产稳产粮田标准，增强防灾抗灾能力和技术承载能力；同时在项目区推广是良种、良法等先进适用生产技术，并加强对项目区受益农民先进适用技术培训；其社会效益显著。</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生态效益</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通过农田排灌渠系的配套与完善，机耕道的建设与维修，可显著增强农田保水能力，有效防治水土流失，改善生态环境和农业条件，增强项目区抵御洪涝、干旱等自然灾害的能力。</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经济评价</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本项目总投资为</w:t>
      </w:r>
      <w:r>
        <w:rPr>
          <w:rFonts w:hint="eastAsia" w:ascii="仿宋_GB2312" w:hAnsi="仿宋_GB2312" w:eastAsia="仿宋_GB2312" w:cs="仿宋_GB2312"/>
          <w:color w:val="auto"/>
          <w:sz w:val="28"/>
          <w:szCs w:val="28"/>
          <w:lang w:val="en-US" w:eastAsia="zh-CN"/>
        </w:rPr>
        <w:t>xxx</w:t>
      </w:r>
      <w:r>
        <w:rPr>
          <w:rFonts w:hint="eastAsia" w:ascii="仿宋_GB2312" w:hAnsi="仿宋_GB2312" w:eastAsia="仿宋_GB2312" w:cs="仿宋_GB2312"/>
          <w:color w:val="auto"/>
          <w:sz w:val="28"/>
          <w:szCs w:val="28"/>
        </w:rPr>
        <w:t>万元，调整后投资(影子投资)为</w:t>
      </w:r>
      <w:r>
        <w:rPr>
          <w:rFonts w:hint="eastAsia" w:ascii="仿宋_GB2312" w:hAnsi="仿宋_GB2312" w:eastAsia="仿宋_GB2312" w:cs="仿宋_GB2312"/>
          <w:color w:val="auto"/>
          <w:sz w:val="28"/>
          <w:szCs w:val="28"/>
          <w:lang w:val="en-US" w:eastAsia="zh-CN"/>
        </w:rPr>
        <w:t>xxx</w:t>
      </w:r>
      <w:r>
        <w:rPr>
          <w:rFonts w:hint="eastAsia" w:ascii="仿宋_GB2312" w:hAnsi="仿宋_GB2312" w:eastAsia="仿宋_GB2312" w:cs="仿宋_GB2312"/>
          <w:color w:val="auto"/>
          <w:sz w:val="28"/>
          <w:szCs w:val="28"/>
        </w:rPr>
        <w:t>万元，经过经济现金流量计算，项目实施后，经济净现值</w:t>
      </w:r>
      <w:r>
        <w:rPr>
          <w:rFonts w:hint="eastAsia" w:ascii="仿宋_GB2312" w:hAnsi="仿宋_GB2312" w:eastAsia="仿宋_GB2312" w:cs="仿宋_GB2312"/>
          <w:color w:val="auto"/>
          <w:sz w:val="28"/>
          <w:szCs w:val="28"/>
          <w:lang w:val="en-US" w:eastAsia="zh-CN"/>
        </w:rPr>
        <w:t>xxx</w:t>
      </w:r>
      <w:r>
        <w:rPr>
          <w:rFonts w:hint="eastAsia" w:ascii="仿宋_GB2312" w:hAnsi="仿宋_GB2312" w:eastAsia="仿宋_GB2312" w:cs="仿宋_GB2312"/>
          <w:color w:val="auto"/>
          <w:sz w:val="28"/>
          <w:szCs w:val="28"/>
        </w:rPr>
        <w:t>万元，经济效益费用比(EBCR)为</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，经济内部收益率为</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%，投资回收期Ts为</w:t>
      </w:r>
      <w:r>
        <w:rPr>
          <w:rFonts w:hint="eastAsia" w:ascii="仿宋_GB2312" w:hAnsi="仿宋_GB2312" w:eastAsia="仿宋_GB2312" w:cs="仿宋_GB2312"/>
          <w:color w:val="auto"/>
          <w:sz w:val="28"/>
          <w:szCs w:val="28"/>
          <w:lang w:val="en-US" w:eastAsia="zh-CN"/>
        </w:rPr>
        <w:t>xxx</w:t>
      </w:r>
      <w:r>
        <w:rPr>
          <w:rFonts w:hint="eastAsia" w:ascii="仿宋_GB2312" w:hAnsi="仿宋_GB2312" w:eastAsia="仿宋_GB2312" w:cs="仿宋_GB2312"/>
          <w:color w:val="auto"/>
          <w:sz w:val="28"/>
          <w:szCs w:val="28"/>
        </w:rPr>
        <w:t>年(含建设期)，各项经济指标均符合规范要求，作为社会公益性质的农业建设项目，经济评价可行。</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2" w:firstLineChars="200"/>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3" w:name="_Toc14854184"/>
      <w:bookmarkStart w:id="14" w:name="_Toc45723002"/>
      <w:r>
        <w:rPr>
          <w:rFonts w:hint="eastAsia" w:ascii="仿宋_GB2312" w:hAnsi="仿宋_GB2312" w:eastAsia="仿宋_GB2312" w:cs="仿宋_GB2312"/>
          <w:b/>
          <w:bCs/>
          <w:color w:val="auto"/>
          <w:kern w:val="2"/>
          <w:sz w:val="28"/>
          <w:szCs w:val="28"/>
          <w:lang w:val="en-US" w:eastAsia="zh-CN" w:bidi="ar-SA"/>
        </w:rPr>
        <w:t>组织实施与管理</w:t>
      </w:r>
      <w:bookmarkEnd w:id="13"/>
      <w:bookmarkEnd w:id="14"/>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组织实施机构和管理</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建设项目实施项目法人或业主负责制，XX县农业农村局为该项目法人单位，由项目法人负责整个项目的实施和建设管理。工程施工建设管理包括施工质量管理，项目财务管理，竣工验收管理及档案管理。本项目必须由项目法人单位具体负责项目的实施。对项目建设进度控制、资金拨付、财务资料、工程档案资料、工程质量等实施全过程的管理。</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实施后管护制度</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项目实施后，办理工程移交，以受益村为单位，在XX县农业农村局的指导下，各村对所属的工程进行管护，确保工程正常运行持续发挥效益。</w:t>
      </w:r>
      <w:bookmarkStart w:id="15" w:name="_Toc4104"/>
    </w:p>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left"/>
        <w:textAlignment w:val="auto"/>
        <w:rPr>
          <w:rFonts w:ascii="仿宋" w:hAnsi="仿宋" w:eastAsia="宋体" w:cs="Times New Roman"/>
          <w:color w:val="auto"/>
          <w:sz w:val="28"/>
          <w:szCs w:val="28"/>
        </w:rPr>
      </w:pPr>
      <w:r>
        <w:rPr>
          <w:rFonts w:ascii="仿宋" w:hAnsi="仿宋" w:eastAsia="宋体" w:cs="Times New Roman"/>
          <w:color w:val="auto"/>
          <w:sz w:val="28"/>
          <w:szCs w:val="28"/>
        </w:rPr>
        <w:br w:type="page"/>
      </w:r>
    </w:p>
    <w:p>
      <w:pPr>
        <w:pStyle w:val="4"/>
        <w:keepNext w:val="0"/>
        <w:keepLines w:val="0"/>
        <w:pageBreakBefore w:val="0"/>
        <w:widowControl w:val="0"/>
        <w:kinsoku/>
        <w:wordWrap/>
        <w:overflowPunct/>
        <w:topLinePunct w:val="0"/>
        <w:autoSpaceDN/>
        <w:bidi w:val="0"/>
        <w:adjustRightInd w:val="0"/>
        <w:snapToGrid w:val="0"/>
        <w:spacing w:before="0" w:beforeLines="0" w:after="0" w:afterLines="0" w:line="420" w:lineRule="exact"/>
        <w:textAlignment w:val="auto"/>
        <w:rPr>
          <w:rFonts w:hint="eastAsia" w:ascii="方正小标宋简体" w:hAnsi="方正小标宋简体" w:eastAsia="方正小标宋简体" w:cs="方正小标宋简体"/>
          <w:b w:val="0"/>
          <w:bCs w:val="0"/>
          <w:color w:val="auto"/>
          <w:sz w:val="36"/>
          <w:szCs w:val="36"/>
        </w:rPr>
      </w:pPr>
      <w:bookmarkStart w:id="16" w:name="_Toc45723003"/>
      <w:r>
        <w:rPr>
          <w:rFonts w:hint="eastAsia" w:ascii="方正小标宋简体" w:hAnsi="方正小标宋简体" w:eastAsia="方正小标宋简体" w:cs="方正小标宋简体"/>
          <w:b w:val="0"/>
          <w:bCs w:val="0"/>
          <w:color w:val="auto"/>
          <w:sz w:val="36"/>
          <w:szCs w:val="36"/>
        </w:rPr>
        <w:t>项目选址</w:t>
      </w:r>
      <w:bookmarkEnd w:id="16"/>
    </w:p>
    <w:bookmarkEnd w:id="15"/>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ascii="Times New Roman" w:hAnsi="Times New Roman" w:eastAsia="黑体" w:cs="Times New Roman"/>
          <w:b/>
          <w:bCs/>
          <w:color w:val="auto"/>
          <w:kern w:val="44"/>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7" w:name="_Toc45723004"/>
      <w:bookmarkStart w:id="18" w:name="_Toc5828"/>
      <w:r>
        <w:rPr>
          <w:rFonts w:hint="eastAsia" w:ascii="黑体" w:hAnsi="黑体" w:eastAsia="黑体" w:cs="黑体"/>
          <w:b w:val="0"/>
          <w:bCs w:val="0"/>
          <w:color w:val="auto"/>
          <w:kern w:val="2"/>
          <w:sz w:val="28"/>
          <w:szCs w:val="28"/>
          <w:lang w:val="en-US" w:eastAsia="zh-CN" w:bidi="ar-SA"/>
        </w:rPr>
        <w:t>选址要求</w:t>
      </w:r>
      <w:bookmarkEnd w:id="17"/>
      <w:bookmarkEnd w:id="18"/>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从用地、交通、安全、场区布置、保护环境和生态等方面概述项目建设对选址的原则性要求。选址地点与位置应符合城镇发展规划，满足工程建设和生产工艺要求，并与周边环境相适应。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根据高标准农田建设通则（GB/T 30600-2014）标准第5条建设区域的要求，高标准农田建设选址应遵循以下要求：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1.高标准农田建设区域应相对集中、土壤适合农作物生长、无潜在土壤污染和地质灾害，建设区域外有相关完善的、能直接为建设提供保障的基础设施。</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高标准高农田建设的重点区域包括：土地利用总体规划确定的基本农田保护区、基本农田整备区，《全国新增1000亿斤粮食生产能努力规划（2009-2020年）》确定的粮食主产区、产粮大县，土地整治规划确定的土地整治重点区域、重大工程建设区域和高标准基本农田建设示范县，水利、农业、林业等部门规划确定的重点区域，依据GB/T 28407评定成果确定的县域内等别较高耕地的集中分布区域。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高标准农田建设限制区域包括：水资源贫乏区域，水土流失易发区、沙化区等生态脆弱区域，历史遗留的挖损、塌陷、压占等土地严重损毁且难以恢复的区域，土壤轻度污染的区域，易受自然灾害损毁的区域，沿海滩涂、内陆滩涂等区域。在前述区域开展高标准农田建设需提供国土、水利、环保等部门论证同意的证明材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4.高标准农田建设禁止区域包括：地面坡度大于25°的区域，土壤污染严重的区域，自然保护区的核心区和缓冲区，退耕还林区、退耕还草区，河流、湖泊、水库水面保护范围等区域。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9" w:name="_Toc30824"/>
      <w:bookmarkStart w:id="20" w:name="_Toc45723005"/>
      <w:r>
        <w:rPr>
          <w:rFonts w:hint="eastAsia" w:ascii="黑体" w:hAnsi="黑体" w:eastAsia="黑体" w:cs="黑体"/>
          <w:b w:val="0"/>
          <w:bCs w:val="0"/>
          <w:color w:val="auto"/>
          <w:kern w:val="2"/>
          <w:sz w:val="28"/>
          <w:szCs w:val="28"/>
          <w:lang w:val="en-US" w:eastAsia="zh-CN" w:bidi="ar-SA"/>
        </w:rPr>
        <w:t>选址现状</w:t>
      </w:r>
      <w:bookmarkEnd w:id="19"/>
      <w:bookmarkEnd w:id="20"/>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说明项目选址的现状情况，分地点建设的应分别说明。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21" w:name="_Toc45723006"/>
      <w:r>
        <w:rPr>
          <w:rFonts w:hint="eastAsia" w:ascii="黑体" w:hAnsi="黑体" w:eastAsia="黑体" w:cs="黑体"/>
          <w:b w:val="0"/>
          <w:bCs w:val="0"/>
          <w:color w:val="auto"/>
          <w:kern w:val="2"/>
          <w:sz w:val="28"/>
          <w:szCs w:val="28"/>
          <w:lang w:val="en-US" w:eastAsia="zh-CN" w:bidi="ar-SA"/>
        </w:rPr>
        <w:t>地点与位置</w:t>
      </w:r>
      <w:bookmarkEnd w:id="21"/>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说明项目选址地点的具体位置，并提供地理位置图。</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（1）建设地点在城镇的，应说明所在地街道门牌号。</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（2）建设地点在乡村的，应说明所在乡镇或村队及具体地块位置。规模化的种植业生产项目，应说明所在农田的具体位置。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22" w:name="_Toc45723007"/>
      <w:r>
        <w:rPr>
          <w:rFonts w:hint="eastAsia" w:ascii="黑体" w:hAnsi="黑体" w:eastAsia="黑体" w:cs="黑体"/>
          <w:b w:val="0"/>
          <w:bCs w:val="0"/>
          <w:color w:val="auto"/>
          <w:kern w:val="2"/>
          <w:sz w:val="28"/>
          <w:szCs w:val="28"/>
          <w:lang w:val="en-US" w:eastAsia="zh-CN" w:bidi="ar-SA"/>
        </w:rPr>
        <w:t>土地性质及规划</w:t>
      </w:r>
      <w:bookmarkEnd w:id="22"/>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（1）说明建设范围、占地面积及周边情况。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（2）说明场址所在地土地权属和用地解决方案，按照自有土地、已征(租)地、拟征(租)地等情况分别详细说明，并提供相关证明文件作为附件。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（3）分别说明土地利用规划、城乡建设规划对该地块的具体要求，并提供当地土地管理部门、规划管理部门的审查意见作为附件。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23" w:name="_Toc45723008"/>
      <w:r>
        <w:rPr>
          <w:rFonts w:hint="eastAsia" w:ascii="黑体" w:hAnsi="黑体" w:eastAsia="黑体" w:cs="黑体"/>
          <w:b w:val="0"/>
          <w:bCs w:val="0"/>
          <w:color w:val="auto"/>
          <w:kern w:val="2"/>
          <w:sz w:val="28"/>
          <w:szCs w:val="28"/>
          <w:lang w:val="en-US" w:eastAsia="zh-CN" w:bidi="ar-SA"/>
        </w:rPr>
        <w:t>土地利用</w:t>
      </w:r>
      <w:bookmarkEnd w:id="23"/>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（1）说明选址地块现使用状况，包括地表(下)建(构)筑物、农业田间工程及设施、农作物种植及其他开发利用等情况。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（2）改扩建项目选址应详细说明场地现有建(构)筑物、各项设施等的基本情况。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（3）新增用地的项目应详细说明项目用地情况，并提出节约用地措施。对占用耕地的设施农业用地建设项目，应说明耕地占用与补充落实的情况。</w:t>
      </w:r>
    </w:p>
    <w:p>
      <w:pPr>
        <w:keepNext w:val="0"/>
        <w:keepLines w:val="0"/>
        <w:pageBreakBefore w:val="0"/>
        <w:widowControl w:val="0"/>
        <w:kinsoku/>
        <w:wordWrap/>
        <w:overflowPunct/>
        <w:topLinePunct w:val="0"/>
        <w:autoSpaceDN/>
        <w:bidi w:val="0"/>
        <w:adjustRightInd w:val="0"/>
        <w:snapToGrid w:val="0"/>
        <w:spacing w:line="420" w:lineRule="exact"/>
        <w:ind w:firstLine="560"/>
        <w:textAlignment w:val="auto"/>
        <w:rPr>
          <w:rFonts w:ascii="仿宋" w:hAnsi="仿宋"/>
          <w:color w:val="auto"/>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kinsoku/>
        <w:wordWrap/>
        <w:overflowPunct/>
        <w:topLinePunct w:val="0"/>
        <w:autoSpaceDN/>
        <w:bidi w:val="0"/>
        <w:adjustRightInd w:val="0"/>
        <w:snapToGrid w:val="0"/>
        <w:spacing w:before="0" w:beforeLines="0" w:after="0" w:afterLines="0" w:line="420" w:lineRule="exact"/>
        <w:jc w:val="center"/>
        <w:textAlignment w:val="auto"/>
        <w:rPr>
          <w:rFonts w:hint="eastAsia" w:ascii="方正小标宋简体" w:hAnsi="方正小标宋简体" w:eastAsia="方正小标宋简体" w:cs="方正小标宋简体"/>
          <w:b w:val="0"/>
          <w:bCs w:val="0"/>
          <w:color w:val="auto"/>
          <w:sz w:val="36"/>
          <w:szCs w:val="36"/>
        </w:rPr>
      </w:pPr>
      <w:bookmarkStart w:id="24" w:name="_Toc45723009"/>
      <w:bookmarkStart w:id="25" w:name="_Toc14854185"/>
      <w:bookmarkStart w:id="26" w:name="_Toc481506713"/>
      <w:bookmarkStart w:id="27" w:name="_Toc14854186"/>
      <w:r>
        <w:rPr>
          <w:rFonts w:hint="eastAsia" w:ascii="方正小标宋简体" w:hAnsi="方正小标宋简体" w:eastAsia="方正小标宋简体" w:cs="方正小标宋简体"/>
          <w:b w:val="0"/>
          <w:bCs w:val="0"/>
          <w:color w:val="auto"/>
          <w:sz w:val="36"/>
          <w:szCs w:val="36"/>
        </w:rPr>
        <w:t>项目概况</w:t>
      </w:r>
      <w:bookmarkEnd w:id="24"/>
      <w:bookmarkEnd w:id="25"/>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28" w:name="_Toc45723010"/>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项目区概况</w:t>
      </w:r>
      <w:bookmarkEnd w:id="26"/>
      <w:bookmarkEnd w:id="27"/>
      <w:bookmarkEnd w:id="28"/>
      <w:r>
        <w:rPr>
          <w:rFonts w:hint="eastAsia" w:ascii="黑体" w:hAnsi="黑体" w:eastAsia="黑体" w:cs="黑体"/>
          <w:b w:val="0"/>
          <w:bCs w:val="0"/>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1）XX镇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XX镇地处XX县近郊和西南门户，靠嘉山、傍X河，总面积86.12平方千米，辖7个村，4个社区，1.2万余户2.86万人。经济以传统农业为主，辅以特色种养殖业和三产服务业，是全国重点镇、</w:t>
      </w:r>
      <w:r>
        <w:rPr>
          <w:rFonts w:hint="eastAsia" w:ascii="仿宋_GB2312" w:hAnsi="仿宋_GB2312" w:eastAsia="仿宋_GB2312" w:cs="仿宋_GB2312"/>
          <w:color w:val="auto"/>
          <w:sz w:val="28"/>
          <w:szCs w:val="28"/>
          <w:lang w:eastAsia="zh-CN"/>
        </w:rPr>
        <w:t>广东</w:t>
      </w:r>
      <w:r>
        <w:rPr>
          <w:rFonts w:hint="eastAsia" w:ascii="仿宋_GB2312" w:hAnsi="仿宋_GB2312" w:eastAsia="仿宋_GB2312" w:cs="仿宋_GB2312"/>
          <w:color w:val="auto"/>
          <w:sz w:val="28"/>
          <w:szCs w:val="28"/>
        </w:rPr>
        <w:t>省重点镇、</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省特色景观旅游名镇、</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省安全生产示范镇、XX市美丽城镇建设试点镇。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2）XX镇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XX镇地处XX县东南端，北与XX镇毗邻，南接XX镇，西临省第二大淡水湖——XX湖，与XX县、XX区两县接壤，地形以平原和丘陵为主，全镇由X河包绕。下辖15个村（社区），总人口4.3万人，区域总面积118.6km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，耕地面积8.27万亩。其中，水田5.43万亩，旱地2.81万亩，林地1.52万亩。2018年，全镇粮食总产量41万吨，农林牧渔业总产值38398万元，年人均收入14259元。</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3）XX镇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XX镇位于XX县西南方，东与XX镇隔岸相望，南XX乡，西与XX县XX乡、XX县XX镇毗邻，北与XX乡接壤，XX</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、中、北三大湖泊延伸其中，属丘陵山区。全镇共有15个自然村，2个居委会。全镇总人口2.8万人，总面积92km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，耕地面积4.22万亩。是XX县最大的乡镇，也是全省有名的“鱼米之乡”、“特产之乡”。</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 xml:space="preserve">地形地貌 </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XX县属</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"https://baike.so.com/doc/5568934-5784113.html" \t "_blank"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山</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余脉向</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湖盆地过渡地带，地形以X河为天然分界线，X河西南岸为</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山余脉，东北岸为</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中下游平原的边地，地势西高东低，自西向东由低缓丘岗逐步向平地转变。地表差异升降明显。最高点为棠华红颜寨，海拔377.1米，最低点为XX镇建国村，海拔23米。北部为澧阳平原，地势平坦，河湖纵横，海拔32</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24米。南部沿南、西、北边缘地带为丘陵岗地，呈"E"字形结构。东部边缘与</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平原相接，大小湖泊串珠密布。市境地貌属流水、第四系松散堆积物、岗地、平原地貌类型。</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国土面积、耕地面积、有效灌溉面积、人口数量</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本项目涉及村国土面积合计Xkm</w:t>
      </w:r>
      <w:r>
        <w:rPr>
          <w:rFonts w:hint="eastAsia" w:ascii="仿宋_GB2312" w:hAnsi="仿宋_GB2312" w:eastAsia="仿宋_GB2312" w:cs="仿宋_GB2312"/>
          <w:color w:val="auto"/>
          <w:kern w:val="2"/>
          <w:sz w:val="28"/>
          <w:szCs w:val="28"/>
          <w:vertAlign w:val="superscript"/>
          <w:lang w:val="en-US" w:eastAsia="zh-CN" w:bidi="ar-SA"/>
        </w:rPr>
        <w:t>2</w:t>
      </w:r>
      <w:r>
        <w:rPr>
          <w:rFonts w:hint="eastAsia" w:ascii="仿宋_GB2312" w:hAnsi="仿宋_GB2312" w:eastAsia="仿宋_GB2312" w:cs="仿宋_GB2312"/>
          <w:color w:val="auto"/>
          <w:kern w:val="2"/>
          <w:sz w:val="28"/>
          <w:szCs w:val="28"/>
          <w:lang w:val="en-US" w:eastAsia="zh-CN" w:bidi="ar-SA"/>
        </w:rPr>
        <w:t>，总耕地面积X万亩，其中纳入本项目建设范围的耕地面积X万亩，项目区总人口X万人。详见表2.1-1：</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表2.1-1  项目区基本情况一览表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60"/>
        <w:gridCol w:w="1177"/>
        <w:gridCol w:w="1066"/>
        <w:gridCol w:w="1048"/>
        <w:gridCol w:w="1195"/>
        <w:gridCol w:w="1195"/>
        <w:gridCol w:w="897"/>
        <w:gridCol w:w="1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乡镇</w:t>
            </w:r>
          </w:p>
        </w:tc>
        <w:tc>
          <w:tcPr>
            <w:tcW w:w="1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行政村</w:t>
            </w:r>
          </w:p>
        </w:tc>
        <w:tc>
          <w:tcPr>
            <w:tcW w:w="10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国土面积（km</w:t>
            </w:r>
            <w:r>
              <w:rPr>
                <w:rFonts w:hint="eastAsia" w:ascii="仿宋_GB2312" w:hAnsi="仿宋_GB2312" w:eastAsia="仿宋_GB2312" w:cs="仿宋_GB2312"/>
                <w:color w:val="auto"/>
                <w:sz w:val="22"/>
                <w:szCs w:val="22"/>
                <w:vertAlign w:val="superscript"/>
              </w:rPr>
              <w:t>2</w:t>
            </w:r>
            <w:r>
              <w:rPr>
                <w:rFonts w:hint="eastAsia" w:ascii="仿宋_GB2312" w:hAnsi="仿宋_GB2312" w:eastAsia="仿宋_GB2312" w:cs="仿宋_GB2312"/>
                <w:color w:val="auto"/>
                <w:sz w:val="22"/>
                <w:szCs w:val="22"/>
              </w:rPr>
              <w:t>）</w:t>
            </w:r>
          </w:p>
        </w:tc>
        <w:tc>
          <w:tcPr>
            <w:tcW w:w="10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耕地面积（亩）</w:t>
            </w: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有效灌溉面积（亩）</w:t>
            </w: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纳入项目区耕地面积（亩）</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总人口（人）</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劳动力人口（人）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0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3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0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0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29" w:name="_Toc45723011"/>
      <w:bookmarkStart w:id="30" w:name="_Toc14854187"/>
      <w:r>
        <w:rPr>
          <w:rFonts w:hint="eastAsia" w:ascii="黑体" w:hAnsi="黑体" w:eastAsia="黑体" w:cs="黑体"/>
          <w:b w:val="0"/>
          <w:bCs w:val="0"/>
          <w:color w:val="auto"/>
          <w:kern w:val="2"/>
          <w:sz w:val="28"/>
          <w:szCs w:val="28"/>
          <w:lang w:val="en-US" w:eastAsia="zh-CN" w:bidi="ar-SA"/>
        </w:rPr>
        <w:t>社会经济</w:t>
      </w:r>
      <w:bookmarkEnd w:id="29"/>
      <w:bookmarkEnd w:id="30"/>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农业生产水平</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随着中央对农村特别是粮食主产区支持力度逐年增加，支农惠农政策的力度不断加大，农村经济质量逐步提升，农业生产稳步发展。 2019年，项目区内耕地面积3.68万亩，播种面积5.88万亩，其中粮食作物播种面积4.78万亩，粮食总产量1.87万吨，亩产392公斤；油料播种面积0.8万亩，油料总产778吨，亩产97公斤；其他蔬菜等小宗经济作物种植面积0.32万亩；农业总产值13797万元。</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地方财政与农民收入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XX县全年完成地区生产总值157.7亿元，增长8.0%；规模工业增加值53.3亿元，增长8.4%；社会固定资产投资86.2亿元，增长1.3%；财政总收入7.9亿元，增长11.1%；社会消费品零售总额75.3亿元，增长10.8%；全年完成农林牧渔业总产值40.9亿元，增长2.5%。全年实现农林牧渔业增加值23.5亿元，增长2.7%。农作物播种面积69.93万亩，其中粮食作物播种面积36.78万亩，经济作物播种面积33.15万亩，增长4.0%。</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城乡居民人均可支配收入分别达到33055元、15471元，分别增长7.8%、8.5%。</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农业科技服务体系状况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内农业科技服务体系较为健全，形成了以农业科学技术推广站为纽带的“四级一户”农业科技服务体系（四级为市、乡、村、组，一户为科技示范户），科学技术入户率高，农民科学种田水平高，特别是近年来，依托健全的农业科技服务体系，大力推广良种良法，收到了良好的成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2019年末全市拥有农业机械32156台，比上年增加297台；总动力20.19万千瓦，比上年增加0.27万千瓦。</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31" w:name="_Toc45723012"/>
      <w:bookmarkStart w:id="32" w:name="_Toc14854188"/>
      <w:r>
        <w:rPr>
          <w:rFonts w:hint="eastAsia" w:ascii="黑体" w:hAnsi="黑体" w:eastAsia="黑体" w:cs="黑体"/>
          <w:b w:val="0"/>
          <w:bCs w:val="0"/>
          <w:color w:val="auto"/>
          <w:kern w:val="2"/>
          <w:sz w:val="28"/>
          <w:szCs w:val="28"/>
          <w:lang w:val="en-US" w:eastAsia="zh-CN" w:bidi="ar-SA"/>
        </w:rPr>
        <w:t>水文气象</w:t>
      </w:r>
      <w:bookmarkEnd w:id="31"/>
      <w:bookmarkEnd w:id="32"/>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气象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项目区属中亚热带季风湿润气候区，热量资源丰富，光照充足，雨量充沛，无霜期长，四季分明。年平均气温16-18℃，气温稳定通过10℃的持续日数240</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260天，其积温为5100</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5600℃；高于15℃的持续日数160</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200天，其积温为3800-3820℃。无霜期265</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310天，全年日照1300</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1800小时，年总辐射量100</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110千卡／平方厘米。优越的光热资源条件为品种繁多的动植物提供了良好的适生环境。项目区多年平均降水天数为142天，多年度平均降水量1282.3mm，多年平均蒸发量1200mm，极端最高气温40.5℃（1972年8月27日）极端最低气温-20℃(2008年元月28日)，多年平均日照1672小时，适宜于发展农业生产。</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XX县气象灾害繁多，影响农业生产的主要灾害天气有：春季低温阴雨，夏季暴雨洪涝，多有高温，而冬季低温冷寒，并有冰冻。尤以旱涝为甚。</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水资源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XX县地处</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4大水系之一的X河下游，东濒</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湖、南临</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，北近</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，西北</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水、</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水、</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水回绕，X河干流横贯全境，河岸长达76公里。境内有大小湖泊21个，河流11条，水库29座，水塘8038口，总共水面1.2万公顷。南部0.4万公顷面积的</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湖为</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省的第</w:t>
      </w:r>
      <w:r>
        <w:rPr>
          <w:rFonts w:hint="eastAsia" w:ascii="仿宋_GB2312" w:hAnsi="仿宋_GB2312" w:eastAsia="仿宋_GB2312" w:cs="仿宋_GB2312"/>
          <w:color w:val="auto"/>
          <w:sz w:val="28"/>
          <w:szCs w:val="28"/>
          <w:lang w:val="en-US" w:eastAsia="zh-CN"/>
        </w:rPr>
        <w:t>X</w:t>
      </w:r>
      <w:r>
        <w:rPr>
          <w:rFonts w:hint="eastAsia" w:ascii="仿宋_GB2312" w:hAnsi="仿宋_GB2312" w:eastAsia="仿宋_GB2312" w:cs="仿宋_GB2312"/>
          <w:color w:val="auto"/>
          <w:sz w:val="28"/>
          <w:szCs w:val="28"/>
        </w:rPr>
        <w:t>大淡水湖。X河干线由西往东入</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湖，北出</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河沟通</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，形成为四通八达的水道网。</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境内地表水资源丰富，但分布不均，主要有区域内产水、客水、灌溉还原水、过境水。全市水资源总量4.29亿立方米，水资源可利用总量3.71亿立方米，其中地表水可利用量2.88亿立方米，地下水可利用量0.83亿立方米，可供水总量2.19亿立方米，其中地表水可供水量2.15亿立方米，地下水可供水量0.04亿立方米。</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工程地质及水文地质</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境内过境水系有X河，X河自西向东横贯市区，至小渡口南折，沿市境东部边缘注入</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湖，将境域分为两个部分。项目区主要位于X河西岸，地势总趋势是西北高东南低，区内大小河流整体上从北至南汇入毛里湖，地貌主要为冲积相堆积平原，地层组成由第四系全新统冲积粉质粘土、粉砂层、砂卵砾石层等组成，具有典型的冲积平原相地层二元结构，地势比较平坦，海拔地坪标高大约为48.0～32.0m，略向南部倾斜。区内河网水系发育，沟渠水塘纵横交错，大小湖泊星罗棋布。区内村庄居民众多，人为活动影响较大。</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参考区内其他项目工程建设地勘成果，场地内埋藏的地层主要有人工填土层、第四系全新统冲积</w:t>
      </w:r>
      <w:bookmarkStart w:id="178" w:name="_GoBack"/>
      <w:bookmarkEnd w:id="178"/>
      <w:r>
        <w:rPr>
          <w:rFonts w:hint="eastAsia" w:ascii="仿宋_GB2312" w:hAnsi="仿宋_GB2312" w:eastAsia="仿宋_GB2312" w:cs="仿宋_GB2312"/>
          <w:color w:val="auto"/>
          <w:sz w:val="28"/>
          <w:szCs w:val="28"/>
        </w:rPr>
        <w:t>层、第四系更新统冲积层，根据区域地质资料，基岩为第三系粉砂岩，埋深达数十米；南部的崔家桥段基岩为梵净山组板岩，埋深较浅。各地层的野外特征由新至老依次描述如下：</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（1）人工填土（QS）：褐黄色、黄色粉质粘土为主，松散-稍密，可塑-硬塑状，成份复杂，切面无光泽，韧性和干强度中等，局部含植物根茎、细砂、有机质等。揭露的最大厚度6.80m。</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（2）第四系全新统淤泥质粉质粘土（Q4al+l）：灰色，灰褐色淤泥质粉质粘土，稍湿-湿，结构松散，软塑状，切面无光泽，韧性和干强度低，是工程场地内最主要的下卧土层，厚度较大，厚度8.0～12.0m。</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（3）第四系全新统粉质粘土（Q4al）：灰褐色粉质粘土，稍湿，可塑状为主，切面稍有光泽，韧性和干强度中等，厚度3.8～5.6m。</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（4）第四系全新统粉砂层（Q4al）：灰褐色粉砂，颗粒较粗，含水饱和，结构松散-稍密状，分选性一般，厚度3.10～6.80m。</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第四系全新统统砂卵石层（Q4al）：杂色，结构稍密，成份复杂，以长石砂岩、石英砂岩为主，夹少量灰岩，中风化。磨圆度较好，次圆-浑圆状。粒径一般10～30mm为主，卵石含量在70%左右，其余泥砂充填，经现场动力触探实验，击数一般在11～23击。</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33" w:name="_Toc14854190"/>
      <w:bookmarkStart w:id="34" w:name="_Toc45723013"/>
      <w:r>
        <w:rPr>
          <w:rFonts w:hint="eastAsia" w:ascii="黑体" w:hAnsi="黑体" w:eastAsia="黑体" w:cs="黑体"/>
          <w:b w:val="0"/>
          <w:bCs w:val="0"/>
          <w:color w:val="auto"/>
          <w:kern w:val="2"/>
          <w:sz w:val="28"/>
          <w:szCs w:val="28"/>
          <w:lang w:val="en-US" w:eastAsia="zh-CN" w:bidi="ar-SA"/>
        </w:rPr>
        <w:t>土壤</w:t>
      </w:r>
      <w:bookmarkEnd w:id="33"/>
      <w:r>
        <w:rPr>
          <w:rFonts w:hint="eastAsia" w:ascii="黑体" w:hAnsi="黑体" w:eastAsia="黑体" w:cs="黑体"/>
          <w:b w:val="0"/>
          <w:bCs w:val="0"/>
          <w:color w:val="auto"/>
          <w:kern w:val="2"/>
          <w:sz w:val="28"/>
          <w:szCs w:val="28"/>
          <w:lang w:val="en-US" w:eastAsia="zh-CN" w:bidi="ar-SA"/>
        </w:rPr>
        <w:t>与植被</w:t>
      </w:r>
      <w:bookmarkEnd w:id="34"/>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土壤</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项目区土壤成土母质为第四纪红色粘土和</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湖沉积物，土壤类型主要以红黄泥，浅红黄泥，青隔红黄泥，紫潮泥土，棕红土，棕红菜园土为主，其PH值5.5-7.5之间，以偏酸面积大；土壤养分含量丰富，有机质含量2%以上，含氮量0.11%，速效磷含量9.8-11.2ppm，速效钾112-153ppm。根据XX县农业农村局土肥站测土配方资料，项目区耕地地力等级如表2.5-1</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表2.5-1 项目区耕地地力等级分布情况表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9"/>
        <w:gridCol w:w="919"/>
        <w:gridCol w:w="972"/>
        <w:gridCol w:w="972"/>
        <w:gridCol w:w="1314"/>
        <w:gridCol w:w="972"/>
        <w:gridCol w:w="972"/>
        <w:gridCol w:w="976"/>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村名</w:t>
            </w:r>
          </w:p>
        </w:tc>
        <w:tc>
          <w:tcPr>
            <w:tcW w:w="7097"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耕地等级</w:t>
            </w:r>
          </w:p>
        </w:tc>
        <w:tc>
          <w:tcPr>
            <w:tcW w:w="97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一级地</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二级地</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三级地</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四级地</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五级地</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六级地</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七级地</w:t>
            </w:r>
          </w:p>
        </w:tc>
        <w:tc>
          <w:tcPr>
            <w:tcW w:w="97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w:t>
            </w:r>
          </w:p>
        </w:tc>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629.2</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606.2</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2428.0</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511.7</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900.8</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1294.2</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474.4</w:t>
            </w:r>
          </w:p>
        </w:tc>
        <w:tc>
          <w:tcPr>
            <w:tcW w:w="9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w:t>
            </w:r>
          </w:p>
        </w:tc>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844.3</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58.6</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1018.2</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523.0</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238.5</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1250.9</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1369.3</w:t>
            </w:r>
          </w:p>
        </w:tc>
        <w:tc>
          <w:tcPr>
            <w:tcW w:w="9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w:t>
            </w:r>
          </w:p>
        </w:tc>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1363.0</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234.4</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787.2</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1707.7</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937.3</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714.2</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1359.9</w:t>
            </w:r>
          </w:p>
        </w:tc>
        <w:tc>
          <w:tcPr>
            <w:tcW w:w="9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w:t>
            </w:r>
          </w:p>
        </w:tc>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486.6</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923.1</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935.1</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266.7</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2352.6</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775.1</w:t>
            </w:r>
          </w:p>
        </w:tc>
        <w:tc>
          <w:tcPr>
            <w:tcW w:w="9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w:t>
            </w:r>
          </w:p>
        </w:tc>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630.9</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211.2</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1892.6</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1483.1</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446.0</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952.4</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1713.9</w:t>
            </w:r>
          </w:p>
        </w:tc>
        <w:tc>
          <w:tcPr>
            <w:tcW w:w="9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9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3954.0</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1210.7</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7049.1</w:t>
            </w:r>
          </w:p>
        </w:tc>
        <w:tc>
          <w:tcPr>
            <w:tcW w:w="13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5160.6</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2789.3</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6564.3</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5692.7</w:t>
            </w:r>
          </w:p>
        </w:tc>
        <w:tc>
          <w:tcPr>
            <w:tcW w:w="9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32420.7</w:t>
            </w:r>
          </w:p>
        </w:tc>
      </w:tr>
    </w:tbl>
    <w:p>
      <w:pPr>
        <w:keepNext w:val="0"/>
        <w:keepLines w:val="0"/>
        <w:pageBreakBefore w:val="0"/>
        <w:widowControl w:val="0"/>
        <w:kinsoku/>
        <w:wordWrap/>
        <w:overflowPunct/>
        <w:topLinePunct w:val="0"/>
        <w:autoSpaceDN/>
        <w:bidi w:val="0"/>
        <w:adjustRightInd w:val="0"/>
        <w:snapToGrid w:val="0"/>
        <w:spacing w:line="420" w:lineRule="exact"/>
        <w:ind w:firstLine="56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植被</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XX县积极践行“绿水青山就是金山银山”绿色发展理念，坚持大力实施国土绿化，发展绿色产业，取得积极成效。截至2019年末，全市森林覆盖率24.47%。</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项目区地带性植被为亚热带常绿阔叶林，现状植被分布于山丘、干渠、道路两侧，居民区周围人工种植有水杉、杨树等。项目区耕地主要农作物为双季水稻、油料及蔬菜等。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35" w:name="_Toc45723014"/>
      <w:bookmarkStart w:id="36" w:name="_Toc14854191"/>
      <w:bookmarkStart w:id="37" w:name="_Toc438417033"/>
      <w:r>
        <w:rPr>
          <w:rFonts w:hint="eastAsia" w:ascii="黑体" w:hAnsi="黑体" w:eastAsia="黑体" w:cs="黑体"/>
          <w:b w:val="0"/>
          <w:bCs w:val="0"/>
          <w:color w:val="auto"/>
          <w:kern w:val="2"/>
          <w:sz w:val="28"/>
          <w:szCs w:val="28"/>
          <w:lang w:val="en-US" w:eastAsia="zh-CN" w:bidi="ar-SA"/>
        </w:rPr>
        <w:t>项目区基础设施情况</w:t>
      </w:r>
      <w:bookmarkEnd w:id="35"/>
      <w:bookmarkEnd w:id="36"/>
      <w:bookmarkEnd w:id="37"/>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水利工程现状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（1）水源工程现状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项目区水资源以地表水为主，农业灌溉水源主要依靠水库、山塘、河坝等工程。</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根据XX县水利设施统计资料，项目区内有小（Ⅰ）型水库3座，均已进行除险加固改造；另有部分小（Ⅱ）型水库，为减轻防汛压力已被销号，一般都存在病险，蓄水严重不足，详见表2.5-1</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表2.5-1  项目区水库工程基本情况</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54"/>
        <w:gridCol w:w="1704"/>
        <w:gridCol w:w="1440"/>
        <w:gridCol w:w="1100"/>
        <w:gridCol w:w="897"/>
        <w:gridCol w:w="1046"/>
        <w:gridCol w:w="2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水库名称</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位置</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总库容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（万m</w:t>
            </w:r>
            <w:r>
              <w:rPr>
                <w:rFonts w:hint="eastAsia" w:ascii="仿宋_GB2312" w:hAnsi="仿宋_GB2312" w:eastAsia="仿宋_GB2312" w:cs="仿宋_GB2312"/>
                <w:color w:val="auto"/>
                <w:sz w:val="22"/>
                <w:szCs w:val="22"/>
                <w:vertAlign w:val="superscript"/>
              </w:rPr>
              <w:t>3</w:t>
            </w:r>
            <w:r>
              <w:rPr>
                <w:rFonts w:hint="eastAsia" w:ascii="仿宋_GB2312" w:hAnsi="仿宋_GB2312" w:eastAsia="仿宋_GB2312" w:cs="仿宋_GB2312"/>
                <w:color w:val="auto"/>
                <w:sz w:val="22"/>
                <w:szCs w:val="22"/>
              </w:rPr>
              <w:t>）</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兴利库容（万m</w:t>
            </w:r>
            <w:r>
              <w:rPr>
                <w:rFonts w:hint="eastAsia" w:ascii="仿宋_GB2312" w:hAnsi="仿宋_GB2312" w:eastAsia="仿宋_GB2312" w:cs="仿宋_GB2312"/>
                <w:color w:val="auto"/>
                <w:sz w:val="22"/>
                <w:szCs w:val="22"/>
                <w:vertAlign w:val="superscript"/>
              </w:rPr>
              <w:t>3</w:t>
            </w:r>
            <w:r>
              <w:rPr>
                <w:rFonts w:hint="eastAsia" w:ascii="仿宋_GB2312" w:hAnsi="仿宋_GB2312" w:eastAsia="仿宋_GB2312" w:cs="仿宋_GB2312"/>
                <w:color w:val="auto"/>
                <w:sz w:val="22"/>
                <w:szCs w:val="22"/>
              </w:rPr>
              <w:t>）</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集雨面积（km</w:t>
            </w:r>
            <w:r>
              <w:rPr>
                <w:rFonts w:hint="eastAsia" w:ascii="仿宋_GB2312" w:hAnsi="仿宋_GB2312" w:eastAsia="仿宋_GB2312" w:cs="仿宋_GB2312"/>
                <w:color w:val="auto"/>
                <w:sz w:val="22"/>
                <w:szCs w:val="22"/>
                <w:vertAlign w:val="superscript"/>
              </w:rPr>
              <w:t>2</w:t>
            </w:r>
            <w:r>
              <w:rPr>
                <w:rFonts w:hint="eastAsia" w:ascii="仿宋_GB2312" w:hAnsi="仿宋_GB2312" w:eastAsia="仿宋_GB2312" w:cs="仿宋_GB2312"/>
                <w:color w:val="auto"/>
                <w:sz w:val="22"/>
                <w:szCs w:val="22"/>
              </w:rPr>
              <w:t>）</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167</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1.63</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小（Ⅰ）型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清泉村</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401</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280</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2.15</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小（Ⅰ）型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金坪村 </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629</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377.4</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7.336</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小（Ⅰ）型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谢家湾水库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小（Ⅱ）型，已销号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皮公堰水库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毛家岗村</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21.4</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0.75</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小（Ⅱ）型，已销号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王家大堰水库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13.3</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9.8</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小（Ⅱ）型，已销号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茶湾水库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12.5</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0.43</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小（Ⅱ）型，已销号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周家水库</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20.8</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w:t>
            </w:r>
          </w:p>
        </w:tc>
        <w:tc>
          <w:tcPr>
            <w:tcW w:w="10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214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小（Ⅱ）型，已销号</w:t>
            </w:r>
          </w:p>
        </w:tc>
      </w:tr>
    </w:tbl>
    <w:p>
      <w:pPr>
        <w:keepNext w:val="0"/>
        <w:keepLines w:val="0"/>
        <w:pageBreakBefore w:val="0"/>
        <w:widowControl w:val="0"/>
        <w:kinsoku/>
        <w:wordWrap/>
        <w:overflowPunct/>
        <w:topLinePunct w:val="0"/>
        <w:autoSpaceDN/>
        <w:bidi w:val="0"/>
        <w:adjustRightInd w:val="0"/>
        <w:snapToGrid w:val="0"/>
        <w:spacing w:line="420" w:lineRule="exact"/>
        <w:ind w:firstLine="56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堰塘有487座，一部分汇集坡面径流，为山平塘；一部分拦截小溪沟筑坝，为堰塘。两种型式的塘堰当地均称为堰塘，也是灌溉的主要水源。大部分堰塘未设底涵，需水的时候采用倒虹吸或自备潜水泵提水，目的是为了节约用水，提高堰塘水的利用率。</w:t>
      </w: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（2）灌排沟渠现状</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内小沟渠数量较多，控制面积绝大多数在300亩以下。普遍存在以下问题：一是渠道多为土渠，维护措施不到位，渠道损毁严重，出现边坡坍塌、渠底漏水的现象，无法达到灌排需求；二是渠道内部杂草丛生，泥土淤积，水力输送能力差，往往是上游漫堤的水位都到不了下游；三是渠道淤塞，排水能力不足达不到排涝标准。</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表2.5-2  项目区灌排系统田间设施现状统计表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01"/>
        <w:gridCol w:w="1316"/>
        <w:gridCol w:w="1494"/>
        <w:gridCol w:w="1584"/>
        <w:gridCol w:w="1560"/>
        <w:gridCol w:w="1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12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编号(名称)</w:t>
            </w:r>
          </w:p>
        </w:tc>
        <w:tc>
          <w:tcPr>
            <w:tcW w:w="7786"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渠道长度（m）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总计（m）</w:t>
            </w:r>
          </w:p>
        </w:tc>
        <w:tc>
          <w:tcPr>
            <w:tcW w:w="307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灌水渠</w:t>
            </w:r>
          </w:p>
        </w:tc>
        <w:tc>
          <w:tcPr>
            <w:tcW w:w="33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排水渠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长度（m）</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控制面积(亩)</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长度（m）</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控制面积(亩)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3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3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47510</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20360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12220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6120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3820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2720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2270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毛家岗村</w:t>
            </w:r>
          </w:p>
        </w:tc>
        <w:tc>
          <w:tcPr>
            <w:tcW w:w="13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39100</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27280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16360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8180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5120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3640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2520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黄林堰村</w:t>
            </w:r>
          </w:p>
        </w:tc>
        <w:tc>
          <w:tcPr>
            <w:tcW w:w="13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31200</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21560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12940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6480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4060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3160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3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清泉村</w:t>
            </w:r>
          </w:p>
        </w:tc>
        <w:tc>
          <w:tcPr>
            <w:tcW w:w="13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34600</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24840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14920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7460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4660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2300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3620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3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金坪村</w:t>
            </w:r>
          </w:p>
        </w:tc>
        <w:tc>
          <w:tcPr>
            <w:tcW w:w="13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48520</w:t>
            </w: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35620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35620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&lt;100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10700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10700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3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2200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3290</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300～500</w:t>
            </w:r>
          </w:p>
        </w:tc>
      </w:tr>
    </w:tbl>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项目区交通与电力情况现状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项目区对外交通极为便利，XX村西侧有南北向二广高速出口，新建东西向安慈高速穿毛家岗、清泉、黄林堰过，项目区内县道X015、X028与乡村道路网连通，各村级公路大部分已硬化，交通便利。</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项目区内已进行农电整改，农村低压电网遍布各项目村，能够满足项目区农民生产生活用电。</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农业机械及农机服务设施现状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现有农业机械3200台，农机总动力20190kw，以农用运输机械、收割机及小型耕整机等为主，农机总数相对于项目区耕地面积，项目区农机总数属于较好状况，基本能够满足项目区农业生产需要。农机服务设施齐全，项目区内设有农机销售、维修服务点多处，可极大程度地保证项目区农业机械的正常运转。</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38" w:name="_Toc14854192"/>
      <w:bookmarkStart w:id="39" w:name="_Toc45723015"/>
      <w:r>
        <w:rPr>
          <w:rFonts w:hint="eastAsia" w:ascii="黑体" w:hAnsi="黑体" w:eastAsia="黑体" w:cs="黑体"/>
          <w:b w:val="0"/>
          <w:bCs w:val="0"/>
          <w:color w:val="auto"/>
          <w:kern w:val="2"/>
          <w:sz w:val="28"/>
          <w:szCs w:val="28"/>
          <w:lang w:val="en-US" w:eastAsia="zh-CN" w:bidi="ar-SA"/>
        </w:rPr>
        <w:t>其他基础设施</w:t>
      </w:r>
      <w:bookmarkEnd w:id="38"/>
      <w:bookmarkEnd w:id="39"/>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田间道路</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项目区已实现村主要道路全硬化，能满足村民生产生活和要求；田间机耕路则多为土路，路面宽度2.5m</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3.0m；由于村民关注的重点是水利基础设施，田间道路数量不多，已不能满足农业生产机械化的使用需求。</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项目区道路交通设施现状统计表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30"/>
        <w:gridCol w:w="1521"/>
        <w:gridCol w:w="1634"/>
        <w:gridCol w:w="1634"/>
        <w:gridCol w:w="1634"/>
        <w:gridCol w:w="1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152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乡镇、行政村名</w:t>
            </w:r>
          </w:p>
        </w:tc>
        <w:tc>
          <w:tcPr>
            <w:tcW w:w="32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机耕道</w:t>
            </w:r>
          </w:p>
        </w:tc>
        <w:tc>
          <w:tcPr>
            <w:tcW w:w="32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生产道路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5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长度（km）</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路面宽度（m）</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长度（km）</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路面宽度（m）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7.97</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2.5～3.0</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8.77</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毛家岗村</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6.02</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2.5～3.0</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6.92</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黄林堰村</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3.66</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2.5～3.0</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4.42</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清泉村</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5.78</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2.5～3.0</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6.01</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金坪村</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6.90</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2.5～3.0</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8.28</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5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30.33</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34.41</w:t>
            </w:r>
          </w:p>
        </w:tc>
        <w:tc>
          <w:tcPr>
            <w:tcW w:w="1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firstLine="562" w:firstLineChars="200"/>
        <w:jc w:val="center"/>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农电设施</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项目区农村电网工程有专项资金实施，已经完成了农电改造，能够满足项目区用电需求。</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sectPr>
          <w:headerReference r:id="rId11"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kinsoku/>
        <w:wordWrap/>
        <w:overflowPunct/>
        <w:topLinePunct w:val="0"/>
        <w:autoSpaceDN/>
        <w:bidi w:val="0"/>
        <w:adjustRightInd w:val="0"/>
        <w:snapToGrid w:val="0"/>
        <w:spacing w:before="0" w:beforeLines="0" w:after="0" w:afterLines="0" w:line="420" w:lineRule="exact"/>
        <w:ind w:firstLine="723"/>
        <w:textAlignment w:val="auto"/>
        <w:rPr>
          <w:rFonts w:hint="eastAsia" w:ascii="方正小标宋简体" w:hAnsi="方正小标宋简体" w:eastAsia="方正小标宋简体" w:cs="方正小标宋简体"/>
          <w:b w:val="0"/>
          <w:bCs w:val="0"/>
          <w:color w:val="auto"/>
          <w:sz w:val="36"/>
          <w:szCs w:val="36"/>
        </w:rPr>
      </w:pPr>
      <w:bookmarkStart w:id="40" w:name="_Toc45723016"/>
      <w:bookmarkStart w:id="41" w:name="_Toc14854193"/>
      <w:r>
        <w:rPr>
          <w:rFonts w:hint="eastAsia" w:ascii="方正小标宋简体" w:hAnsi="方正小标宋简体" w:eastAsia="方正小标宋简体" w:cs="方正小标宋简体"/>
          <w:b w:val="0"/>
          <w:bCs w:val="0"/>
          <w:color w:val="auto"/>
          <w:sz w:val="36"/>
          <w:szCs w:val="36"/>
        </w:rPr>
        <w:t>项目区水量供需平衡及水质分析</w:t>
      </w:r>
      <w:bookmarkEnd w:id="40"/>
      <w:bookmarkEnd w:id="41"/>
    </w:p>
    <w:p>
      <w:pPr>
        <w:adjustRightInd/>
        <w:snapToGrid/>
        <w:spacing w:line="240" w:lineRule="auto"/>
        <w:ind w:firstLine="0" w:firstLineChars="0"/>
        <w:rPr>
          <w:rFonts w:hint="eastAsia"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42" w:name="_Toc45723017"/>
      <w:r>
        <w:rPr>
          <w:rFonts w:hint="eastAsia" w:ascii="黑体" w:hAnsi="黑体" w:eastAsia="黑体" w:cs="黑体"/>
          <w:b w:val="0"/>
          <w:bCs w:val="0"/>
          <w:color w:val="auto"/>
          <w:kern w:val="2"/>
          <w:sz w:val="28"/>
          <w:szCs w:val="28"/>
          <w:lang w:val="en-US" w:eastAsia="zh-CN" w:bidi="ar-SA"/>
        </w:rPr>
        <w:t>项目区水量平衡分析</w:t>
      </w:r>
      <w:bookmarkEnd w:id="42"/>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项目区现状水源情况及可供水量分析</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（1）项目区现状水源情况</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根据调查，项目区内水资源以地表水为主，农业灌溉主要依靠水库、山塘、泵站等工程蓄、提水灌溉。</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区涉及XX镇、XX镇、XX镇镇三个乡镇5个村共2.16万亩耕地。项目区水源主要是水库和堰塘，有XX、XX和XX三座小Ⅰ型水库，另有堰塘894座，河坝74座。本次水量平衡以水库灌区划分片区，分别为XX水库灌区片，涉及XX村、毛家岗村；XX水库灌区片，涉及清泉村、黄林堰村；XX水库灌区片，涉及金坪村。</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1）XX水库灌区片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XX水库坐落在XX镇XX村境内，是一座以灌溉为主，兼顾防洪、供水等综合利用的小（Ⅰ）型水库。该库于1956年11月动工，1959年11月竣工。大坝控制集雨面积1.63平方公里，总库容216.0万m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，正常库容167.0万m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，死库容8.15万m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，坝顶长度217.0m，坝顶高程69.50m，最大坝高17.2m。输水涵管底板进口高程56.00米。区内基础水源有山平塘、河坝，现状水源工程见表3.1-1</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2）XX水库灌区片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XX水库坐落在XX镇清泉村境内，是一座以灌溉为主，兼顾防洪、养殖等综合利用的小（Ⅰ）型水库。该库于1972年10月动工，1973年3月竣工。大坝控制集雨面积2.15平方公里，总库容401.0万m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，兴利库容280.0万m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，死库容25.0万m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，坝顶长度210m,坝顶高程54.50m，最大坝高14.0m。输水涵管底板进口高程43.00米。区内基础水源有山平塘、河坝，现状水源工程见表3.1-1</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3）XX水库灌区片</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XX水库坐落在XX镇金坪村境内，是一座以灌溉为主，兼顾防洪、养殖等综合利用的小（Ⅰ）型水库，该库于1958年9月动工，1959年4月竣工。大坝控制集雨面积7.336平方公里，总库容629.0万m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，兴利库容377.4万m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，死库容79.0万m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，坝顶长度405m,坝顶高程64.00m，最大坝高14.0m。输水涵管底板进口高程54.86米，水库有效灌溉面积1.0万亩。区内基础水源有山平塘、河坝，现状水源工程见表3.1-1</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en-US" w:bidi="ar-SA"/>
        </w:rPr>
      </w:pPr>
      <w:r>
        <w:rPr>
          <w:rFonts w:hint="eastAsia" w:ascii="黑体" w:hAnsi="黑体" w:eastAsia="黑体" w:cs="黑体"/>
          <w:b w:val="0"/>
          <w:bCs/>
          <w:color w:val="auto"/>
          <w:kern w:val="32"/>
          <w:sz w:val="28"/>
          <w:szCs w:val="28"/>
          <w:lang w:val="en-US" w:eastAsia="en-US" w:bidi="ar-SA"/>
        </w:rPr>
        <w:t>表3.1-</w:t>
      </w:r>
      <w:r>
        <w:rPr>
          <w:rFonts w:hint="eastAsia" w:ascii="黑体" w:hAnsi="黑体" w:eastAsia="黑体" w:cs="黑体"/>
          <w:b w:val="0"/>
          <w:bCs/>
          <w:color w:val="auto"/>
          <w:kern w:val="32"/>
          <w:sz w:val="28"/>
          <w:szCs w:val="28"/>
          <w:lang w:val="en-US" w:eastAsia="zh-CN" w:bidi="ar-SA"/>
        </w:rPr>
        <w:t>1</w:t>
      </w:r>
      <w:r>
        <w:rPr>
          <w:rFonts w:hint="eastAsia" w:ascii="黑体" w:hAnsi="黑体" w:eastAsia="黑体" w:cs="黑体"/>
          <w:b w:val="0"/>
          <w:bCs/>
          <w:color w:val="auto"/>
          <w:kern w:val="32"/>
          <w:sz w:val="28"/>
          <w:szCs w:val="28"/>
          <w:lang w:val="en-US" w:eastAsia="en-US" w:bidi="ar-SA"/>
        </w:rPr>
        <w:t xml:space="preserve">  水源工程主要特性表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19"/>
        <w:gridCol w:w="863"/>
        <w:gridCol w:w="1125"/>
        <w:gridCol w:w="998"/>
        <w:gridCol w:w="994"/>
        <w:gridCol w:w="1161"/>
        <w:gridCol w:w="829"/>
        <w:gridCol w:w="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1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项目片区</w:t>
            </w:r>
          </w:p>
        </w:tc>
        <w:tc>
          <w:tcPr>
            <w:tcW w:w="298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水库</w:t>
            </w:r>
          </w:p>
        </w:tc>
        <w:tc>
          <w:tcPr>
            <w:tcW w:w="215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山塘</w:t>
            </w:r>
          </w:p>
        </w:tc>
        <w:tc>
          <w:tcPr>
            <w:tcW w:w="182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河坝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1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数量（座）</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兴利库容(万m3)</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集雨面积（km2）</w:t>
            </w:r>
          </w:p>
        </w:tc>
        <w:tc>
          <w:tcPr>
            <w:tcW w:w="9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数量（口）</w:t>
            </w:r>
          </w:p>
        </w:tc>
        <w:tc>
          <w:tcPr>
            <w:tcW w:w="11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有效塘容(万m3)</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数量（座）</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集雨面积（km2）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XX水库灌区片</w:t>
            </w:r>
          </w:p>
        </w:tc>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167</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1.63</w:t>
            </w:r>
          </w:p>
        </w:tc>
        <w:tc>
          <w:tcPr>
            <w:tcW w:w="9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212</w:t>
            </w:r>
          </w:p>
        </w:tc>
        <w:tc>
          <w:tcPr>
            <w:tcW w:w="11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445</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XX水库灌区片</w:t>
            </w:r>
          </w:p>
        </w:tc>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280</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2.15</w:t>
            </w:r>
          </w:p>
        </w:tc>
        <w:tc>
          <w:tcPr>
            <w:tcW w:w="9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196</w:t>
            </w:r>
          </w:p>
        </w:tc>
        <w:tc>
          <w:tcPr>
            <w:tcW w:w="11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412</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XX水库灌区片</w:t>
            </w:r>
          </w:p>
        </w:tc>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377.4</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7.336</w:t>
            </w:r>
          </w:p>
        </w:tc>
        <w:tc>
          <w:tcPr>
            <w:tcW w:w="9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56</w:t>
            </w:r>
          </w:p>
        </w:tc>
        <w:tc>
          <w:tcPr>
            <w:tcW w:w="11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118</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w:t>
            </w:r>
          </w:p>
        </w:tc>
      </w:tr>
    </w:tbl>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（2）设计代表年选取</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1）基础资料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项目区内无雨量站，有关水文参数套用XX县气象局数据，对XX县近50年(1969—2018)的作物生长期（4</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10月）降雨资料排频，选定设计保证率代表年，见表3.1-2。</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表3.1-2  XX县降雨资料排频情况表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98"/>
        <w:gridCol w:w="1498"/>
        <w:gridCol w:w="1498"/>
        <w:gridCol w:w="1498"/>
        <w:gridCol w:w="1498"/>
        <w:gridCol w:w="1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atLeast"/>
          <w:tblHeader/>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年份</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降雨量（mm）</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保证率(%)</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年份</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降雨量（mm）</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保证率(%)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1969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1054.4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76.5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1271.6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1970</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1505.5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17.6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994</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1060.4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74.5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1560.5</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1394.9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1997</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1114.6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1286.1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41.2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1105.4</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980.9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88.2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1399.5</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1111.9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64.7</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2000</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910.6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1631.9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1952.3</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1977</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971.8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90.2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1365.6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1208.3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52.9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1017.6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1979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1103.5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68.6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981.8</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1980</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1296.1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39.2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1812.6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881.4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94.1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1365.3</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1150.3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58.8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2007</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1247.9</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1963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875.8</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1147.8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60.8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2009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1081.2</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1482.1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23.5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2010</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1186.2</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1503.2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1518.8</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1987</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1015.3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82.4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1040.5</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865.9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1261.6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1989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1259.1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47.1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1090.8</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1990</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1164.44</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56.9</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2015</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1490.6</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1233.8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2016</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1391.7</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1992</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1594.1</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2017</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1438.2</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1993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1336.7</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37.3</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2018</w:t>
            </w:r>
          </w:p>
        </w:tc>
        <w:tc>
          <w:tcPr>
            <w:tcW w:w="1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1545.2</w:t>
            </w:r>
          </w:p>
        </w:tc>
        <w:tc>
          <w:tcPr>
            <w:tcW w:w="14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13.7</w:t>
            </w:r>
          </w:p>
        </w:tc>
      </w:tr>
    </w:tbl>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仿宋_GB2312" w:hAnsi="仿宋_GB2312" w:eastAsia="仿宋_GB2312" w:cs="仿宋_GB2312"/>
          <w:b/>
          <w:color w:val="auto"/>
          <w:kern w:val="32"/>
          <w:sz w:val="28"/>
          <w:szCs w:val="28"/>
          <w:lang w:val="en-US" w:eastAsia="en-US" w:bidi="ar-SA"/>
        </w:rPr>
      </w:pP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2）设计代表年的选取</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灌溉与排水工程设计规范》表3.1.2可知，以水稻为主的水资源丰富地区灌溉保证率为80%～95%，项目区农作物水田以种植双季稻为主，本次设计保证率取90%。从排频情况可知，频率在90%左右的年份有有1974年（P=88.2%），1997年(P=90.2％)，2000年(P=92.2％)，综合考虑全年降雨量月分配和作物生育期降雨量情况，选定1977年(P=90.2％)作设计典型年。</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（3）可供水量分析</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径流系数是采用《水利工程实用水文水利计算》Ｐ152中“</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省小河径流系数表”中径流成果，降雨资料XX县气象站1973年11月～1974年1月实测降雨资料。项目区产水量用下式计算：</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W=0.1*α*Ｙ月*Ｆ（万m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式中：α-径流系数</w:t>
      </w:r>
    </w:p>
    <w:p>
      <w:pPr>
        <w:keepNext w:val="0"/>
        <w:keepLines w:val="0"/>
        <w:pageBreakBefore w:val="0"/>
        <w:widowControl w:val="0"/>
        <w:kinsoku/>
        <w:wordWrap/>
        <w:overflowPunct/>
        <w:topLinePunct w:val="0"/>
        <w:autoSpaceDN/>
        <w:bidi w:val="0"/>
        <w:adjustRightInd w:val="0"/>
        <w:snapToGrid w:val="0"/>
        <w:spacing w:line="420" w:lineRule="exact"/>
        <w:ind w:firstLine="1274" w:firstLineChars="45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Ｙ月-月降雨量（mm）</w:t>
      </w:r>
    </w:p>
    <w:p>
      <w:pPr>
        <w:keepNext w:val="0"/>
        <w:keepLines w:val="0"/>
        <w:pageBreakBefore w:val="0"/>
        <w:widowControl w:val="0"/>
        <w:kinsoku/>
        <w:wordWrap/>
        <w:overflowPunct/>
        <w:topLinePunct w:val="0"/>
        <w:autoSpaceDN/>
        <w:bidi w:val="0"/>
        <w:adjustRightInd w:val="0"/>
        <w:snapToGrid w:val="0"/>
        <w:spacing w:line="420" w:lineRule="exact"/>
        <w:ind w:firstLine="1274" w:firstLineChars="45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Ｆ-集雨面积（km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项目区不同月降雨量对应径流系数见表3.1-3，项目区设计代表年月降雨水量分配见表3.1-4。</w:t>
      </w: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表3.1-3  项目区不同月降雨量对应径流系数表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53"/>
        <w:gridCol w:w="694"/>
        <w:gridCol w:w="1113"/>
        <w:gridCol w:w="1389"/>
        <w:gridCol w:w="1251"/>
        <w:gridCol w:w="1253"/>
        <w:gridCol w:w="1247"/>
        <w:gridCol w:w="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月降雨量（mm）</w:t>
            </w:r>
          </w:p>
        </w:tc>
        <w:tc>
          <w:tcPr>
            <w:tcW w:w="6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w:t>
            </w:r>
          </w:p>
        </w:tc>
        <w:tc>
          <w:tcPr>
            <w:tcW w:w="111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30.1～50</w:t>
            </w:r>
          </w:p>
        </w:tc>
        <w:tc>
          <w:tcPr>
            <w:tcW w:w="13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50.1～100</w:t>
            </w:r>
          </w:p>
        </w:tc>
        <w:tc>
          <w:tcPr>
            <w:tcW w:w="125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100.1～200</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200.1～300</w:t>
            </w:r>
          </w:p>
        </w:tc>
        <w:tc>
          <w:tcPr>
            <w:tcW w:w="12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300.1～400</w:t>
            </w:r>
          </w:p>
        </w:tc>
        <w:tc>
          <w:tcPr>
            <w:tcW w:w="6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径流系数</w:t>
            </w:r>
          </w:p>
        </w:tc>
        <w:tc>
          <w:tcPr>
            <w:tcW w:w="6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0.07</w:t>
            </w:r>
          </w:p>
        </w:tc>
        <w:tc>
          <w:tcPr>
            <w:tcW w:w="111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13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0.32</w:t>
            </w:r>
          </w:p>
        </w:tc>
        <w:tc>
          <w:tcPr>
            <w:tcW w:w="125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0.56</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0.62</w:t>
            </w:r>
          </w:p>
        </w:tc>
        <w:tc>
          <w:tcPr>
            <w:tcW w:w="12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0.68</w:t>
            </w:r>
          </w:p>
        </w:tc>
        <w:tc>
          <w:tcPr>
            <w:tcW w:w="6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0.72</w:t>
            </w:r>
          </w:p>
        </w:tc>
      </w:tr>
    </w:tbl>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表3.1-4  项目区设计代表年月降雨量分配</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7"/>
        <w:gridCol w:w="572"/>
        <w:gridCol w:w="575"/>
        <w:gridCol w:w="572"/>
        <w:gridCol w:w="572"/>
        <w:gridCol w:w="676"/>
        <w:gridCol w:w="676"/>
        <w:gridCol w:w="676"/>
        <w:gridCol w:w="519"/>
        <w:gridCol w:w="572"/>
        <w:gridCol w:w="572"/>
        <w:gridCol w:w="572"/>
        <w:gridCol w:w="554"/>
        <w:gridCol w:w="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9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年份</w:t>
            </w:r>
          </w:p>
        </w:tc>
        <w:tc>
          <w:tcPr>
            <w:tcW w:w="11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1973年</w:t>
            </w:r>
          </w:p>
        </w:tc>
        <w:tc>
          <w:tcPr>
            <w:tcW w:w="5961"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1974年</w:t>
            </w:r>
          </w:p>
        </w:tc>
        <w:tc>
          <w:tcPr>
            <w:tcW w:w="9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年降雨（mm）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9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5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5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9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9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月降雨</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38.3</w:t>
            </w:r>
          </w:p>
        </w:tc>
        <w:tc>
          <w:tcPr>
            <w:tcW w:w="5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38.1</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23.6</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38.5</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294.2</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108.9</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121.2</w:t>
            </w:r>
          </w:p>
        </w:tc>
        <w:tc>
          <w:tcPr>
            <w:tcW w:w="5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171</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84.9</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11.1</w:t>
            </w:r>
          </w:p>
        </w:tc>
        <w:tc>
          <w:tcPr>
            <w:tcW w:w="5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35.9</w:t>
            </w:r>
          </w:p>
        </w:tc>
        <w:tc>
          <w:tcPr>
            <w:tcW w:w="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15.1</w:t>
            </w:r>
          </w:p>
        </w:tc>
        <w:tc>
          <w:tcPr>
            <w:tcW w:w="96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980.8</w:t>
            </w:r>
          </w:p>
        </w:tc>
      </w:tr>
    </w:tbl>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bookmarkStart w:id="43" w:name="_Toc511577194"/>
      <w:bookmarkStart w:id="44" w:name="_Toc4957958"/>
      <w:r>
        <w:rPr>
          <w:rFonts w:hint="eastAsia" w:ascii="仿宋_GB2312" w:hAnsi="仿宋_GB2312" w:eastAsia="仿宋_GB2312" w:cs="仿宋_GB2312"/>
          <w:color w:val="auto"/>
          <w:sz w:val="28"/>
          <w:szCs w:val="28"/>
        </w:rPr>
        <w:t>1）水库可供水量</w:t>
      </w:r>
      <w:bookmarkEnd w:id="43"/>
      <w:bookmarkEnd w:id="44"/>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项目区小水库来水量按当月径流深来推求来水过程。以径流深乘以水库的集雨面积，可得年径流量：</w:t>
      </w: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position w:val="-6"/>
          <w:sz w:val="28"/>
          <w:szCs w:val="28"/>
        </w:rPr>
        <w:object>
          <v:shape id="_x0000_i1025" o:spt="75" type="#_x0000_t75" style="height:18pt;width:76.5pt;" o:ole="t" filled="f" o:preferrelative="t" stroked="f" coordsize="21600,21600">
            <v:path/>
            <v:fill on="f" focussize="0,0"/>
            <v:stroke on="f" joinstyle="miter"/>
            <v:imagedata r:id="rId50" o:title=""/>
            <o:lock v:ext="edit" aspectratio="t"/>
            <w10:wrap type="none"/>
            <w10:anchorlock/>
          </v:shape>
          <o:OLEObject Type="Embed" ProgID="Equation.DSMT4" ShapeID="_x0000_i1025" DrawAspect="Content" ObjectID="_1468075725" r:id="rId49">
            <o:LockedField>false</o:LockedField>
          </o:OLEObject>
        </w:objec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式中：W——径流量，万m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N/>
        <w:bidi w:val="0"/>
        <w:adjustRightInd w:val="0"/>
        <w:snapToGrid w:val="0"/>
        <w:spacing w:line="420" w:lineRule="exact"/>
        <w:ind w:firstLine="1416" w:firstLineChars="50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R——径流深，m；</w:t>
      </w:r>
    </w:p>
    <w:p>
      <w:pPr>
        <w:keepNext w:val="0"/>
        <w:keepLines w:val="0"/>
        <w:pageBreakBefore w:val="0"/>
        <w:widowControl w:val="0"/>
        <w:kinsoku/>
        <w:wordWrap/>
        <w:overflowPunct/>
        <w:topLinePunct w:val="0"/>
        <w:autoSpaceDN/>
        <w:bidi w:val="0"/>
        <w:adjustRightInd w:val="0"/>
        <w:snapToGrid w:val="0"/>
        <w:spacing w:line="420" w:lineRule="exact"/>
        <w:ind w:firstLine="1416" w:firstLineChars="50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F——集雨面积，km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设计代表年项目各片区区水库产水量见下表3.1-5：</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right"/>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表3.1-5  项目区设计代表年水库逐月产水量        单位：万m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42"/>
        <w:gridCol w:w="587"/>
        <w:gridCol w:w="587"/>
        <w:gridCol w:w="587"/>
        <w:gridCol w:w="588"/>
        <w:gridCol w:w="590"/>
        <w:gridCol w:w="588"/>
        <w:gridCol w:w="588"/>
        <w:gridCol w:w="588"/>
        <w:gridCol w:w="588"/>
        <w:gridCol w:w="588"/>
        <w:gridCol w:w="588"/>
        <w:gridCol w:w="588"/>
        <w:gridCol w:w="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月份</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小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月降雨量（mm）</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38.3</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38.1</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23.6</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38.5</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294.2</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108.9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121.2</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171</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84.9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11.1</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15.1</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径流系数</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0.18</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0.18</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0.07</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0.18</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0.62</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0.56</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0.56</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0.56</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0.32</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0.07</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0.18</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0.07</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XX水库</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1.12</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1.12</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0.27</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1.13</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29.73</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9.94</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11.06</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15.61</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4.43</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0.13</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1.05</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0.17</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XX水库</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1.48</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1.47</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0.36</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1.49</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39.22</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13.11</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14.59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20.59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5.84</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0.17</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0.23</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XX水库</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5.06</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5.03</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1.21</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5.08</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133.81</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44.74</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49.79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70.25</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19.93</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0.57</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4.74</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0.78</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340.99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13.12</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13.05</w:t>
            </w:r>
          </w:p>
        </w:tc>
        <w:tc>
          <w:tcPr>
            <w:tcW w:w="5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4.55</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13.19</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226.64</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65.22</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72.58</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113.4</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50.89</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0.83</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6.92</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1.13</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581.53</w:t>
            </w:r>
          </w:p>
        </w:tc>
      </w:tr>
    </w:tbl>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bookmarkStart w:id="45" w:name="_Toc4957959"/>
      <w:bookmarkStart w:id="46" w:name="_Toc511577195"/>
      <w:r>
        <w:rPr>
          <w:rFonts w:hint="eastAsia" w:ascii="仿宋_GB2312" w:hAnsi="仿宋_GB2312" w:eastAsia="仿宋_GB2312" w:cs="仿宋_GB2312"/>
          <w:color w:val="auto"/>
          <w:sz w:val="28"/>
          <w:szCs w:val="28"/>
        </w:rPr>
        <w:t>2）山平塘可供水量</w:t>
      </w:r>
      <w:bookmarkEnd w:id="45"/>
      <w:bookmarkEnd w:id="46"/>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采用复蓄系数法计算山平塘年产水量，山塘供水量计算公式：</w:t>
      </w: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position w:val="-6"/>
          <w:sz w:val="28"/>
          <w:szCs w:val="28"/>
        </w:rPr>
      </w:pPr>
      <w:r>
        <w:rPr>
          <w:rFonts w:hint="eastAsia" w:ascii="仿宋_GB2312" w:hAnsi="仿宋_GB2312" w:eastAsia="仿宋_GB2312" w:cs="仿宋_GB2312"/>
          <w:color w:val="auto"/>
          <w:position w:val="-6"/>
          <w:sz w:val="28"/>
          <w:szCs w:val="28"/>
        </w:rPr>
        <w:object>
          <v:shape id="_x0000_i1026" o:spt="75" type="#_x0000_t75" style="height:18.75pt;width:77.25pt;" o:ole="t" filled="f" o:preferrelative="t" stroked="f" coordsize="21600,21600">
            <v:path/>
            <v:fill on="f" focussize="0,0"/>
            <v:stroke on="f" joinstyle="miter"/>
            <v:imagedata r:id="rId52" o:title=""/>
            <o:lock v:ext="edit" aspectratio="t"/>
            <w10:wrap type="none"/>
            <w10:anchorlock/>
          </v:shape>
          <o:OLEObject Type="Embed" ProgID="Equation.DSMT4" ShapeID="_x0000_i1026" DrawAspect="Content" ObjectID="_1468075726" r:id="rId51">
            <o:LockedField>false</o:LockedField>
          </o:OLEObject>
        </w:objec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式中：W——山塘供水量，万m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N/>
        <w:bidi w:val="0"/>
        <w:adjustRightInd w:val="0"/>
        <w:snapToGrid w:val="0"/>
        <w:spacing w:line="420" w:lineRule="exact"/>
        <w:ind w:firstLine="1416" w:firstLineChars="50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N—复蓄系数，取0.8；</w:t>
      </w:r>
    </w:p>
    <w:p>
      <w:pPr>
        <w:keepNext w:val="0"/>
        <w:keepLines w:val="0"/>
        <w:pageBreakBefore w:val="0"/>
        <w:widowControl w:val="0"/>
        <w:kinsoku/>
        <w:wordWrap/>
        <w:overflowPunct/>
        <w:topLinePunct w:val="0"/>
        <w:autoSpaceDN/>
        <w:bidi w:val="0"/>
        <w:adjustRightInd w:val="0"/>
        <w:snapToGrid w:val="0"/>
        <w:spacing w:line="420" w:lineRule="exact"/>
        <w:ind w:firstLine="1416" w:firstLineChars="50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V—山塘有效容积。</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通过加固、防渗、扩容等工程措施的山塘有效蓄水量可提高30%左右，本次项目山平塘改造数量较多，按总塘容的5%计算增量塘容。经项目实施前后山塘可供水量见表3.1-6：</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right"/>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表3.1-6  项实施前后山塘可供水量          单位：万m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50"/>
        <w:gridCol w:w="1668"/>
        <w:gridCol w:w="1388"/>
        <w:gridCol w:w="1943"/>
        <w:gridCol w:w="1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7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项目片区</w:t>
            </w:r>
          </w:p>
        </w:tc>
        <w:tc>
          <w:tcPr>
            <w:tcW w:w="13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数量（口）</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有效塘容（万m3）</w:t>
            </w:r>
          </w:p>
        </w:tc>
        <w:tc>
          <w:tcPr>
            <w:tcW w:w="1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可供水量（万m3）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实施前</w:t>
            </w:r>
          </w:p>
        </w:tc>
        <w:tc>
          <w:tcPr>
            <w:tcW w:w="13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212</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445</w:t>
            </w:r>
          </w:p>
        </w:tc>
        <w:tc>
          <w:tcPr>
            <w:tcW w:w="1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3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212</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467</w:t>
            </w:r>
          </w:p>
        </w:tc>
        <w:tc>
          <w:tcPr>
            <w:tcW w:w="1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实施前</w:t>
            </w:r>
          </w:p>
        </w:tc>
        <w:tc>
          <w:tcPr>
            <w:tcW w:w="13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196</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412</w:t>
            </w:r>
          </w:p>
        </w:tc>
        <w:tc>
          <w:tcPr>
            <w:tcW w:w="1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3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196</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432</w:t>
            </w:r>
          </w:p>
        </w:tc>
        <w:tc>
          <w:tcPr>
            <w:tcW w:w="1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实施前</w:t>
            </w:r>
          </w:p>
        </w:tc>
        <w:tc>
          <w:tcPr>
            <w:tcW w:w="13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118</w:t>
            </w:r>
          </w:p>
        </w:tc>
        <w:tc>
          <w:tcPr>
            <w:tcW w:w="1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3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123</w:t>
            </w:r>
          </w:p>
        </w:tc>
        <w:tc>
          <w:tcPr>
            <w:tcW w:w="1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99</w:t>
            </w:r>
          </w:p>
        </w:tc>
      </w:tr>
    </w:tbl>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bookmarkStart w:id="47" w:name="_Toc511577196"/>
      <w:bookmarkStart w:id="48" w:name="_Toc4957960"/>
      <w:r>
        <w:rPr>
          <w:rFonts w:hint="eastAsia" w:ascii="仿宋_GB2312" w:hAnsi="仿宋_GB2312" w:eastAsia="仿宋_GB2312" w:cs="仿宋_GB2312"/>
          <w:color w:val="auto"/>
          <w:sz w:val="28"/>
          <w:szCs w:val="28"/>
        </w:rPr>
        <w:t>3）河坝可供水量</w:t>
      </w:r>
      <w:bookmarkEnd w:id="47"/>
      <w:bookmarkEnd w:id="48"/>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项目区小溪沟数量众多，河坝大部分以堰塘的形式存在，堰塘既提高了水位，保证下游自流灌溉，又能拦蓄坡面径流，发挥山平塘的作用。河坝产水量按下式计算：</w:t>
      </w:r>
    </w:p>
    <w:p>
      <w:pPr>
        <w:keepNext w:val="0"/>
        <w:keepLines w:val="0"/>
        <w:pageBreakBefore w:val="0"/>
        <w:widowControl w:val="0"/>
        <w:kinsoku/>
        <w:wordWrap/>
        <w:overflowPunct/>
        <w:topLinePunct w:val="0"/>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position w:val="-10"/>
          <w:sz w:val="28"/>
          <w:szCs w:val="28"/>
        </w:rPr>
        <w:object>
          <v:shape id="_x0000_i1027" o:spt="75" type="#_x0000_t75" style="height:19.5pt;width:79.5pt;" o:ole="t" filled="f" o:preferrelative="t" stroked="f" coordsize="21600,21600">
            <v:path/>
            <v:fill on="f" focussize="0,0"/>
            <v:stroke on="f" joinstyle="miter"/>
            <v:imagedata r:id="rId54" o:title=""/>
            <o:lock v:ext="edit" aspectratio="t"/>
            <w10:wrap type="none"/>
            <w10:anchorlock/>
          </v:shape>
          <o:OLEObject Type="Embed" ProgID="Equation.DSMT4" ShapeID="_x0000_i1027" DrawAspect="Content" ObjectID="_1468075727" r:id="rId53">
            <o:LockedField>false</o:LockedField>
          </o:OLEObject>
        </w:objec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式中符号同前；</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η——河坝水利用率，取0.65。</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项目区河坝可供水量计算成果见表3.1-7</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right"/>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 3.1-7  项目区河坝可供水量               单位：万m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561"/>
        <w:gridCol w:w="592"/>
        <w:gridCol w:w="591"/>
        <w:gridCol w:w="507"/>
        <w:gridCol w:w="591"/>
        <w:gridCol w:w="676"/>
        <w:gridCol w:w="591"/>
        <w:gridCol w:w="591"/>
        <w:gridCol w:w="591"/>
        <w:gridCol w:w="591"/>
        <w:gridCol w:w="507"/>
        <w:gridCol w:w="507"/>
        <w:gridCol w:w="507"/>
        <w:gridCol w:w="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5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5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月降雨量（mm）</w:t>
            </w:r>
          </w:p>
        </w:tc>
        <w:tc>
          <w:tcPr>
            <w:tcW w:w="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38.3</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38.1</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38.5</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294.2</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108.9</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121.2</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84.9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11.1</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15.1</w:t>
            </w:r>
          </w:p>
        </w:tc>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5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径流系数（d）</w:t>
            </w:r>
          </w:p>
        </w:tc>
        <w:tc>
          <w:tcPr>
            <w:tcW w:w="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0.07</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0.62</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0.32</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0.07</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0.07</w:t>
            </w:r>
          </w:p>
        </w:tc>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5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2.95</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2.98</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78.43</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26.22</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29.18</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41.18</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11.68</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0.33</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2.78</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0.45</w:t>
            </w:r>
          </w:p>
        </w:tc>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5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0.53</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2.22</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58.37</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19.51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21.72</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30.64</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2.07</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0.34</w:t>
            </w:r>
          </w:p>
        </w:tc>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5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0.75</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20.06</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6.71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7.47</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10.53</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56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13.12</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13.05</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4.55</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13.19</w:t>
            </w:r>
          </w:p>
        </w:tc>
        <w:tc>
          <w:tcPr>
            <w:tcW w:w="6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226.64</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65.22</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72.58</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113.4</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50.89</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0.83</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6.92</w:t>
            </w:r>
          </w:p>
        </w:tc>
        <w:tc>
          <w:tcPr>
            <w:tcW w:w="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w:t>
            </w:r>
          </w:p>
        </w:tc>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581.5</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项目区用水情况分析</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（1）灌溉制度及灌溉定额</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项目区粮食作物以种植水稻为主，水田耕作制度主要为早稻—晚稻—油菜，旱地为旱作物等。现状水平年复种指数取1.5，设计水平年调整了作物种植结构，复种指数取1.7。</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项目规划区水稻灌溉制度采用“浅—蓄—湿—晒”，根据</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省质量技术监督局2014年8月12日发布的《</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省用水定额地方标准》（DB43/T388-2014），XX县属于Ⅲ类分区，考虑项目区地下水补给及湖区地势低洼、农田保水性较好的特点，综合确定XX县主要作物灌溉保证率为90%时的灌溉定额见表3.2-8</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right"/>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表3.1-8  主要作物灌溉定额（P=90%）         单位：m</w:t>
      </w:r>
      <w:r>
        <w:rPr>
          <w:rFonts w:hint="eastAsia" w:ascii="黑体" w:hAnsi="黑体" w:eastAsia="黑体" w:cs="黑体"/>
          <w:b w:val="0"/>
          <w:bCs/>
          <w:color w:val="auto"/>
          <w:kern w:val="32"/>
          <w:sz w:val="28"/>
          <w:szCs w:val="28"/>
          <w:vertAlign w:val="superscript"/>
          <w:lang w:val="en-US" w:eastAsia="zh-CN" w:bidi="ar-SA"/>
        </w:rPr>
        <w:t>3</w:t>
      </w:r>
      <w:r>
        <w:rPr>
          <w:rFonts w:hint="eastAsia" w:ascii="黑体" w:hAnsi="黑体" w:eastAsia="黑体" w:cs="黑体"/>
          <w:b w:val="0"/>
          <w:bCs/>
          <w:color w:val="auto"/>
          <w:kern w:val="32"/>
          <w:sz w:val="28"/>
          <w:szCs w:val="28"/>
          <w:lang w:val="en-US" w:eastAsia="zh-CN" w:bidi="ar-SA"/>
        </w:rPr>
        <w:t>/亩</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41"/>
        <w:gridCol w:w="483"/>
        <w:gridCol w:w="589"/>
        <w:gridCol w:w="589"/>
        <w:gridCol w:w="589"/>
        <w:gridCol w:w="696"/>
        <w:gridCol w:w="802"/>
        <w:gridCol w:w="802"/>
        <w:gridCol w:w="696"/>
        <w:gridCol w:w="696"/>
        <w:gridCol w:w="590"/>
        <w:gridCol w:w="590"/>
        <w:gridCol w:w="591"/>
        <w:gridCol w:w="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2" w:hRule="exact"/>
          <w:jc w:val="center"/>
        </w:trPr>
        <w:tc>
          <w:tcPr>
            <w:tcW w:w="6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作物</w:t>
            </w:r>
          </w:p>
        </w:tc>
        <w:tc>
          <w:tcPr>
            <w:tcW w:w="7713" w:type="dxa"/>
            <w:gridSpan w:val="1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63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2" w:hRule="exact"/>
          <w:jc w:val="center"/>
        </w:trPr>
        <w:tc>
          <w:tcPr>
            <w:tcW w:w="6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4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6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2" w:hRule="exact"/>
          <w:jc w:val="center"/>
        </w:trPr>
        <w:tc>
          <w:tcPr>
            <w:tcW w:w="6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早稻</w:t>
            </w:r>
          </w:p>
        </w:tc>
        <w:tc>
          <w:tcPr>
            <w:tcW w:w="4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19.7</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122.6</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102.6</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2" w:hRule="exact"/>
          <w:jc w:val="center"/>
        </w:trPr>
        <w:tc>
          <w:tcPr>
            <w:tcW w:w="6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4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70.87</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135.86</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127.93</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65.34</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2" w:hRule="exact"/>
          <w:jc w:val="center"/>
        </w:trPr>
        <w:tc>
          <w:tcPr>
            <w:tcW w:w="6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晚稻</w:t>
            </w:r>
          </w:p>
        </w:tc>
        <w:tc>
          <w:tcPr>
            <w:tcW w:w="4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111.5</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134.3</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131.3</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42.9</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2" w:hRule="exact"/>
          <w:jc w:val="center"/>
        </w:trPr>
        <w:tc>
          <w:tcPr>
            <w:tcW w:w="6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tc>
        <w:tc>
          <w:tcPr>
            <w:tcW w:w="4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9.1</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18.2</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19.5</w:t>
            </w:r>
          </w:p>
        </w:tc>
        <w:tc>
          <w:tcPr>
            <w:tcW w:w="5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6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5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50.4</w:t>
            </w:r>
          </w:p>
        </w:tc>
        <w:tc>
          <w:tcPr>
            <w:tcW w:w="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22.9</w:t>
            </w:r>
          </w:p>
        </w:tc>
        <w:tc>
          <w:tcPr>
            <w:tcW w:w="6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120</w:t>
            </w:r>
          </w:p>
        </w:tc>
      </w:tr>
    </w:tbl>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（2）各种作物播种面积的确定</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项目区分为3个片区，现状水平年选取2019年，设计水平年选取2025年，各水平年分片区作物播种面积详见表3.1-9，表3.1-10。</w:t>
      </w: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表3.1-9  现状水平年作物播种面积统计表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79"/>
        <w:gridCol w:w="2517"/>
        <w:gridCol w:w="1797"/>
        <w:gridCol w:w="1797"/>
        <w:gridCol w:w="1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25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项目分片区名称</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耕地面积(万亩)</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播种作物</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播种面积(万亩)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5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7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0.79</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早稻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晚稻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5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7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0.77</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早稻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晚稻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5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7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0.59</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早稻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晚稻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7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5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3.24</w:t>
            </w:r>
          </w:p>
        </w:tc>
      </w:tr>
    </w:tbl>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p>
    <w:p>
      <w:pPr>
        <w:keepNext w:val="0"/>
        <w:keepLines w:val="0"/>
        <w:pageBreakBefore w:val="0"/>
        <w:widowControl w:val="0"/>
        <w:kinsoku/>
        <w:wordWrap/>
        <w:overflowPunct/>
        <w:topLinePunct w:val="0"/>
        <w:autoSpaceDN/>
        <w:bidi w:val="0"/>
        <w:adjustRightInd w:val="0"/>
        <w:snapToGrid w:val="0"/>
        <w:spacing w:line="420" w:lineRule="exact"/>
        <w:ind w:firstLine="482"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表3.1-10  设计水平年作物播种面积统计表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56"/>
        <w:gridCol w:w="2240"/>
        <w:gridCol w:w="1797"/>
        <w:gridCol w:w="1797"/>
        <w:gridCol w:w="1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22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项目分片区名称</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耕地面积(万亩)</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播种作物</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播种面积(万亩)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2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7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0.79</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早稻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晚稻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2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7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0.77</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早稻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晚稻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2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17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0.59</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早稻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晚稻</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3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22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小计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5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1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3.67</w:t>
            </w:r>
          </w:p>
        </w:tc>
      </w:tr>
    </w:tbl>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（3）需水量计算</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1）农业灌溉需水量计算</w:t>
      </w:r>
    </w:p>
    <w:p>
      <w:pPr>
        <w:keepNext w:val="0"/>
        <w:keepLines w:val="0"/>
        <w:pageBreakBefore w:val="0"/>
        <w:widowControl w:val="0"/>
        <w:kinsoku/>
        <w:wordWrap/>
        <w:overflowPunct/>
        <w:topLinePunct w:val="0"/>
        <w:autoSpaceDN/>
        <w:bidi w:val="0"/>
        <w:adjustRightInd w:val="0"/>
        <w:snapToGrid w:val="0"/>
        <w:spacing w:line="420" w:lineRule="exact"/>
        <w:ind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以农业灌溉为主体，农业其它需水（林、牧、渔需水）在整个农业需水量中所占比重较小，且分项预测复杂，故不予考虑。灌溉需水量按乡（镇）分区计算。项目区需水量主要考虑农业灌溉需水量，用下列公式计算：</w:t>
      </w:r>
    </w:p>
    <w:p>
      <w:pPr>
        <w:adjustRightInd/>
        <w:snapToGrid/>
        <w:spacing w:line="240" w:lineRule="auto"/>
        <w:ind w:firstLine="560" w:firstLineChars="0"/>
        <w:jc w:val="center"/>
        <w:rPr>
          <w:rFonts w:ascii="Times New Roman" w:hAnsi="Times New Roman" w:eastAsia="仿宋_GB2312" w:cs="Times New Roman"/>
          <w:color w:val="auto"/>
          <w:sz w:val="21"/>
          <w:szCs w:val="22"/>
        </w:rPr>
      </w:pPr>
      <w:r>
        <w:rPr>
          <w:rFonts w:ascii="Times New Roman" w:hAnsi="Times New Roman" w:eastAsia="仿宋_GB2312" w:cs="Times New Roman"/>
          <w:i/>
          <w:iCs/>
          <w:color w:val="auto"/>
          <w:position w:val="-28"/>
          <w:sz w:val="21"/>
          <w:szCs w:val="22"/>
        </w:rPr>
        <w:object>
          <v:shape id="_x0000_i1028" o:spt="75" type="#_x0000_t75" style="height:45.75pt;width:96.75pt;" o:ole="t" filled="f" o:preferrelative="t" stroked="f" coordsize="21600,21600">
            <v:path/>
            <v:fill on="f" focussize="0,0"/>
            <v:stroke on="f" joinstyle="miter"/>
            <v:imagedata r:id="rId56" o:title=""/>
            <o:lock v:ext="edit" aspectratio="t"/>
            <w10:wrap type="none"/>
            <w10:anchorlock/>
          </v:shape>
          <o:OLEObject Type="Embed" ProgID="Equation.3" ShapeID="_x0000_i1028" DrawAspect="Content" ObjectID="_1468075728" r:id="rId5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560"/>
        <w:jc w:val="both"/>
        <w:textAlignment w:val="auto"/>
        <w:rPr>
          <w:rFonts w:hint="eastAsia" w:ascii="仿宋_GB2312" w:hAnsi="仿宋_GB2312" w:eastAsia="仿宋_GB2312" w:cs="仿宋_GB2312"/>
          <w:color w:val="auto"/>
          <w:spacing w:val="0"/>
          <w:kern w:val="2"/>
          <w:position w:val="0"/>
          <w:sz w:val="28"/>
          <w:szCs w:val="28"/>
          <w:lang w:val="en-US" w:eastAsia="zh-CN" w:bidi="ar-SA"/>
        </w:rPr>
      </w:pPr>
      <w:r>
        <w:rPr>
          <w:rFonts w:hint="eastAsia" w:ascii="仿宋_GB2312" w:hAnsi="仿宋_GB2312" w:eastAsia="仿宋_GB2312" w:cs="仿宋_GB2312"/>
          <w:color w:val="auto"/>
          <w:spacing w:val="0"/>
          <w:kern w:val="2"/>
          <w:position w:val="0"/>
          <w:sz w:val="28"/>
          <w:szCs w:val="28"/>
          <w:lang w:val="en-US" w:eastAsia="zh-CN" w:bidi="ar-SA"/>
        </w:rPr>
        <w:t>式中：W—农业需水总量，m³；</w: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1274" w:firstLineChars="455"/>
        <w:jc w:val="both"/>
        <w:textAlignment w:val="auto"/>
        <w:rPr>
          <w:rFonts w:hint="eastAsia" w:ascii="仿宋_GB2312" w:hAnsi="仿宋_GB2312" w:eastAsia="仿宋_GB2312" w:cs="仿宋_GB2312"/>
          <w:color w:val="auto"/>
          <w:spacing w:val="0"/>
          <w:kern w:val="2"/>
          <w:position w:val="0"/>
          <w:sz w:val="28"/>
          <w:szCs w:val="28"/>
          <w:lang w:val="en-US" w:eastAsia="zh-CN" w:bidi="ar-SA"/>
        </w:rPr>
      </w:pPr>
      <w:r>
        <w:rPr>
          <w:rFonts w:hint="eastAsia" w:ascii="仿宋_GB2312" w:hAnsi="仿宋_GB2312" w:eastAsia="仿宋_GB2312" w:cs="仿宋_GB2312"/>
          <w:color w:val="auto"/>
          <w:spacing w:val="0"/>
          <w:kern w:val="2"/>
          <w:position w:val="0"/>
          <w:sz w:val="28"/>
          <w:szCs w:val="28"/>
          <w:lang w:val="en-US" w:eastAsia="zh-CN" w:bidi="ar-SA"/>
        </w:rPr>
        <w:object>
          <v:shape id="_x0000_i1029" o:spt="75" type="#_x0000_t75" style="height:18pt;width:23.25pt;" o:ole="t" filled="f" o:preferrelative="t" stroked="f" coordsize="21600,21600">
            <v:path/>
            <v:fill on="f" focussize="0,0"/>
            <v:stroke on="f" joinstyle="miter"/>
            <v:imagedata r:id="rId58" o:title=""/>
            <o:lock v:ext="edit" aspectratio="t"/>
            <w10:wrap type="none"/>
            <w10:anchorlock/>
          </v:shape>
          <o:OLEObject Type="Embed" ProgID="Equation.3" ShapeID="_x0000_i1029" DrawAspect="Content" ObjectID="_1468075729" r:id="rId57">
            <o:LockedField>false</o:LockedField>
          </o:OLEObject>
        </w:object>
      </w:r>
      <w:r>
        <w:rPr>
          <w:rFonts w:hint="eastAsia" w:ascii="仿宋_GB2312" w:hAnsi="仿宋_GB2312" w:eastAsia="仿宋_GB2312" w:cs="仿宋_GB2312"/>
          <w:color w:val="auto"/>
          <w:spacing w:val="0"/>
          <w:kern w:val="2"/>
          <w:position w:val="0"/>
          <w:sz w:val="28"/>
          <w:szCs w:val="28"/>
          <w:lang w:val="en-US" w:eastAsia="zh-CN" w:bidi="ar-SA"/>
        </w:rPr>
        <w:t>—第i种作物毛灌溉定额，m³/亩；</w: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1274" w:firstLineChars="455"/>
        <w:jc w:val="both"/>
        <w:textAlignment w:val="auto"/>
        <w:rPr>
          <w:rFonts w:hint="eastAsia" w:ascii="仿宋_GB2312" w:hAnsi="仿宋_GB2312" w:eastAsia="仿宋_GB2312" w:cs="仿宋_GB2312"/>
          <w:color w:val="auto"/>
          <w:spacing w:val="0"/>
          <w:kern w:val="2"/>
          <w:position w:val="0"/>
          <w:sz w:val="28"/>
          <w:szCs w:val="28"/>
          <w:lang w:val="en-US" w:eastAsia="zh-CN" w:bidi="ar-SA"/>
        </w:rPr>
      </w:pPr>
      <w:r>
        <w:rPr>
          <w:rFonts w:hint="eastAsia" w:ascii="仿宋_GB2312" w:hAnsi="仿宋_GB2312" w:eastAsia="仿宋_GB2312" w:cs="仿宋_GB2312"/>
          <w:color w:val="auto"/>
          <w:spacing w:val="0"/>
          <w:kern w:val="2"/>
          <w:position w:val="0"/>
          <w:sz w:val="28"/>
          <w:szCs w:val="28"/>
          <w:lang w:val="en-US" w:eastAsia="zh-CN" w:bidi="ar-SA"/>
        </w:rPr>
        <w:t>A</w:t>
      </w:r>
      <w:r>
        <w:rPr>
          <w:rFonts w:hint="eastAsia" w:ascii="仿宋_GB2312" w:hAnsi="仿宋_GB2312" w:eastAsia="仿宋_GB2312" w:cs="仿宋_GB2312"/>
          <w:color w:val="auto"/>
          <w:spacing w:val="0"/>
          <w:kern w:val="2"/>
          <w:position w:val="0"/>
          <w:sz w:val="28"/>
          <w:szCs w:val="28"/>
          <w:vertAlign w:val="subscript"/>
          <w:lang w:val="en-US" w:eastAsia="zh-CN" w:bidi="ar-SA"/>
        </w:rPr>
        <w:t>i</w:t>
      </w:r>
      <w:r>
        <w:rPr>
          <w:rFonts w:hint="eastAsia" w:ascii="仿宋_GB2312" w:hAnsi="仿宋_GB2312" w:eastAsia="仿宋_GB2312" w:cs="仿宋_GB2312"/>
          <w:color w:val="auto"/>
          <w:spacing w:val="0"/>
          <w:kern w:val="2"/>
          <w:position w:val="0"/>
          <w:sz w:val="28"/>
          <w:szCs w:val="28"/>
          <w:lang w:val="en-US" w:eastAsia="zh-CN" w:bidi="ar-SA"/>
        </w:rPr>
        <w:t>—第i种作物灌溉面积，亩；</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1" w:firstLineChars="0"/>
        <w:jc w:val="center"/>
        <w:textAlignment w:val="auto"/>
        <w:rPr>
          <w:rFonts w:hint="eastAsia" w:ascii="仿宋_GB2312" w:hAnsi="仿宋_GB2312" w:eastAsia="仿宋_GB2312" w:cs="仿宋_GB2312"/>
          <w:i/>
          <w:iCs/>
          <w:color w:val="auto"/>
          <w:spacing w:val="0"/>
          <w:position w:val="0"/>
          <w:sz w:val="28"/>
          <w:szCs w:val="28"/>
        </w:rPr>
      </w:pPr>
      <w:r>
        <w:rPr>
          <w:rFonts w:hint="eastAsia" w:ascii="仿宋_GB2312" w:hAnsi="仿宋_GB2312" w:eastAsia="仿宋_GB2312" w:cs="仿宋_GB2312"/>
          <w:i/>
          <w:iCs/>
          <w:color w:val="auto"/>
          <w:spacing w:val="0"/>
          <w:position w:val="0"/>
          <w:sz w:val="28"/>
          <w:szCs w:val="28"/>
        </w:rPr>
        <w:object>
          <v:shape id="_x0000_i1030" o:spt="75" type="#_x0000_t75" style="height:45.75pt;width:79.5pt;" o:ole="t" filled="f" o:preferrelative="t" stroked="f" coordsize="21600,21600">
            <v:path/>
            <v:fill on="f" focussize="0,0"/>
            <v:stroke on="f" joinstyle="miter"/>
            <v:imagedata r:id="rId60" o:title=""/>
            <o:lock v:ext="edit" aspectratio="t"/>
            <w10:wrap type="none"/>
            <w10:anchorlock/>
          </v:shape>
          <o:OLEObject Type="Embed" ProgID="Equation.3" ShapeID="_x0000_i1030" DrawAspect="Content" ObjectID="_1468075730" r:id="rId5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560"/>
        <w:jc w:val="both"/>
        <w:textAlignment w:val="auto"/>
        <w:rPr>
          <w:rFonts w:hint="eastAsia" w:ascii="仿宋_GB2312" w:hAnsi="仿宋_GB2312" w:eastAsia="仿宋_GB2312" w:cs="仿宋_GB2312"/>
          <w:color w:val="auto"/>
          <w:spacing w:val="0"/>
          <w:kern w:val="2"/>
          <w:position w:val="0"/>
          <w:sz w:val="28"/>
          <w:szCs w:val="28"/>
          <w:lang w:val="en-US" w:eastAsia="zh-CN" w:bidi="ar-SA"/>
        </w:rPr>
      </w:pPr>
      <w:r>
        <w:rPr>
          <w:rFonts w:hint="eastAsia" w:ascii="仿宋_GB2312" w:hAnsi="仿宋_GB2312" w:eastAsia="仿宋_GB2312" w:cs="仿宋_GB2312"/>
          <w:color w:val="auto"/>
          <w:spacing w:val="0"/>
          <w:kern w:val="2"/>
          <w:position w:val="0"/>
          <w:sz w:val="28"/>
          <w:szCs w:val="28"/>
          <w:lang w:val="en-US" w:eastAsia="zh-CN" w:bidi="ar-SA"/>
        </w:rPr>
        <w:t>式中：</w:t>
      </w:r>
      <w:r>
        <w:rPr>
          <w:rFonts w:hint="eastAsia" w:ascii="仿宋_GB2312" w:hAnsi="仿宋_GB2312" w:eastAsia="仿宋_GB2312" w:cs="仿宋_GB2312"/>
          <w:i/>
          <w:iCs/>
          <w:color w:val="auto"/>
          <w:spacing w:val="0"/>
          <w:kern w:val="2"/>
          <w:position w:val="0"/>
          <w:sz w:val="28"/>
          <w:szCs w:val="28"/>
          <w:lang w:val="en-US" w:eastAsia="zh-CN" w:bidi="ar-SA"/>
        </w:rPr>
        <w:t>Mi</w:t>
      </w:r>
      <w:r>
        <w:rPr>
          <w:rFonts w:hint="eastAsia" w:ascii="仿宋_GB2312" w:hAnsi="仿宋_GB2312" w:eastAsia="仿宋_GB2312" w:cs="仿宋_GB2312"/>
          <w:color w:val="auto"/>
          <w:spacing w:val="0"/>
          <w:kern w:val="2"/>
          <w:position w:val="0"/>
          <w:sz w:val="28"/>
          <w:szCs w:val="28"/>
          <w:lang w:val="en-US" w:eastAsia="zh-CN" w:bidi="ar-SA"/>
        </w:rPr>
        <w:t>净—第i种作物净灌溉定额，m/亩；</w: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1540" w:firstLineChars="550"/>
        <w:jc w:val="both"/>
        <w:textAlignment w:val="auto"/>
        <w:rPr>
          <w:rFonts w:hint="eastAsia" w:ascii="仿宋_GB2312" w:hAnsi="仿宋_GB2312" w:eastAsia="仿宋_GB2312" w:cs="仿宋_GB2312"/>
          <w:color w:val="auto"/>
          <w:spacing w:val="0"/>
          <w:kern w:val="2"/>
          <w:position w:val="0"/>
          <w:sz w:val="28"/>
          <w:szCs w:val="28"/>
          <w:lang w:val="en-US" w:eastAsia="zh-CN" w:bidi="ar-SA"/>
        </w:rPr>
      </w:pPr>
      <w:r>
        <w:rPr>
          <w:rFonts w:hint="eastAsia" w:ascii="仿宋_GB2312" w:hAnsi="仿宋_GB2312" w:eastAsia="仿宋_GB2312" w:cs="仿宋_GB2312"/>
          <w:color w:val="auto"/>
          <w:spacing w:val="0"/>
          <w:kern w:val="2"/>
          <w:position w:val="0"/>
          <w:sz w:val="28"/>
          <w:szCs w:val="28"/>
          <w:lang w:val="en-US" w:eastAsia="zh-CN" w:bidi="ar-SA"/>
        </w:rPr>
        <w:t>η—现状水平年灌溉水利用系数取0.55；</w: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1540" w:firstLineChars="550"/>
        <w:jc w:val="both"/>
        <w:textAlignment w:val="auto"/>
        <w:rPr>
          <w:rFonts w:hint="eastAsia" w:ascii="仿宋_GB2312" w:hAnsi="仿宋_GB2312" w:eastAsia="仿宋_GB2312" w:cs="仿宋_GB2312"/>
          <w:color w:val="auto"/>
          <w:spacing w:val="0"/>
          <w:kern w:val="2"/>
          <w:position w:val="0"/>
          <w:sz w:val="28"/>
          <w:szCs w:val="28"/>
          <w:lang w:val="en-US" w:eastAsia="zh-CN" w:bidi="ar-SA"/>
        </w:rPr>
      </w:pPr>
      <w:r>
        <w:rPr>
          <w:rFonts w:hint="eastAsia" w:ascii="仿宋_GB2312" w:hAnsi="仿宋_GB2312" w:eastAsia="仿宋_GB2312" w:cs="仿宋_GB2312"/>
          <w:color w:val="auto"/>
          <w:spacing w:val="0"/>
          <w:kern w:val="2"/>
          <w:position w:val="0"/>
          <w:sz w:val="28"/>
          <w:szCs w:val="28"/>
          <w:lang w:val="en-US" w:eastAsia="zh-CN" w:bidi="ar-SA"/>
        </w:rPr>
        <w:t>η—设计水平年灌溉水利用系数取0.76。</w: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561"/>
        <w:jc w:val="both"/>
        <w:textAlignment w:val="auto"/>
        <w:rPr>
          <w:rFonts w:hint="eastAsia" w:ascii="仿宋_GB2312" w:hAnsi="仿宋_GB2312" w:eastAsia="仿宋_GB2312" w:cs="仿宋_GB2312"/>
          <w:color w:val="auto"/>
          <w:spacing w:val="0"/>
          <w:kern w:val="2"/>
          <w:position w:val="0"/>
          <w:sz w:val="28"/>
          <w:szCs w:val="28"/>
          <w:lang w:val="en-US" w:eastAsia="zh-CN" w:bidi="ar-SA"/>
        </w:rPr>
      </w:pPr>
      <w:r>
        <w:rPr>
          <w:rFonts w:hint="eastAsia" w:ascii="仿宋_GB2312" w:hAnsi="仿宋_GB2312" w:eastAsia="仿宋_GB2312" w:cs="仿宋_GB2312"/>
          <w:color w:val="auto"/>
          <w:spacing w:val="0"/>
          <w:kern w:val="2"/>
          <w:position w:val="0"/>
          <w:sz w:val="28"/>
          <w:szCs w:val="28"/>
          <w:lang w:val="en-US" w:eastAsia="zh-CN" w:bidi="ar-SA"/>
        </w:rPr>
        <w:t>经计算，项目区现状水平年的农业净需水量1024.95万m</w:t>
      </w:r>
      <w:r>
        <w:rPr>
          <w:rFonts w:hint="eastAsia" w:ascii="仿宋_GB2312" w:hAnsi="仿宋_GB2312" w:eastAsia="仿宋_GB2312" w:cs="仿宋_GB2312"/>
          <w:color w:val="auto"/>
          <w:spacing w:val="0"/>
          <w:kern w:val="2"/>
          <w:position w:val="0"/>
          <w:sz w:val="28"/>
          <w:szCs w:val="28"/>
          <w:vertAlign w:val="superscript"/>
          <w:lang w:val="en-US" w:eastAsia="zh-CN" w:bidi="ar-SA"/>
        </w:rPr>
        <w:t>3</w:t>
      </w:r>
      <w:r>
        <w:rPr>
          <w:rFonts w:hint="eastAsia" w:ascii="仿宋_GB2312" w:hAnsi="仿宋_GB2312" w:eastAsia="仿宋_GB2312" w:cs="仿宋_GB2312"/>
          <w:color w:val="auto"/>
          <w:spacing w:val="0"/>
          <w:kern w:val="2"/>
          <w:position w:val="0"/>
          <w:sz w:val="28"/>
          <w:szCs w:val="28"/>
          <w:lang w:val="en-US" w:eastAsia="zh-CN" w:bidi="ar-SA"/>
        </w:rPr>
        <w:t>，毛需水量1863.55万m</w:t>
      </w:r>
      <w:r>
        <w:rPr>
          <w:rFonts w:hint="eastAsia" w:ascii="仿宋_GB2312" w:hAnsi="仿宋_GB2312" w:eastAsia="仿宋_GB2312" w:cs="仿宋_GB2312"/>
          <w:color w:val="auto"/>
          <w:spacing w:val="0"/>
          <w:kern w:val="2"/>
          <w:position w:val="0"/>
          <w:sz w:val="28"/>
          <w:szCs w:val="28"/>
          <w:vertAlign w:val="superscript"/>
          <w:lang w:val="en-US" w:eastAsia="zh-CN" w:bidi="ar-SA"/>
        </w:rPr>
        <w:t>3</w:t>
      </w:r>
      <w:r>
        <w:rPr>
          <w:rFonts w:hint="eastAsia" w:ascii="仿宋_GB2312" w:hAnsi="仿宋_GB2312" w:eastAsia="仿宋_GB2312" w:cs="仿宋_GB2312"/>
          <w:color w:val="auto"/>
          <w:spacing w:val="0"/>
          <w:kern w:val="2"/>
          <w:position w:val="0"/>
          <w:sz w:val="28"/>
          <w:szCs w:val="28"/>
          <w:lang w:val="en-US" w:eastAsia="zh-CN" w:bidi="ar-SA"/>
        </w:rPr>
        <w:t>，设计水平年的农业净需水量1047.65万m</w:t>
      </w:r>
      <w:r>
        <w:rPr>
          <w:rFonts w:hint="eastAsia" w:ascii="仿宋_GB2312" w:hAnsi="仿宋_GB2312" w:eastAsia="仿宋_GB2312" w:cs="仿宋_GB2312"/>
          <w:color w:val="auto"/>
          <w:spacing w:val="0"/>
          <w:kern w:val="2"/>
          <w:position w:val="0"/>
          <w:sz w:val="28"/>
          <w:szCs w:val="28"/>
          <w:vertAlign w:val="superscript"/>
          <w:lang w:val="en-US" w:eastAsia="zh-CN" w:bidi="ar-SA"/>
        </w:rPr>
        <w:t>3</w:t>
      </w:r>
      <w:r>
        <w:rPr>
          <w:rFonts w:hint="eastAsia" w:ascii="仿宋_GB2312" w:hAnsi="仿宋_GB2312" w:eastAsia="仿宋_GB2312" w:cs="仿宋_GB2312"/>
          <w:color w:val="auto"/>
          <w:spacing w:val="0"/>
          <w:kern w:val="2"/>
          <w:position w:val="0"/>
          <w:sz w:val="28"/>
          <w:szCs w:val="28"/>
          <w:lang w:val="en-US" w:eastAsia="zh-CN" w:bidi="ar-SA"/>
        </w:rPr>
        <w:t>，毛需水量为1378.49万m</w:t>
      </w:r>
      <w:r>
        <w:rPr>
          <w:rFonts w:hint="eastAsia" w:ascii="仿宋_GB2312" w:hAnsi="仿宋_GB2312" w:eastAsia="仿宋_GB2312" w:cs="仿宋_GB2312"/>
          <w:color w:val="auto"/>
          <w:spacing w:val="0"/>
          <w:kern w:val="2"/>
          <w:position w:val="0"/>
          <w:sz w:val="28"/>
          <w:szCs w:val="28"/>
          <w:vertAlign w:val="superscript"/>
          <w:lang w:val="en-US" w:eastAsia="zh-CN" w:bidi="ar-SA"/>
        </w:rPr>
        <w:t>3</w:t>
      </w:r>
      <w:r>
        <w:rPr>
          <w:rFonts w:hint="eastAsia" w:ascii="仿宋_GB2312" w:hAnsi="仿宋_GB2312" w:eastAsia="仿宋_GB2312" w:cs="仿宋_GB2312"/>
          <w:color w:val="auto"/>
          <w:spacing w:val="0"/>
          <w:kern w:val="2"/>
          <w:position w:val="0"/>
          <w:sz w:val="28"/>
          <w:szCs w:val="28"/>
          <w:lang w:val="en-US" w:eastAsia="zh-CN" w:bidi="ar-SA"/>
        </w:rPr>
        <w:t>，见表3.1-11、表3.1-12。</w:t>
      </w:r>
    </w:p>
    <w:p>
      <w:pPr>
        <w:keepNext w:val="0"/>
        <w:keepLines w:val="0"/>
        <w:pageBreakBefore w:val="0"/>
        <w:widowControl w:val="0"/>
        <w:kinsoku/>
        <w:wordWrap/>
        <w:overflowPunct/>
        <w:topLinePunct w:val="0"/>
        <w:autoSpaceDE/>
        <w:autoSpaceDN/>
        <w:bidi w:val="0"/>
        <w:adjustRightInd w:val="0"/>
        <w:snapToGrid w:val="0"/>
        <w:spacing w:before="0" w:line="420" w:lineRule="exact"/>
        <w:ind w:left="0" w:right="0" w:firstLine="561"/>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2）其他用水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项目区以农业为主体，农业以外的需水量所占比重很小，集镇工业和农村人、畜生活用水主要依靠当地的农村饮水安全工程和自备取水井提供取用水，所以本次需水量分析不考虑农业以外的需水量。</w:t>
      </w:r>
    </w:p>
    <w:p>
      <w:pPr>
        <w:widowControl w:val="0"/>
        <w:ind w:firstLine="0" w:firstLineChars="0"/>
        <w:jc w:val="both"/>
        <w:outlineLvl w:val="1"/>
        <w:rPr>
          <w:rFonts w:hint="eastAsia" w:ascii="楷体" w:hAnsi="楷体" w:eastAsia="宋体" w:cs="楷体"/>
          <w:b/>
          <w:bCs/>
          <w:kern w:val="2"/>
          <w:sz w:val="30"/>
          <w:szCs w:val="30"/>
          <w:lang w:val="en-US" w:eastAsia="zh-CN" w:bidi="ar-SA"/>
        </w:rPr>
      </w:pPr>
    </w:p>
    <w:p>
      <w:pPr>
        <w:ind w:firstLine="560"/>
        <w:rPr>
          <w:color w:val="auto"/>
        </w:rPr>
        <w:sectPr>
          <w:headerReference r:id="rId12"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widowControl w:val="0"/>
        <w:spacing w:line="100" w:lineRule="atLeast"/>
        <w:ind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3.1-11  现状水平年灌溉用水量计算表</w:t>
      </w:r>
    </w:p>
    <w:tbl>
      <w:tblPr>
        <w:tblStyle w:val="14"/>
        <w:tblW w:w="144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95"/>
        <w:gridCol w:w="1755"/>
        <w:gridCol w:w="993"/>
        <w:gridCol w:w="701"/>
        <w:gridCol w:w="776"/>
        <w:gridCol w:w="848"/>
        <w:gridCol w:w="848"/>
        <w:gridCol w:w="848"/>
        <w:gridCol w:w="848"/>
        <w:gridCol w:w="848"/>
        <w:gridCol w:w="848"/>
        <w:gridCol w:w="848"/>
        <w:gridCol w:w="848"/>
        <w:gridCol w:w="848"/>
        <w:gridCol w:w="825"/>
        <w:gridCol w:w="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项目分片区名称</w:t>
            </w:r>
          </w:p>
        </w:tc>
        <w:tc>
          <w:tcPr>
            <w:tcW w:w="17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播种作物</w:t>
            </w:r>
          </w:p>
        </w:tc>
        <w:tc>
          <w:tcPr>
            <w:tcW w:w="99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播种面积(万亩)</w:t>
            </w:r>
          </w:p>
        </w:tc>
        <w:tc>
          <w:tcPr>
            <w:tcW w:w="10849" w:type="dxa"/>
            <w:gridSpan w:val="1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用水量(万m3)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p>
        </w:tc>
        <w:tc>
          <w:tcPr>
            <w:tcW w:w="17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p>
        </w:tc>
        <w:tc>
          <w:tcPr>
            <w:tcW w:w="99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1月</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2月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3月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4月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5月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6月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7月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8月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9月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10月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11月</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12月</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XX水库灌区片</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早稻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0.40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中稻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0.32</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70.87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135.86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127.93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65.34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晚稻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0.32</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111.5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134.3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131.3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油菜</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0.16</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50.4</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22.9</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1.44</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2.89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3.10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71.14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83.84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76.00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63.37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41.68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13.62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8.00</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3.63</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灌溉水利用系数(η)</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2.63</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5.25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5.63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14.21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129.35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152.43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138.19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115.22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75.78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14.54</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6.61</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684.6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XX水库灌区片</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早稻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0.39</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中稻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0.31</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70.87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135.86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127.93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65.34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晚稻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0.31</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111.5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134.3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131.3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油菜</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0.15</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50.4</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22.9</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1.41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2.81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3.02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7.62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69.32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81.68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74.05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61.74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40.61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13.27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7.79</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3.54</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366.9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灌溉水利用系数(η)</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2.56</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5.12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5.48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13.85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126.03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148.52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134.64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112.26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73.83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24.12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14.17</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6.44</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667.0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XX水库灌区片</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早稻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中稻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0.24</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70.87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135.86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127.93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65.34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晚稻</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0.24</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111.5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134.3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131.3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油菜</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0.12</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50.4</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22.9</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1.08</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2.16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2.31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5.84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53.20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62.69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56.83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47.39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31.17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10.18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5.98</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2.72</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灌溉水利用系数(η)</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0.55</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1.96</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10.63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96.72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113.98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103.33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86.16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56.66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18.51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10.88</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4.94</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265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净需水量合计</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3.93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7.86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8.42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21.28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193.66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228.21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206.89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172.50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113.45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37.07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21.77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9.89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1024.95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265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毛需水量合计</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7.15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14.30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15.32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38.69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352.10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414.93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376.16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313.65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206.28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67.40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39.59 </w:t>
            </w:r>
          </w:p>
        </w:tc>
        <w:tc>
          <w:tcPr>
            <w:tcW w:w="8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17.99 </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1863.55 </w:t>
            </w:r>
          </w:p>
        </w:tc>
      </w:tr>
    </w:tbl>
    <w:p>
      <w:pPr>
        <w:widowControl w:val="0"/>
        <w:spacing w:line="100" w:lineRule="atLeast"/>
        <w:ind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3.1-12  设计水平年灌溉用水量计算表</w:t>
      </w:r>
    </w:p>
    <w:tbl>
      <w:tblPr>
        <w:tblStyle w:val="14"/>
        <w:tblW w:w="14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47"/>
        <w:gridCol w:w="1195"/>
        <w:gridCol w:w="1001"/>
        <w:gridCol w:w="841"/>
        <w:gridCol w:w="776"/>
        <w:gridCol w:w="848"/>
        <w:gridCol w:w="848"/>
        <w:gridCol w:w="848"/>
        <w:gridCol w:w="848"/>
        <w:gridCol w:w="848"/>
        <w:gridCol w:w="848"/>
        <w:gridCol w:w="848"/>
        <w:gridCol w:w="848"/>
        <w:gridCol w:w="848"/>
        <w:gridCol w:w="848"/>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项目分片区名称</w:t>
            </w:r>
          </w:p>
        </w:tc>
        <w:tc>
          <w:tcPr>
            <w:tcW w:w="11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播种作物</w:t>
            </w:r>
          </w:p>
        </w:tc>
        <w:tc>
          <w:tcPr>
            <w:tcW w:w="10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播种面积(万亩)</w:t>
            </w:r>
          </w:p>
        </w:tc>
        <w:tc>
          <w:tcPr>
            <w:tcW w:w="10989" w:type="dxa"/>
            <w:gridSpan w:val="1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用水量(万m3)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p>
        </w:tc>
        <w:tc>
          <w:tcPr>
            <w:tcW w:w="11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p>
        </w:tc>
        <w:tc>
          <w:tcPr>
            <w:tcW w:w="10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1月</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2月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3月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4月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5月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6月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7月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8月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9月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10月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11月</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18"/>
                <w:szCs w:val="22"/>
              </w:rPr>
            </w:pPr>
            <w:r>
              <w:rPr>
                <w:rFonts w:hint="eastAsia" w:ascii="黑体" w:hAnsi="黑体" w:eastAsia="黑体" w:cs="黑体"/>
                <w:color w:val="auto"/>
                <w:sz w:val="18"/>
                <w:szCs w:val="22"/>
              </w:rPr>
              <w:t>12月</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XX水库灌区片</w:t>
            </w: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早稻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0.48</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中稻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0.16</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70.87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135.86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127.93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65.34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晚稻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0.40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111.5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134.3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131.3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油菜</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0.32</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22.9</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2.89</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5.78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6.19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9.38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69.63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70.42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64.55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63.66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52.10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17.02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16.00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7.27</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384.9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灌溉水利用系数(η)</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3.80</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7.60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8.14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12.34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91.61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92.65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84.93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83.76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68.55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22.40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21.05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9.56</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XX水库灌区片</w:t>
            </w: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早稻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0.46</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中稻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0.15</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70.87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135.86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127.93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65.34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晚稻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0.39</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111.5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134.3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131.3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油菜</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0.31</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22.9</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2.81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5.63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6.03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67.84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68.61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62.89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62.02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16.59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15.59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7.08</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灌溉水利用系数(η)</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3.70</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7.41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7.94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12.03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89.26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90.27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82.75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81.61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66.79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21.82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20.51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9.32</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493.4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XX水库灌区片</w:t>
            </w: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早稻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0.36</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102.6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244.9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中稻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0.12</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70.87</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135.86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127.93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65.34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晚稻</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0.30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111.5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134.3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131.3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油菜</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0.24</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9.1</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18.2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19.5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50.4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22.9</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2.16</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4.32</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4.63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7.01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52.06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52.65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48.26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47.60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38.96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12.73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11.96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5.44</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灌溉水利用系数(η)</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0.76</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2.84</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5.68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6.09</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9.23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68.50</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69.28</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63.51</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62.63</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51.26</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16.75</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15.74</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7.15</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378.7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净需水量合计</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7.86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15.73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16.85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25.53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189.52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191.68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175.70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173.29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141.82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46.34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43.55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19.79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1047.65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0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毛需水量合计</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10.35 </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20.69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22.17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33.60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249.37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252.21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231.19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228.01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186.60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60.97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57.30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26.04 </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18"/>
                <w:szCs w:val="22"/>
              </w:rPr>
            </w:pPr>
            <w:r>
              <w:rPr>
                <w:rFonts w:hint="eastAsia" w:ascii="仿宋_GB2312" w:hAnsi="仿宋_GB2312" w:eastAsia="仿宋_GB2312" w:cs="仿宋_GB2312"/>
                <w:color w:val="auto"/>
                <w:sz w:val="18"/>
                <w:szCs w:val="22"/>
              </w:rPr>
              <w:t xml:space="preserve">1378.49 </w:t>
            </w:r>
          </w:p>
        </w:tc>
      </w:tr>
    </w:tbl>
    <w:p>
      <w:pPr>
        <w:keepNext w:val="0"/>
        <w:keepLines w:val="0"/>
        <w:pageBreakBefore w:val="0"/>
        <w:widowControl w:val="0"/>
        <w:kinsoku/>
        <w:wordWrap/>
        <w:overflowPunct/>
        <w:topLinePunct w:val="0"/>
        <w:autoSpaceDE/>
        <w:autoSpaceDN/>
        <w:bidi w:val="0"/>
        <w:adjustRightInd/>
        <w:snapToGrid w:val="0"/>
        <w:spacing w:line="20" w:lineRule="exact"/>
        <w:ind w:firstLine="0" w:firstLineChars="0"/>
        <w:textAlignment w:val="auto"/>
        <w:rPr>
          <w:rFonts w:ascii="Times New Roman" w:hAnsi="Times New Roman" w:eastAsia="宋体" w:cs="Times New Roman"/>
          <w:color w:val="auto"/>
          <w:sz w:val="21"/>
          <w:szCs w:val="22"/>
        </w:rPr>
      </w:pPr>
    </w:p>
    <w:p>
      <w:pPr>
        <w:keepNext w:val="0"/>
        <w:keepLines w:val="0"/>
        <w:pageBreakBefore w:val="0"/>
        <w:widowControl w:val="0"/>
        <w:kinsoku/>
        <w:wordWrap/>
        <w:overflowPunct/>
        <w:topLinePunct w:val="0"/>
        <w:autoSpaceDE/>
        <w:autoSpaceDN/>
        <w:bidi w:val="0"/>
        <w:adjustRightInd/>
        <w:snapToGrid w:val="0"/>
        <w:spacing w:line="20" w:lineRule="exact"/>
        <w:textAlignment w:val="auto"/>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水量平衡计算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（1）水量平衡计算原则和计算方法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充分利用现有小型水利设施的基础上，进行项目实施前后的供需水量平衡计算。本次平衡计算原则是：先河坝，再山平塘，小型水库5月才开始放水。项目实施前后河坝水利用系数取0.65，灌区水利用系数取0.55。项目实施后灌区水利用系数取0.76。</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（2）项目实施前供需平衡分析</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项目实施前现状年（2019年）作物种植结构、综合用水定额进行逐月水量平衡计算。各片区水量平衡过程及成果分别见表3.1-13</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表3.1-15。</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表3.1-13  XX水库灌区片现状水平年水资源供需平衡计算     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73"/>
        <w:gridCol w:w="738"/>
        <w:gridCol w:w="984"/>
        <w:gridCol w:w="987"/>
        <w:gridCol w:w="801"/>
        <w:gridCol w:w="739"/>
        <w:gridCol w:w="801"/>
        <w:gridCol w:w="808"/>
        <w:gridCol w:w="808"/>
        <w:gridCol w:w="819"/>
        <w:gridCol w:w="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73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需水量</w:t>
            </w:r>
          </w:p>
        </w:tc>
        <w:tc>
          <w:tcPr>
            <w:tcW w:w="19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河坝供水量</w:t>
            </w:r>
          </w:p>
        </w:tc>
        <w:tc>
          <w:tcPr>
            <w:tcW w:w="8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第一次平衡缺水</w:t>
            </w:r>
          </w:p>
        </w:tc>
        <w:tc>
          <w:tcPr>
            <w:tcW w:w="7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山平塘供水量</w:t>
            </w:r>
          </w:p>
        </w:tc>
        <w:tc>
          <w:tcPr>
            <w:tcW w:w="8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第二次平衡缺水</w:t>
            </w:r>
          </w:p>
        </w:tc>
        <w:tc>
          <w:tcPr>
            <w:tcW w:w="243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水库供水量</w:t>
            </w:r>
          </w:p>
        </w:tc>
        <w:tc>
          <w:tcPr>
            <w:tcW w:w="81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第三次平衡缺水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3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可供水量</w:t>
            </w:r>
          </w:p>
        </w:tc>
        <w:tc>
          <w:tcPr>
            <w:tcW w:w="8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实供水量</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库容变化</w:t>
            </w:r>
          </w:p>
        </w:tc>
        <w:tc>
          <w:tcPr>
            <w:tcW w:w="8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14.54</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2.96</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1.93</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-12.62</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12.62</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6.61</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2.95</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1.92</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-4.69</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4.69</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2.24</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2.63</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0.46</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0.27</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2.51</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5.25</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2.98</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1.94</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-3.32</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3.32</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3.64</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5.63</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78.43</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5.63</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29.73</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33.37</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14.21</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26.22</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14.21</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9.94</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43.31</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129.35</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29.18</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18.97</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-110.38</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100.38</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11.06</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44.38</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152.43</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41.18</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26.76</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-125.67</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115.67</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15.61</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49.98</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138.19</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11.68</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7.59</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-130.60</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115.60</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-15.00</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4.43</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29.41</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115.22</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0.33</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0.22</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-115.01</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-115.01</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29.00</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0.54</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75.78</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2.78</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1.81</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-73.98</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-73.98</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1.59</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24.76</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0.45</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0.30</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-24.46</w:t>
            </w: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-24.46</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0.17</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0.17</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7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684.6</w:t>
            </w:r>
          </w:p>
        </w:tc>
        <w:tc>
          <w:tcPr>
            <w:tcW w:w="9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199.9</w:t>
            </w:r>
          </w:p>
        </w:tc>
        <w:tc>
          <w:tcPr>
            <w:tcW w:w="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81.7</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354.4</w:t>
            </w: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75.8</w:t>
            </w: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75.76</w:t>
            </w:r>
          </w:p>
        </w:tc>
        <w:tc>
          <w:tcPr>
            <w:tcW w:w="8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-182.69</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表3.1-14  XX水库灌区片现状水平年水资源供需平衡计算表   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8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95"/>
        <w:gridCol w:w="827"/>
        <w:gridCol w:w="909"/>
        <w:gridCol w:w="911"/>
        <w:gridCol w:w="898"/>
        <w:gridCol w:w="827"/>
        <w:gridCol w:w="898"/>
        <w:gridCol w:w="733"/>
        <w:gridCol w:w="733"/>
        <w:gridCol w:w="740"/>
        <w:gridCol w:w="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4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8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需水量</w:t>
            </w:r>
          </w:p>
        </w:tc>
        <w:tc>
          <w:tcPr>
            <w:tcW w:w="182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河坝供水量</w:t>
            </w: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第一次平衡缺水</w:t>
            </w:r>
          </w:p>
        </w:tc>
        <w:tc>
          <w:tcPr>
            <w:tcW w:w="8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山平塘供水量</w:t>
            </w: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第二次平衡缺水</w:t>
            </w:r>
          </w:p>
        </w:tc>
        <w:tc>
          <w:tcPr>
            <w:tcW w:w="220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水库供水量</w:t>
            </w:r>
          </w:p>
        </w:tc>
        <w:tc>
          <w:tcPr>
            <w:tcW w:w="8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第三次平衡缺水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4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供水量</w:t>
            </w: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实供水量</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库容变化</w:t>
            </w:r>
          </w:p>
        </w:tc>
        <w:tc>
          <w:tcPr>
            <w:tcW w:w="8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14.17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2.21</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1.43</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-12.74</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12.74</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6.44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2.19</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1.43</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-5.01</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1.47</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2.96</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0.53</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0.34</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-2.21</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0.36</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3.31</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2.22</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1.44</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-3.68</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1.49</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4.80</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5.48</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58.37</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39.22</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44.02</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13.85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19.51</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12.68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-1.16</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13.11</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57.13</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126.03</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21.72</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14.12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-111.91</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101.91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14.59</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61.72</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148.52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30.64</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-128.60</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118.60</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20.59</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72.31</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134.64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8.69</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-128.99</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83.99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-45.00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5.84</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45.00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33.15</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112.26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-112.10</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-112.10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0.17</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3.32</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73.83</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2.07</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1.34</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-72.49</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-72.49</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1.39</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24.12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0.34</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-23.90</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-23.90</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0.23</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0.34</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0.60</w:t>
            </w: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667.0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148.7</w:t>
            </w:r>
          </w:p>
        </w:tc>
        <w:tc>
          <w:tcPr>
            <w:tcW w:w="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64.2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329.3</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99.9</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99.34</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-174.15</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表3.1-15  XX水库灌区片现状水平年水资源供需平衡计算    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8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75"/>
        <w:gridCol w:w="826"/>
        <w:gridCol w:w="888"/>
        <w:gridCol w:w="895"/>
        <w:gridCol w:w="898"/>
        <w:gridCol w:w="717"/>
        <w:gridCol w:w="898"/>
        <w:gridCol w:w="826"/>
        <w:gridCol w:w="826"/>
        <w:gridCol w:w="831"/>
        <w:gridCol w:w="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82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需水量</w:t>
            </w:r>
          </w:p>
        </w:tc>
        <w:tc>
          <w:tcPr>
            <w:tcW w:w="178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河坝供水量</w:t>
            </w: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第一次平衡缺水</w:t>
            </w:r>
          </w:p>
        </w:tc>
        <w:tc>
          <w:tcPr>
            <w:tcW w:w="7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山平塘供水量</w:t>
            </w: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第二次平衡缺水</w:t>
            </w:r>
          </w:p>
        </w:tc>
        <w:tc>
          <w:tcPr>
            <w:tcW w:w="248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水库供水量</w:t>
            </w:r>
          </w:p>
        </w:tc>
        <w:tc>
          <w:tcPr>
            <w:tcW w:w="79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第三次平衡缺水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2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供水量</w:t>
            </w: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实供水量</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库容变化</w:t>
            </w:r>
          </w:p>
        </w:tc>
        <w:tc>
          <w:tcPr>
            <w:tcW w:w="7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10.88</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-10.38</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10.38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5.06</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5.06</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4.94</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0.75</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-4.45</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5.03</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10.09</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1.96</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-1.85</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1.21</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11.30</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3.93</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-3.43</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3.43</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5.08</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16.38</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4.21</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20.06</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4.21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133.81</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150.20</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10.63</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6.71</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4.36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-6.27</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44.74</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194.93</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96.72</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7.47</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-91.87</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66.87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-25.00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49.79</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219.72</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113.98</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10.53</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-107.13</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-107.13</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70.25</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107.13</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182.84</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103.33</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2.99</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1.94</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-101.39</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-101.39</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19.93</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101.39</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101.38</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86.16</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-86.10</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-86.10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0.57</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86.10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15.85</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56.66</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-56.20</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-56.20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4.74</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20.00</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0.59</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18.51</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-18.44</w:t>
            </w: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-18.44</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0.78</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1.37</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511.9</w:t>
            </w:r>
          </w:p>
        </w:tc>
        <w:tc>
          <w:tcPr>
            <w:tcW w:w="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51.1</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24.4</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93.2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341.0</w:t>
            </w:r>
          </w:p>
        </w:tc>
        <w:tc>
          <w:tcPr>
            <w:tcW w:w="82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340.99</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-53.27</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（3）项目实施后供需平衡分析</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项目实施后按设计水平年（2025年）作物种植结构、综合用水定额及项目改造后增加蓄水量进行逐月水量平衡计算。各片区水量平衡过程及成果分别见表3.1-16</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表3.1-18。</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表3.1-16  XX水库灌区片设计水平年水资源供需平衡计算    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34"/>
        <w:gridCol w:w="719"/>
        <w:gridCol w:w="834"/>
        <w:gridCol w:w="836"/>
        <w:gridCol w:w="834"/>
        <w:gridCol w:w="834"/>
        <w:gridCol w:w="834"/>
        <w:gridCol w:w="834"/>
        <w:gridCol w:w="834"/>
        <w:gridCol w:w="841"/>
        <w:gridCol w:w="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6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71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需水量</w:t>
            </w:r>
          </w:p>
        </w:tc>
        <w:tc>
          <w:tcPr>
            <w:tcW w:w="167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河坝供水量</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第一次平衡缺水</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山平塘供水量</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第二次平衡缺水</w:t>
            </w:r>
          </w:p>
        </w:tc>
        <w:tc>
          <w:tcPr>
            <w:tcW w:w="250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水库供水量</w:t>
            </w:r>
          </w:p>
        </w:tc>
        <w:tc>
          <w:tcPr>
            <w:tcW w:w="8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第三次平衡缺水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6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供水量</w:t>
            </w: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实供水量</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库容变化</w:t>
            </w:r>
          </w:p>
        </w:tc>
        <w:tc>
          <w:tcPr>
            <w:tcW w:w="8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21.05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2.96</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-19.12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19.12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9.56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2.95</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2.24</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2.51</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3.64</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78.43</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29.73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33.37</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26.22</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9.94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43.31</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91.61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29.18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18.97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-72.64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72.64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54.38</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92.65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41.18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26.76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-65.89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55.89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15.61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59.98</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84.93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11.68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67.34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54.41</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83.76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0.33</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-83.55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73.55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44.54</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68.55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-66.75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56.75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35.59</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22.40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0.45</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-22.10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12.10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25.77</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506.4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199.9</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82.4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374.0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表3.1-17 XX水库灌区片设计水平年水资源供需平衡计算    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34"/>
        <w:gridCol w:w="719"/>
        <w:gridCol w:w="834"/>
        <w:gridCol w:w="836"/>
        <w:gridCol w:w="834"/>
        <w:gridCol w:w="834"/>
        <w:gridCol w:w="834"/>
        <w:gridCol w:w="834"/>
        <w:gridCol w:w="834"/>
        <w:gridCol w:w="841"/>
        <w:gridCol w:w="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71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需水量</w:t>
            </w:r>
          </w:p>
        </w:tc>
        <w:tc>
          <w:tcPr>
            <w:tcW w:w="167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河坝供水量</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第一次平衡缺水</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山平塘供水量</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第二次平衡缺水</w:t>
            </w:r>
          </w:p>
        </w:tc>
        <w:tc>
          <w:tcPr>
            <w:tcW w:w="250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水库供水量</w:t>
            </w:r>
          </w:p>
        </w:tc>
        <w:tc>
          <w:tcPr>
            <w:tcW w:w="8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第三次平衡缺水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供水量</w:t>
            </w: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实供水量</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库容变化</w:t>
            </w:r>
          </w:p>
        </w:tc>
        <w:tc>
          <w:tcPr>
            <w:tcW w:w="8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20.51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-19.08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19.08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9.32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2.19</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2.96</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0.53</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3.31</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2.22</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-5.97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5.97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4.80</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58.37</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39.22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44.02</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12.03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19.51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12.03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13.11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57.13</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89.26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21.72</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14.12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-75.14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75.14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71.72</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90.27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30.64</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-70.36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60.36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20.59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82.31</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82.75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8.69</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-77.10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67.10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78.15</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81.61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-81.45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71.45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68.32</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66.79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2.07</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-65.45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35.45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39.71</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21.82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0.34</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18.33</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493.4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148.7</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345.8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99.9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81.60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表3.1-18 XX水库灌区片设计水平年水资源供需平衡计算    万m</w:t>
      </w:r>
      <w:r>
        <w:rPr>
          <w:rFonts w:hint="eastAsia" w:ascii="黑体" w:hAnsi="黑体" w:eastAsia="黑体" w:cs="黑体"/>
          <w:b w:val="0"/>
          <w:bCs/>
          <w:color w:val="auto"/>
          <w:kern w:val="32"/>
          <w:sz w:val="28"/>
          <w:szCs w:val="28"/>
          <w:vertAlign w:val="superscript"/>
          <w:lang w:val="en-US" w:eastAsia="zh-CN" w:bidi="ar-SA"/>
        </w:rPr>
        <w:t>3</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34"/>
        <w:gridCol w:w="719"/>
        <w:gridCol w:w="834"/>
        <w:gridCol w:w="836"/>
        <w:gridCol w:w="834"/>
        <w:gridCol w:w="834"/>
        <w:gridCol w:w="834"/>
        <w:gridCol w:w="834"/>
        <w:gridCol w:w="834"/>
        <w:gridCol w:w="841"/>
        <w:gridCol w:w="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6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月份</w:t>
            </w:r>
          </w:p>
        </w:tc>
        <w:tc>
          <w:tcPr>
            <w:tcW w:w="71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需水量</w:t>
            </w:r>
          </w:p>
        </w:tc>
        <w:tc>
          <w:tcPr>
            <w:tcW w:w="167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河坝供水量</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第一次平衡缺水</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山平塘供水量</w:t>
            </w:r>
          </w:p>
        </w:tc>
        <w:tc>
          <w:tcPr>
            <w:tcW w:w="8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第二次平衡缺水</w:t>
            </w:r>
          </w:p>
        </w:tc>
        <w:tc>
          <w:tcPr>
            <w:tcW w:w="250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水库供水量</w:t>
            </w:r>
          </w:p>
        </w:tc>
        <w:tc>
          <w:tcPr>
            <w:tcW w:w="8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第三次平衡缺水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6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供水量</w:t>
            </w: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产水量</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实供水量</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库容变化</w:t>
            </w:r>
          </w:p>
        </w:tc>
        <w:tc>
          <w:tcPr>
            <w:tcW w:w="8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15.74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15.25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5.06</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0.75</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10.09</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2.72</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11.30</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16.38</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20.06</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133.81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150.20</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9.23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6.71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4.36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44.74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194.93</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68.50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7.47</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-63.65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33.65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49.79</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214.72</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69.28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10.53</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-62.43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27.43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-35.00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70.25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35.00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249.97</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63.51</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2.99</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-61.56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-61.56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61.56</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208.34</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62.63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-62.58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-62.58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62.58</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146.33</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51.26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0.46</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-50.80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-50.80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4.74</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50.80</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100.28</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16.75</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-16.67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-16.67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16.67</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84.38</w:t>
            </w: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7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378.7</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26.3</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95.8</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341.0</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256.61</w:t>
            </w:r>
          </w:p>
        </w:tc>
        <w:tc>
          <w:tcPr>
            <w:tcW w:w="8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项目区水量平衡评估结论</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以上水量平衡分析可以看出，项目实施前后的3、4月份是丰水季，实施前的8、9、10月份缺水，由于缺水单季稻种植面积较大，不能达到90%的灌溉保证率；项目实施后由于基础水利设施的完善，蓄水保水能力和灌溉水利用系数的提高，双季水稻种植面积扩大，项目区达到90%灌溉保证率的情况下仍有余水，可作为生态基流改善农村环境。项目实施前后各项指标对比见表3.1-19。</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表3.1-19 项目实施前后各项指标对比表</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00"/>
        <w:gridCol w:w="993"/>
        <w:gridCol w:w="1666"/>
        <w:gridCol w:w="1325"/>
        <w:gridCol w:w="884"/>
        <w:gridCol w:w="1165"/>
        <w:gridCol w:w="898"/>
        <w:gridCol w:w="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9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内容</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双季水稻种植面积（万亩）</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油菜种植面积（万亩）</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复种指数</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灌溉水利用系数</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缺水(万m3）</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余水(万m3）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实施前</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0.71</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0.16</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-182.69</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0.87</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0.32</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1.70</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实施前</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0.69588</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0.15</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-174.15</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0.85052</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0.31</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1.70</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XX水库灌区片</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实施前</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0.53406</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0.12</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-53.27</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0.65274</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0.24</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1.70</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84.38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实施前</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1.94</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0.43</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-410.11</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6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2.38</w:t>
            </w:r>
          </w:p>
        </w:tc>
        <w:tc>
          <w:tcPr>
            <w:tcW w:w="13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0.86</w:t>
            </w:r>
          </w:p>
        </w:tc>
        <w:tc>
          <w:tcPr>
            <w:tcW w:w="88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128.48</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49" w:name="_Toc14854195"/>
      <w:bookmarkStart w:id="50" w:name="_Toc45723018"/>
      <w:r>
        <w:rPr>
          <w:rFonts w:hint="eastAsia" w:ascii="黑体" w:hAnsi="黑体" w:eastAsia="黑体" w:cs="黑体"/>
          <w:b w:val="0"/>
          <w:bCs w:val="0"/>
          <w:color w:val="auto"/>
          <w:kern w:val="2"/>
          <w:sz w:val="28"/>
          <w:szCs w:val="28"/>
          <w:lang w:val="en-US" w:eastAsia="zh-CN" w:bidi="ar-SA"/>
        </w:rPr>
        <w:t>灌溉水质分析</w:t>
      </w:r>
      <w:bookmarkEnd w:id="49"/>
      <w:bookmarkEnd w:id="50"/>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sectPr>
          <w:headerReference r:id="rId15" w:type="first"/>
          <w:footerReference r:id="rId17" w:type="first"/>
          <w:headerReference r:id="rId13" w:type="default"/>
          <w:headerReference r:id="rId14" w:type="even"/>
          <w:footerReference r:id="rId16" w:type="even"/>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sz w:val="28"/>
          <w:szCs w:val="28"/>
        </w:rPr>
        <w:t>项目区水源主要为小型水库、塘坝，此外水库以下到灌区之间有部分地下径流和回归水。地表水矿化度小于1g/L，水质符合Ⅲ类及以上标准，满足灌溉需要。同时随着禁毒、禁肥工作的开展，水质可得到进一步提高。</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right="0"/>
        <w:jc w:val="center"/>
        <w:textAlignment w:val="auto"/>
        <w:rPr>
          <w:rFonts w:hint="eastAsia" w:ascii="方正小标宋简体" w:hAnsi="方正小标宋简体" w:eastAsia="方正小标宋简体" w:cs="方正小标宋简体"/>
          <w:b w:val="0"/>
          <w:bCs w:val="0"/>
          <w:color w:val="auto"/>
          <w:sz w:val="36"/>
          <w:szCs w:val="36"/>
        </w:rPr>
      </w:pPr>
      <w:bookmarkStart w:id="51" w:name="_Toc45723019"/>
      <w:bookmarkStart w:id="52" w:name="_Toc14854196"/>
      <w:r>
        <w:rPr>
          <w:rFonts w:hint="eastAsia" w:ascii="方正小标宋简体" w:hAnsi="方正小标宋简体" w:eastAsia="方正小标宋简体" w:cs="方正小标宋简体"/>
          <w:b w:val="0"/>
          <w:bCs w:val="0"/>
          <w:color w:val="auto"/>
          <w:sz w:val="36"/>
          <w:szCs w:val="36"/>
        </w:rPr>
        <w:t>工程任务与规模</w:t>
      </w:r>
      <w:bookmarkEnd w:id="51"/>
      <w:bookmarkEnd w:id="52"/>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2" w:firstLineChars="200"/>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53" w:name="_Toc14854197"/>
      <w:bookmarkStart w:id="54" w:name="_Toc45723020"/>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项目区存在问题与建设必要性</w:t>
      </w:r>
      <w:bookmarkEnd w:id="53"/>
      <w:bookmarkEnd w:id="54"/>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项目区存在问题</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（1）水源工程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堰塘是项目区内的主要灌溉水源，共有大小堰塘共计600多口，前期填筑未经压实或清基深度不够，基本上都存在塘堤渗漏、内坡垮塌现象，另有部分堰塘淤积较深，不能正常的蓄水保水，影响灌溉保证率的提高。</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（2）灌溉排水工程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大部分渠道未进行防渗衬砌，渠道淤积、岸坡塴跨、被杂草覆盖的渠段随处可见；已修建的部分由于建设年代久远，建设标准低，工程质量差，大部分已经损毁。以上原因导致灌溉渠系水利用系数低，排水渠排水不畅。</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（3）田块及土壤</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项目区田块相对较集中，但存在田块杂乱、田块面积不大、田块高低不平，成为有意向进行土地流转，调整产业结构的项目村组的制约因素。</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根据XX县土肥站提供的耕地地力调查结果和现场勘查，一半以上的耕地地力等级偏低是造成项目区粮食产量不高的主要因素。</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（4）田间道路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现场勘查，项目区田块的耕作生产机耕路现状为土路面或部分铺砂不达标的路面，大部分路段坑洼不平，雨季泥泞不堪。部分田块没有机耕路，农村劳动力充足的时候影响不明显，对于当前机械化作业生产程度高，劳动力老龄化的农村来说其矛盾就凸显出来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（5）农田防护和生态环境保护</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些年美丽乡村建设，人居环境整治取得了较好的成效，乡间沟渠、道路上的生活垃圾明显减少。但这些都是在政策号召下被动的结果，村民还缺乏主动的农田防护和生态环境保护的意识，需要通过人居环境整治的小项目带动和影响村民自觉的对自身环境进行改造。</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（6）科技推广</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县农业各相关部门通过近十年来农业科技措施的推广，目前项目区农业新技术、新品种、新成果得到农户的认可，科技贡献成果显著。但因项目资金限制，未能够大面积的推广，本项目科技措施因地制宜，考虑推广频振式太阳能杀虫灯。</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项目建设必要性</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（1）促进经济社会快速发展和可待续发展的需要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土地平整对土地利用状况重新进行布局安排、结构调整，既开发利用又治理保护，从而提高土地利用率和土地质量，增加耕地，改善生产和生活条件及生态环境，是对土地资源的合理配置和可持续利用，是促进经济社会快速发展和可持续发展的需要。同时，平整区村民已经多次开会协商，项目完成后即进行土地流转，交由技术力量强的农业合作组织耕种，提高土地产出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（2）提高现有农业综合生产能力的需要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通过对现有项目土地土壤改良，改善现有耕地质量，增大现有耕地土壤肥力，提高农作物产出率，增加农民收入，提高现有农业综合生产能力的需要。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（3）水资源高效利用和经济社会可持续发展的需要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加强农田水利基本建设，对堰塘等水源工程进行改造，增加其他蓄水保水能力，提高项目区灌溉保证率。同时，对灌溉渠道进行衬砌，提高渠系水利用系数，节约利用水资源，对排水沟渠进行清淤护岸，保持河道畅通，提高防洪标准，减少农田被淹的机率。因此，加强农田水利基础设施建设是缓解项目区水资源供需矛盾和减少洪滂灾害的需要，有利于社会的稳定和谐发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（4）调整产业结构、增强产品竞争力、增加农民收入的需要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项目区实施以节水为中心的田间工程改造，因地制宜地推行节水灌溉技术，实现传统的粮油种植向新型经济作物栽培技术转变，是调整产业结构、增强农民竞争力，增加农民收入的需要；增加农民收入最有效和直接的办法是调整产业结构，要调整产业结构就必须加强农田水利建设。</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（5）发展现代化农业的需要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项目区实施机耕路建设，使农机等现代化工具的应用成为可能，才能进一步调整传统的农作物种植结构和种植模式，促进农业增产，农民增收和农村可持续发展，更有利于实现土地的连片经营，保证发展项目区现代化农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（6）紧密结合人居环境整治和生态环境友好发展的需要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对项目区部分区域进行防护林设置有利于推进人居环境整治和配套，进一步完善生态环境。</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（7）加快社会主义新农村建设的需要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农业科技推广是农业科学技术转化为农业现实生产力的桥梁和纽带， 是加快社会主义新农村建设、促进农村生产力发展的最有效措施。</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综上所述，对项目区实施土地平整、土壤改良、灌溉与排水工程、高效节水工程、田间道路工程、农田环境与生态环境保持、科技推广措施建设，意义巨大，势在必行。</w:t>
      </w:r>
      <w:bookmarkStart w:id="55" w:name="_Toc14854198"/>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56" w:name="_Toc45723021"/>
      <w:r>
        <w:rPr>
          <w:rFonts w:hint="eastAsia" w:ascii="黑体" w:hAnsi="黑体" w:eastAsia="黑体" w:cs="黑体"/>
          <w:b w:val="0"/>
          <w:bCs w:val="0"/>
          <w:color w:val="auto"/>
          <w:kern w:val="2"/>
          <w:sz w:val="28"/>
          <w:szCs w:val="28"/>
          <w:lang w:val="en-US" w:eastAsia="zh-CN" w:bidi="ar-SA"/>
        </w:rPr>
        <w:t>建设任务</w:t>
      </w:r>
      <w:bookmarkEnd w:id="55"/>
      <w:bookmarkEnd w:id="56"/>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指导思想</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深入贯彻落实十九大以来系列精神，按照202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中央一号文件指示精神，统筹规划，强化政策扶持，加大资金投入，大力改善农田基础设施，提升耕地地力，增强农田产出能力；规范建设标准，加快高标准农田建设，提高农田基础设施水平；构建高效农技推广体系，加速科技成果转化，促进粮食产业科学化、现代化发展；整治环境，加强农田污染治理，合理利用资源，确保粮食生产持续发展；明确管护责任，落实管护主体，建立健全高标准农田建设管理长效机制。坚持不懈推进高标准农田建设，为确保粮食安全、生态安全和提高农业综合生产能力奠定坚实基础</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设计原则</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right="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法律依据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（1）《中华人民共和国土地管理法》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（2）《中华人民共和国水法》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（3）《中华人民共和国水土保持法》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（4）《中华人民共和国森林法》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（5）《中华人民共和国农业法》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（6）《中华人民共和国生态环境保护法》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（7）《中华人民共和国基本农田保护条例》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（8）《中华人民共和国土地管理法实施条例》</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right="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政策依据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年中央一号文件《中共中央国务院关于抓好“三农”领域重点工作确保如期实现全面小康的意见》；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）中华人民共和国农业农村部令2019年第4号《农田建设项目管理办法》；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）《农业农村部关于下达202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年农田建设任务的通知》（农建发[20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号）；</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right="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规划依据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）《“十三五”新增1亿亩高效节水灌溉面积实施方案》（水农[2017]8号）。</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建设原则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（1）坚持统筹规划、突出重点的原则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坚持规划先行，按《高标准农田建设规划（2011-</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年）》确定发展的重点区域、重点项目，明确资金的重点投向，优先安排“两区”（水稻生产功能区和油菜籽、棉花生产保护区）和永久基本农田保护区、国家种子基地、贫困地区的高标准农田建设。</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（2）坚持避免重复建设、填平补齐的原则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对于连片实施范围内已进行过高标准农田建设，但仍有部分田块没有建设的，在充分利用原有建设成果的基础上，对此类尚未建设的田块按“填平补齐，避免重复建设”原则纳入本项目，直接建成高标准农田。</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（3）坚持科学布局、典型示范的原则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平原区域特点，因地制宜采取不同的开发模式，推动高标准农田建设项目协调发展。优先改造水土资源条件好、开发潜力大、配套能力强、农民积极性高的地区，打造一批精品工程，实现典型引路，积极稳妥地推进高标准农田建设项目工作。</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（4）坚持集中连片、规模开发的原则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坚持按灌区、流域和区域整体规划，采取“集中力量，重点投入，连片开发”的治理方式，加大规模开发力度，确保治理区域相对集中，力争治理一片，成效一片，致富一方。</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（5）坚持综合投入、合力开发的原则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充分发挥高标准农田建设项目资金的引导作用，统筹相关支农资金，积极引导信贷资金、民间资本等各种社会资金投入，形成强大的资金合力。</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（6）坚持政府主导、农民主体的原则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充分发挥政府在组织实施高标准农田建设项目中的主导作用，带动农民群众自觉参与，充分发挥农民群众的积极性和创造性，使农民群众成为高标准农田建设项目的“建设主体、受益主体、管护主体”。</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（7）坚持统筹协调、务求实效的原则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高标准农田建设项目是一项系统工程，必须充分调动相关部门的积极性，集聚多方力量，形成建设合力。合理确定发展的目标和任务，讲求实效，量力而行，力戒形式主义，严禁形象工程。</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建设目标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高标准农田建设总体规划要求，统筹规划田、土、水、路、林、电等高标准农田的相关建设内容，以行政村为基本单元，集中连片、规模开发，整体推进，建成“旱涝保收、高产稳产、生态友好”的高标准农田2.16万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土地平整。合理确定的耕地和基本农田布局，充分考虑水资源承载能力和生态容量等因素，优化项目区农田结构布局。合理划分和适度归并田块，平整土地，减小农田地表坡降。根据地形地貌、作物种类、机械作业效率、灌排效率和防止风害等因素，合理确定田块的长度和宽度。深翻深松土地，通过客土充填、剥离回填肥沃的表土层，改善农田耕作层。建成后，实现田块相对集中，农田有效土层厚度达到50cm以上，耕作层厚度达到20cm以上，田间基础设施占地率下降到8%以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（2）土壤改良。通过施用生石灰、深翻深松、改善灌排条件等措施改良土壤理化性状；施用农家肥、秸杆还田、种植绿肥、种植肥田油菜等措施，提升土壤有机质含量。耕地质量提高0.5个等级。</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灌溉与排水标准。灌溉设计保证率达90%；渠灌区斗渠以下渠系水利用系数达到0.80，水稻灌区田间水利用系数不小于0.95；渠灌区灌溉水利用系数达到0.76；排涝标准按水稻区10年一遇的3d暴雨，3d排至作物的耐淹深度；旱地设计排涝标准为10年一遇的1d暴雨，1d排至田面无积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渠系建筑物配套完整，满足灌溉与排水系统要求。项目区有效灌溉面积增加，灌溉保证率、用水效率、排水能力提高，渍、涝、洪、旱灾减轻。</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（4）高效节水灌溉。设计管道水利用系数不低于0.90，灌溉水利用系数达到0.86。</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（5）田间道路畅通。路网布局科学，路面宽度合理，丘岗冲垄区田间道路通达度达到90%，满足农业机械化需求。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（6）林网建设适宜：防御风蚀能力提高，水土流失减少，农田生态环境改善。具体目标：造林当年成活率达到95%以上，三年后保存率要达到90%以上，农村人居环境得到较大改善。</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科技推广措施。在项目区推广先进适用技术，重点是良种、良法等先进适用生产技术；加强对项目区受益农民先进适用技术培训；适当支持具有技术推广服务功能的农民专业合作经济组织。在项目区推广使用频振式太阳能杀虫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（8）粮食综合生产能力提高30kg/亩以上。</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（9）灌溉水源质量保证年限不低于20年，田间基础设施不低于15年，输水管道及其配套设施工程质量保证年限不少于15年。</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建设任务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规划完成高标准农田建设面积2.16万亩（其中1000亩高效节水）。共分为三个项目区：XX镇项目区、XX镇项目区和XX镇项目区，其中XX镇项目区涉及XX、毛家岗、黄林堰3个行政村，拟建设高标准农田面积11529亩；XX镇项目区涉及清泉1个行政村，拟建设高标准农田面积4139亩；XX镇项目区涉及金坪1个行政村，拟建设高标准农田面积5934亩，其中高效节水灌溉面积1000亩。项目区建设任务统计见表4.2-1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en-US" w:bidi="ar-SA"/>
        </w:rPr>
      </w:pPr>
      <w:r>
        <w:rPr>
          <w:rFonts w:hint="eastAsia" w:ascii="黑体" w:hAnsi="黑体" w:eastAsia="黑体" w:cs="黑体"/>
          <w:b w:val="0"/>
          <w:bCs/>
          <w:color w:val="auto"/>
          <w:kern w:val="32"/>
          <w:sz w:val="28"/>
          <w:szCs w:val="28"/>
          <w:lang w:val="en-US" w:eastAsia="en-US" w:bidi="ar-SA"/>
        </w:rPr>
        <w:t>表4.2</w:t>
      </w:r>
      <w:r>
        <w:rPr>
          <w:rFonts w:hint="eastAsia" w:ascii="黑体" w:hAnsi="黑体" w:eastAsia="黑体" w:cs="黑体"/>
          <w:b w:val="0"/>
          <w:bCs/>
          <w:color w:val="auto"/>
          <w:kern w:val="32"/>
          <w:sz w:val="28"/>
          <w:szCs w:val="28"/>
          <w:lang w:val="en-US" w:eastAsia="zh-CN" w:bidi="ar-SA"/>
        </w:rPr>
        <w:t>-</w:t>
      </w:r>
      <w:r>
        <w:rPr>
          <w:rFonts w:hint="eastAsia" w:ascii="黑体" w:hAnsi="黑体" w:eastAsia="黑体" w:cs="黑体"/>
          <w:b w:val="0"/>
          <w:bCs/>
          <w:color w:val="auto"/>
          <w:kern w:val="32"/>
          <w:sz w:val="28"/>
          <w:szCs w:val="28"/>
          <w:lang w:val="en-US" w:eastAsia="en-US" w:bidi="ar-SA"/>
        </w:rPr>
        <w:t>1   建设任务统计表</w:t>
      </w:r>
    </w:p>
    <w:tbl>
      <w:tblPr>
        <w:tblStyle w:val="14"/>
        <w:tblW w:w="8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01"/>
        <w:gridCol w:w="1100"/>
        <w:gridCol w:w="2059"/>
        <w:gridCol w:w="2017"/>
        <w:gridCol w:w="2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11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乡镇</w:t>
            </w:r>
          </w:p>
        </w:tc>
        <w:tc>
          <w:tcPr>
            <w:tcW w:w="11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行政村</w:t>
            </w:r>
          </w:p>
        </w:tc>
        <w:tc>
          <w:tcPr>
            <w:tcW w:w="20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建设面积（亩）</w:t>
            </w:r>
          </w:p>
        </w:tc>
        <w:tc>
          <w:tcPr>
            <w:tcW w:w="407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11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土地平整面积（亩）</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高效节水面积（亩）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3392</w:t>
            </w:r>
          </w:p>
        </w:tc>
        <w:tc>
          <w:tcPr>
            <w:tcW w:w="20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毛家岗村</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4544</w:t>
            </w:r>
          </w:p>
        </w:tc>
        <w:tc>
          <w:tcPr>
            <w:tcW w:w="20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黄林堰村</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3593</w:t>
            </w:r>
          </w:p>
        </w:tc>
        <w:tc>
          <w:tcPr>
            <w:tcW w:w="20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清泉村</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4139</w:t>
            </w:r>
          </w:p>
        </w:tc>
        <w:tc>
          <w:tcPr>
            <w:tcW w:w="20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XX镇</w:t>
            </w:r>
          </w:p>
        </w:tc>
        <w:tc>
          <w:tcPr>
            <w:tcW w:w="11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金坪村</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5934</w:t>
            </w:r>
          </w:p>
        </w:tc>
        <w:tc>
          <w:tcPr>
            <w:tcW w:w="20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698</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2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合计</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21602</w:t>
            </w:r>
          </w:p>
        </w:tc>
        <w:tc>
          <w:tcPr>
            <w:tcW w:w="20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698</w:t>
            </w:r>
          </w:p>
        </w:tc>
        <w:tc>
          <w:tcPr>
            <w:tcW w:w="2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仿宋_GB2312" w:hAnsi="仿宋_GB2312" w:eastAsia="仿宋_GB2312" w:cs="仿宋_GB2312"/>
          <w:b w:val="0"/>
          <w:bCs w:val="0"/>
          <w:color w:val="auto"/>
          <w:kern w:val="2"/>
          <w:sz w:val="28"/>
          <w:szCs w:val="28"/>
          <w:lang w:val="en-US" w:eastAsia="zh-CN" w:bidi="ar-SA"/>
        </w:rPr>
      </w:pPr>
      <w:bookmarkStart w:id="57" w:name="_Toc45723022"/>
      <w:r>
        <w:rPr>
          <w:rFonts w:hint="eastAsia" w:ascii="仿宋_GB2312" w:hAnsi="仿宋_GB2312" w:eastAsia="仿宋_GB2312" w:cs="仿宋_GB2312"/>
          <w:b w:val="0"/>
          <w:bCs w:val="0"/>
          <w:color w:val="auto"/>
          <w:kern w:val="2"/>
          <w:sz w:val="28"/>
          <w:szCs w:val="28"/>
          <w:lang w:val="en-US" w:eastAsia="zh-CN" w:bidi="ar-SA"/>
        </w:rPr>
        <w:t>项目建设规模</w:t>
      </w:r>
      <w:bookmarkEnd w:id="57"/>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总体规模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XX市XX县XX镇等3个乡镇高标准农田建设项目（</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年度）计划完成高标准农田建设面积2.16万亩，其中高效节水面积0.10万亩。</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主要建设内容</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属于农田建设项目，主要建设内容包括：土地平整698亩；土壤改良1.96万亩；改造电灌站1座，整修堰塘66座（填平补齐14座）；田间渠（QT）7条1317m，灌渠（QG）20条11740m（其中4条骨干灌渠），灌排渠（QP）13条9755m；新修整修机耕路36条15130m；敷设PE63聚乙烯管1924m。详见表4.3-1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en-US" w:bidi="ar-SA"/>
        </w:rPr>
        <w:t>表4.3</w:t>
      </w:r>
      <w:r>
        <w:rPr>
          <w:rFonts w:hint="eastAsia" w:ascii="黑体" w:hAnsi="黑体" w:eastAsia="黑体" w:cs="黑体"/>
          <w:b w:val="0"/>
          <w:bCs/>
          <w:color w:val="auto"/>
          <w:kern w:val="32"/>
          <w:sz w:val="28"/>
          <w:szCs w:val="28"/>
          <w:lang w:val="en-US" w:eastAsia="zh-CN" w:bidi="ar-SA"/>
        </w:rPr>
        <w:t>-</w:t>
      </w:r>
      <w:r>
        <w:rPr>
          <w:rFonts w:hint="eastAsia" w:ascii="黑体" w:hAnsi="黑体" w:eastAsia="黑体" w:cs="黑体"/>
          <w:b w:val="0"/>
          <w:bCs/>
          <w:color w:val="auto"/>
          <w:kern w:val="32"/>
          <w:sz w:val="28"/>
          <w:szCs w:val="28"/>
          <w:lang w:val="en-US" w:eastAsia="en-US" w:bidi="ar-SA"/>
        </w:rPr>
        <w:t>1   主要建设内容表</w:t>
      </w:r>
    </w:p>
    <w:tbl>
      <w:tblPr>
        <w:tblStyle w:val="14"/>
        <w:tblW w:w="9056" w:type="dxa"/>
        <w:jc w:val="center"/>
        <w:tblLayout w:type="fixed"/>
        <w:tblCellMar>
          <w:top w:w="0" w:type="dxa"/>
          <w:left w:w="108" w:type="dxa"/>
          <w:bottom w:w="0" w:type="dxa"/>
          <w:right w:w="108" w:type="dxa"/>
        </w:tblCellMar>
      </w:tblPr>
      <w:tblGrid>
        <w:gridCol w:w="2023"/>
        <w:gridCol w:w="672"/>
        <w:gridCol w:w="1049"/>
        <w:gridCol w:w="1050"/>
        <w:gridCol w:w="1050"/>
        <w:gridCol w:w="1050"/>
        <w:gridCol w:w="1059"/>
        <w:gridCol w:w="1103"/>
      </w:tblGrid>
      <w:tr>
        <w:tblPrEx>
          <w:tblCellMar>
            <w:top w:w="0" w:type="dxa"/>
            <w:left w:w="108" w:type="dxa"/>
            <w:bottom w:w="0" w:type="dxa"/>
            <w:right w:w="108" w:type="dxa"/>
          </w:tblCellMar>
        </w:tblPrEx>
        <w:trPr>
          <w:tblHeader/>
          <w:jc w:val="center"/>
        </w:trPr>
        <w:tc>
          <w:tcPr>
            <w:tcW w:w="2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名称</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单位</w:t>
            </w:r>
          </w:p>
        </w:tc>
        <w:tc>
          <w:tcPr>
            <w:tcW w:w="5258"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项目村</w:t>
            </w:r>
          </w:p>
        </w:tc>
        <w:tc>
          <w:tcPr>
            <w:tcW w:w="11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合计</w:t>
            </w:r>
          </w:p>
        </w:tc>
      </w:tr>
      <w:tr>
        <w:tblPrEx>
          <w:tblCellMar>
            <w:top w:w="0" w:type="dxa"/>
            <w:left w:w="108" w:type="dxa"/>
            <w:bottom w:w="0" w:type="dxa"/>
            <w:right w:w="108" w:type="dxa"/>
          </w:tblCellMar>
        </w:tblPrEx>
        <w:trPr>
          <w:tblHeader/>
          <w:jc w:val="center"/>
        </w:trPr>
        <w:tc>
          <w:tcPr>
            <w:tcW w:w="2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毛家岗</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黄林堰</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清泉</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金坪</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规划面积</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亩</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3392</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4544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3593</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4139</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5934</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21602</w:t>
            </w: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土壤改良工程</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亩</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3050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4190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3230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3730</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5440</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19640</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贫瘠土壤改良</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亩</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2750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3350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2910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3360</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4350</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16720</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酸化土壤改良</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亩</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300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840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320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370</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1090</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2920</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水源工程</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堰塘改造</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座</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52</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机埠改造</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灌溉排水工程</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m/条</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1860/5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5611/13</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1147/1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1198/1</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9704/27</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19520/47</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农渠(QT)</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m/条</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397/3</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920/4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1317/7</w:t>
            </w: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田间渠(QG)</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m/条</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1327/1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1391/3</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1147/1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1198/1</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4692/7</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9755/13</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灌排渠(QP)</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m/条</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136/1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3300/6</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3088/13</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6524/20</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PE管（QG）</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m/条</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1924/7</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1924/7</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田间道路工程</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泥结石路(JS)</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m/条</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1692/5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6428/17</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1203/1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950/3</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4857/10</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15130/36</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生态环境保护</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路、渠绿化</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2973</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2973</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b/>
                <w:bCs/>
                <w:color w:val="auto"/>
                <w:kern w:val="2"/>
                <w:sz w:val="22"/>
                <w:szCs w:val="22"/>
                <w:lang w:val="en-US" w:eastAsia="zh-CN" w:bidi="ar-SA"/>
              </w:rPr>
            </w:pPr>
            <w:r>
              <w:rPr>
                <w:rFonts w:hint="eastAsia" w:ascii="仿宋_GB2312" w:hAnsi="仿宋_GB2312" w:eastAsia="仿宋_GB2312" w:cs="仿宋_GB2312"/>
                <w:b/>
                <w:bCs/>
                <w:color w:val="auto"/>
                <w:kern w:val="2"/>
                <w:sz w:val="22"/>
                <w:szCs w:val="22"/>
                <w:lang w:val="en-US" w:eastAsia="zh-CN" w:bidi="ar-SA"/>
              </w:rPr>
              <w:t>其他工程</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过路涵</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座</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40</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121</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分水口</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155</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293</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QP机耕桥</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座</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18</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30</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QG机耕桥</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座</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27</w:t>
            </w: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人行桥</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12</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54</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116</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QP节制闸</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QG节制闸</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32</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77</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QP台阶</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17</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34</w:t>
            </w: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QG台阶</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24</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48</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会车道</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22</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17</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52</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下田坡道</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40</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119</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QP跌水</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w:t>
            </w:r>
          </w:p>
        </w:tc>
      </w:tr>
      <w:tr>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QG跌水</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18</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道路绿化</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2973</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2973</w:t>
            </w:r>
          </w:p>
        </w:tc>
      </w:tr>
      <w:tr>
        <w:tblPrEx>
          <w:tblCellMar>
            <w:top w:w="0" w:type="dxa"/>
            <w:left w:w="108" w:type="dxa"/>
            <w:bottom w:w="0" w:type="dxa"/>
            <w:right w:w="108" w:type="dxa"/>
          </w:tblCellMar>
        </w:tblPrEx>
        <w:trPr>
          <w:jc w:val="center"/>
        </w:trPr>
        <w:tc>
          <w:tcPr>
            <w:tcW w:w="202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太阳能杀虫灯</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套</w:t>
            </w:r>
          </w:p>
        </w:tc>
        <w:tc>
          <w:tcPr>
            <w:tcW w:w="10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40</w:t>
            </w:r>
          </w:p>
        </w:tc>
        <w:tc>
          <w:tcPr>
            <w:tcW w:w="1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100</w:t>
            </w:r>
          </w:p>
        </w:tc>
      </w:tr>
    </w:tbl>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right="0" w:firstLine="560" w:firstLineChars="200"/>
        <w:jc w:val="both"/>
        <w:textAlignment w:val="auto"/>
        <w:rPr>
          <w:rFonts w:hint="eastAsia" w:ascii="黑体" w:hAnsi="黑体" w:eastAsia="黑体" w:cs="黑体"/>
          <w:b w:val="0"/>
          <w:bCs w:val="0"/>
          <w:color w:val="auto"/>
          <w:sz w:val="28"/>
          <w:szCs w:val="28"/>
        </w:rPr>
      </w:pPr>
      <w:bookmarkStart w:id="58" w:name="_Toc45723023"/>
      <w:bookmarkStart w:id="59" w:name="_Toc14854201"/>
      <w:r>
        <w:rPr>
          <w:rFonts w:hint="eastAsia" w:ascii="黑体" w:hAnsi="黑体" w:eastAsia="黑体" w:cs="黑体"/>
          <w:b w:val="0"/>
          <w:bCs w:val="0"/>
          <w:color w:val="auto"/>
          <w:sz w:val="28"/>
          <w:szCs w:val="28"/>
        </w:rPr>
        <w:t>工程布局</w:t>
      </w:r>
      <w:bookmarkEnd w:id="58"/>
      <w:bookmarkEnd w:id="59"/>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整体布局按照高标准农田建设总体规划的要求，根据XX县区域自然条件特点，结合各项目片区总体规划及2011年以来立项建设的高标准农田建设项目，以不重复建设的原则，统筹规划田、土、水、路、林、电等高标准农田的相关建设内容；采取集中连片、整体推进的方式，确保建一片成一片；坚持数量、质量、生态相统一，促进耕地节约集约利用，提升耕地质量，改善生态环境；充分尊重农民意愿；按照“田面平整化、道路砂石化、方田林网化、灌溉节水化，种植区域化，管理科学化”的要求进行布局，形成高标准农田建设示范区。</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XX市XX县XX镇等3个乡镇高标准农田建设项目（</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度）规划完成高标准农田建设面积2.16万亩。共分为三个项目区：XX镇项目区、XX镇项目区和XX镇项目区，其中XX镇项目区涉及涉及XX、毛家岗、黄林堰3个行政村，拟建设高标准农田面积11529亩；XX镇项目区涉及清泉1个行政村，拟建设高标准农田面积4139亩；XX镇项目区涉及金坪1个行政村，拟建设高标准农田面积5934亩，其中高效节水灌溉面积1000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0" w:name="_Toc45723024"/>
      <w:r>
        <w:rPr>
          <w:rFonts w:hint="eastAsia" w:ascii="黑体" w:hAnsi="黑体" w:eastAsia="黑体" w:cs="黑体"/>
          <w:b w:val="0"/>
          <w:bCs w:val="0"/>
          <w:color w:val="auto"/>
          <w:kern w:val="2"/>
          <w:sz w:val="28"/>
          <w:szCs w:val="28"/>
          <w:lang w:val="en-US" w:eastAsia="zh-CN" w:bidi="ar-SA"/>
        </w:rPr>
        <w:t>土地平整</w:t>
      </w:r>
      <w:bookmarkEnd w:id="60"/>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土地利用总体规划确定的耕地和基本农田集中连片的原则进行布局，充分考虑水资源承载能力和生态容量等因素，优化项目区农田结构布局。合理划分和适度归并田块，平整土地，减小农田地表坡降。根据地形地貌、作物种类、机械作业效率、灌排效率和防止风害等因素，合理确定田块的长度和宽度。</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土地平整整体布置根据项目区存在的问题，选取区域内土地相对集中、开发能力较强、平整后能促进土地流转、具有较强的示范带动作用和经济效益较高的金坪村698亩耕地进行土地平整，整体布局按条田型式布置，增强农田保土、保水、保肥能力。对区域内土地进行统一规划和田块划分，优化项目区农田结构布局。</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土地平整区大部分位于XX水库泄洪河北岸，村级硬化道以南的区域，东西长约2.7km，南北宽约300m，整体地势为西高东低，南高北低。根据地形地貌、作物种类、机械作业效率、灌排效率和防止风害等因素，确定条田长边为东西向，顺泄洪河方向；短边为南北向，与泄洪河大致垂直。条田布局前充分考虑区内可以利用的沟渠、道路和堰塘，以“利旧配新”的原则配套机耕道、排水渠道等工程。沟渠布局考虑平整区外的北边冲垅排水，沟渠沿条田短边布置，灌排分家。与水利系统河湖连通项目整合，沿泄洪河新修一条机耕干道，沿条田短边新修机耕道连接村级硬化道和机耕干道。结合人居环境整治，平整区内较大的堰塘进行护岸，周围修漫步道和进行绿化。</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1" w:name="_Toc45723025"/>
      <w:r>
        <w:rPr>
          <w:rFonts w:hint="eastAsia" w:ascii="黑体" w:hAnsi="黑体" w:eastAsia="黑体" w:cs="黑体"/>
          <w:b w:val="0"/>
          <w:bCs w:val="0"/>
          <w:color w:val="auto"/>
          <w:kern w:val="2"/>
          <w:sz w:val="28"/>
          <w:szCs w:val="28"/>
          <w:lang w:val="en-US" w:eastAsia="zh-CN" w:bidi="ar-SA"/>
        </w:rPr>
        <w:t>土壤改良</w:t>
      </w:r>
      <w:bookmarkEnd w:id="61"/>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（1）布局原则及要求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根据项目区农田土壤类别、耕地质量现状与土壤主要障碍因子，合理确定项目区土壤改良范围、面积、类别，以及各乡（镇）村分布情况等。</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（2）土壤改良工程布置方案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根据XX县土肥站提供的耕地地力调查结果和现场勘查，本次拟改良的总面积1.9万亩，主要是贫瘠土壤改良和酸性土壤改良，土壤改良结合降镉措施同步实施。项目区土壤改良工程布局方案，见表5.2-1。</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0"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表5.2-1  项目区土壤改良工程布局方案</w:t>
      </w:r>
    </w:p>
    <w:tbl>
      <w:tblPr>
        <w:tblStyle w:val="14"/>
        <w:tblW w:w="8522" w:type="dxa"/>
        <w:jc w:val="center"/>
        <w:tblLayout w:type="fixed"/>
        <w:tblCellMar>
          <w:top w:w="0" w:type="dxa"/>
          <w:left w:w="108" w:type="dxa"/>
          <w:bottom w:w="0" w:type="dxa"/>
          <w:right w:w="108" w:type="dxa"/>
        </w:tblCellMar>
      </w:tblPr>
      <w:tblGrid>
        <w:gridCol w:w="2036"/>
        <w:gridCol w:w="2037"/>
        <w:gridCol w:w="2412"/>
        <w:gridCol w:w="2037"/>
      </w:tblGrid>
      <w:tr>
        <w:tblPrEx>
          <w:tblCellMar>
            <w:top w:w="0" w:type="dxa"/>
            <w:left w:w="108" w:type="dxa"/>
            <w:bottom w:w="0" w:type="dxa"/>
            <w:right w:w="108" w:type="dxa"/>
          </w:tblCellMar>
        </w:tblPrEx>
        <w:trPr>
          <w:trHeight w:val="283" w:hRule="atLeast"/>
          <w:jc w:val="center"/>
        </w:trPr>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乡镇村名</w:t>
            </w:r>
          </w:p>
        </w:tc>
        <w:tc>
          <w:tcPr>
            <w:tcW w:w="20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土壤改良总面积（亩）</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贫瘠土壤改良面积（亩）</w:t>
            </w:r>
          </w:p>
        </w:tc>
        <w:tc>
          <w:tcPr>
            <w:tcW w:w="20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酸性土壤改良面积（亩）</w:t>
            </w: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XX镇</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3050</w:t>
            </w: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2750</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300</w:t>
            </w: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毛家岗</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4190</w:t>
            </w: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3350</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840</w:t>
            </w: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黄林堰</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3230</w:t>
            </w: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2910</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320</w:t>
            </w: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XX镇</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清泉</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3730</w:t>
            </w: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3360</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370</w:t>
            </w: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XX镇</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金坪</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5440</w:t>
            </w: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4350</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1090</w:t>
            </w:r>
          </w:p>
        </w:tc>
      </w:tr>
      <w:tr>
        <w:tblPrEx>
          <w:tblCellMar>
            <w:top w:w="0" w:type="dxa"/>
            <w:left w:w="108" w:type="dxa"/>
            <w:bottom w:w="0" w:type="dxa"/>
            <w:right w:w="108" w:type="dxa"/>
          </w:tblCellMar>
        </w:tblPrEx>
        <w:trPr>
          <w:trHeight w:val="283" w:hRule="atLeast"/>
          <w:jc w:val="center"/>
        </w:trPr>
        <w:tc>
          <w:tcPr>
            <w:tcW w:w="20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合计</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19640</w:t>
            </w:r>
          </w:p>
        </w:tc>
        <w:tc>
          <w:tcPr>
            <w:tcW w:w="2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16720</w:t>
            </w:r>
          </w:p>
        </w:tc>
        <w:tc>
          <w:tcPr>
            <w:tcW w:w="20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2920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2" w:name="_Toc45723026"/>
      <w:r>
        <w:rPr>
          <w:rFonts w:hint="eastAsia" w:ascii="黑体" w:hAnsi="黑体" w:eastAsia="黑体" w:cs="黑体"/>
          <w:b w:val="0"/>
          <w:bCs w:val="0"/>
          <w:color w:val="auto"/>
          <w:kern w:val="2"/>
          <w:sz w:val="28"/>
          <w:szCs w:val="28"/>
          <w:lang w:val="en-US" w:eastAsia="zh-CN" w:bidi="ar-SA"/>
        </w:rPr>
        <w:t>灌排系统</w:t>
      </w:r>
      <w:bookmarkEnd w:id="62"/>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（1）布局原则及要求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1）从地形、地质、工程量、施工、投资、运行等方面进行水源工程、输水工程、高效节水灌溉工程、排水工程布局方案的比选，通过综合分析比较，选定工程布局方案。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灌排渠系布局应符合下列规定：①应符合项目区灌溉和排洪（涝）要求，并有效地控制地下水位；②承担排洪（涝）任务的灌、排工程布局和设计应同时满足灌溉和排洪（涝）要求。③山区、丘陵区应遵循高水高用、低水低用的原则，采用“长藤结瓜”式的灌溉系统，并宜利用天然河道与沟溪布置排水系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充分利用项目区既有灌排沟渠，根据满足田间灌排设计的需要，对沟渠布局做必要的改造、调整，确保旱能灌、涝（渍）能排。田间排灌溉沟渠布局，依当地现状条件分别采用灌排相邻、灌排相间、灌排兼用布置；合理确定灌排渠系建筑物类型及布局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灌溉泵站的总体布置应根据站址的地形、地质、水流、泥沙、动力源、施工、环境等条件，结合灌溉供水系统布局、综合利用要求、机组型式等，做到布局合理、有利施工、运行安全、管理方便、少占耕地、投资节省和美观协调。</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（2）布局方案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项目区灌溉与排水工程建设内容及布局方案，见表5.3-1。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表5.3-1  项目区灌溉与排水工程布局方案</w:t>
      </w:r>
    </w:p>
    <w:tbl>
      <w:tblPr>
        <w:tblStyle w:val="14"/>
        <w:tblW w:w="88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29"/>
        <w:gridCol w:w="2082"/>
        <w:gridCol w:w="1136"/>
        <w:gridCol w:w="1136"/>
        <w:gridCol w:w="1136"/>
        <w:gridCol w:w="1136"/>
        <w:gridCol w:w="1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名 称</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单位</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工程量</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单位</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工程量</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水源工程</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堰塘改造</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其中项目区外填平补齐14座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其中：XX</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机埠改造</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其中：毛家岗</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座</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灌溉排水工程</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19520</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其中：XX</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1860</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5611</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1147</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1198</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9704</w:t>
            </w: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含PE管道1924m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其他工程</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1056</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机耕桥、节制闸等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其中：XX</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137</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341</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6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20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447</w:t>
            </w: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6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3" w:name="_Toc45723027"/>
      <w:r>
        <w:rPr>
          <w:rFonts w:hint="eastAsia" w:ascii="黑体" w:hAnsi="黑体" w:eastAsia="黑体" w:cs="黑体"/>
          <w:b w:val="0"/>
          <w:bCs w:val="0"/>
          <w:color w:val="auto"/>
          <w:kern w:val="2"/>
          <w:sz w:val="28"/>
          <w:szCs w:val="28"/>
          <w:lang w:val="en-US" w:eastAsia="zh-CN" w:bidi="ar-SA"/>
        </w:rPr>
        <w:t>田间道路工程</w:t>
      </w:r>
      <w:bookmarkEnd w:id="63"/>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（1）布置原则及要求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1）根据项目区骨干道路与项目区外道路的衔接情况，确定项目区内道路系统布置和各级道路配置关系。</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2）田间道路及机耕桥涵的布置，应与灌排系统相协调，应满足农业机械通行要求，并合理确定各级道路与灌（排）渠（沟）之间的关系。</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3）结合现场调查、勘测资料，合理确定项目区需要新建、改造的田间道路布置。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（2）布置方案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项目区田间道路工程建设内容及布置方案，见表5.4-1。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表5.4-1  项目区田间道路工程布置方案</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07"/>
        <w:gridCol w:w="1832"/>
        <w:gridCol w:w="1266"/>
        <w:gridCol w:w="1266"/>
        <w:gridCol w:w="1266"/>
        <w:gridCol w:w="1266"/>
        <w:gridCol w:w="12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名 称</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单位</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工程量</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单位</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工程量</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田间道路工程</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15130</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其中：XX</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1692</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6428</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1203</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950</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条</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4857</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下田坡道</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119</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其中：XX</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会车道</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52</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其中：XX</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8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处</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w:t>
            </w: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4" w:name="_Toc45723028"/>
      <w:r>
        <w:rPr>
          <w:rFonts w:hint="eastAsia" w:ascii="黑体" w:hAnsi="黑体" w:eastAsia="黑体" w:cs="黑体"/>
          <w:b w:val="0"/>
          <w:bCs w:val="0"/>
          <w:color w:val="auto"/>
          <w:kern w:val="2"/>
          <w:sz w:val="28"/>
          <w:szCs w:val="28"/>
          <w:lang w:val="en-US" w:eastAsia="zh-CN" w:bidi="ar-SA"/>
        </w:rPr>
        <w:t>农田防护与生态环境保持工程</w:t>
      </w:r>
      <w:bookmarkEnd w:id="64"/>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（1）布置原则及要求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1）根据项目区农田风害情况与结合人居环境整治需要，合理确定农田防护工程布设的范围。因地制宜确定植树、植草、生态护坎护坡等生态环境保持工程的类型及布置区域。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2）结合项目区现状，合理确定岸坡防护、沟道治理、坡面防护等农田防护工程的类型及布置区域。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3）结合乡村人居环境整治，进行生态环境保持工程的同时，可适当增加人行漫步道、石凳、园林景观等工程。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（2）布置方案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项目区农田防护与生态环境保持工程建设内容有新建护路护沟（渠）林2973m；对扰动的裸露地表植草皮，在居民集中区的5座堰塘进行护岸、绿化、修建行人漫步道等，详见表5.5-1。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表5.5-1  项目区农田防护与生态环境保持工程布置方案</w:t>
      </w:r>
    </w:p>
    <w:tbl>
      <w:tblPr>
        <w:tblStyle w:val="14"/>
        <w:tblW w:w="9055" w:type="dxa"/>
        <w:jc w:val="center"/>
        <w:tblLayout w:type="fixed"/>
        <w:tblCellMar>
          <w:top w:w="0" w:type="dxa"/>
          <w:left w:w="108" w:type="dxa"/>
          <w:bottom w:w="0" w:type="dxa"/>
          <w:right w:w="108" w:type="dxa"/>
        </w:tblCellMar>
      </w:tblPr>
      <w:tblGrid>
        <w:gridCol w:w="554"/>
        <w:gridCol w:w="1803"/>
        <w:gridCol w:w="1007"/>
        <w:gridCol w:w="1097"/>
        <w:gridCol w:w="1008"/>
        <w:gridCol w:w="1008"/>
        <w:gridCol w:w="2578"/>
      </w:tblGrid>
      <w:tr>
        <w:tblPrEx>
          <w:tblCellMar>
            <w:top w:w="0" w:type="dxa"/>
            <w:left w:w="108" w:type="dxa"/>
            <w:bottom w:w="0" w:type="dxa"/>
            <w:right w:w="108" w:type="dxa"/>
          </w:tblCellMar>
        </w:tblPrEx>
        <w:trPr>
          <w:trHeight w:val="27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序号</w:t>
            </w:r>
          </w:p>
        </w:tc>
        <w:tc>
          <w:tcPr>
            <w:tcW w:w="18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名 称</w:t>
            </w:r>
          </w:p>
        </w:tc>
        <w:tc>
          <w:tcPr>
            <w:tcW w:w="10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单位</w:t>
            </w:r>
          </w:p>
        </w:tc>
        <w:tc>
          <w:tcPr>
            <w:tcW w:w="10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工程量</w:t>
            </w:r>
          </w:p>
        </w:tc>
        <w:tc>
          <w:tcPr>
            <w:tcW w:w="10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单位</w:t>
            </w:r>
          </w:p>
        </w:tc>
        <w:tc>
          <w:tcPr>
            <w:tcW w:w="10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工程量</w:t>
            </w:r>
          </w:p>
        </w:tc>
        <w:tc>
          <w:tcPr>
            <w:tcW w:w="25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备注</w:t>
            </w:r>
          </w:p>
        </w:tc>
      </w:tr>
      <w:tr>
        <w:tblPrEx>
          <w:tblCellMar>
            <w:top w:w="0" w:type="dxa"/>
            <w:left w:w="108" w:type="dxa"/>
            <w:bottom w:w="0" w:type="dxa"/>
            <w:right w:w="108" w:type="dxa"/>
          </w:tblCellMar>
        </w:tblPrEx>
        <w:trPr>
          <w:trHeight w:val="30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一</w:t>
            </w: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草皮护坡</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m2</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677443.8</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沟渠路等裸露地表植草皮</w:t>
            </w: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二</w:t>
            </w: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堰塘绿化</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EK21（荷花堰）</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株</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354</w:t>
            </w: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沿塘堤植树绿化</w:t>
            </w: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EK48（长堰）</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株</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102</w:t>
            </w: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沿塘堤植树绿化</w:t>
            </w: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EK50（曲堰）</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株</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204</w:t>
            </w: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沿塘堤植树绿化</w:t>
            </w: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QG02串塘</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株</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156</w:t>
            </w: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沿塘堤植树绿化</w:t>
            </w: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QG08串塘</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处</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株</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54</w:t>
            </w: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沿塘堤植树绿化</w:t>
            </w: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三</w:t>
            </w: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路、渠绿化</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JS35</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1373</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株</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686</w:t>
            </w: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沿路肩植树绿化</w:t>
            </w:r>
          </w:p>
        </w:tc>
      </w:tr>
      <w:tr>
        <w:tblPrEx>
          <w:tblCellMar>
            <w:top w:w="0" w:type="dxa"/>
            <w:left w:w="108" w:type="dxa"/>
            <w:bottom w:w="0" w:type="dxa"/>
            <w:right w:w="108" w:type="dxa"/>
          </w:tblCellMar>
        </w:tblPrEx>
        <w:trPr>
          <w:trHeight w:val="270" w:hRule="atLeast"/>
          <w:jc w:val="center"/>
        </w:trPr>
        <w:tc>
          <w:tcPr>
            <w:tcW w:w="55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JS36</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m</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1600</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株</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800</w:t>
            </w:r>
          </w:p>
        </w:tc>
        <w:tc>
          <w:tcPr>
            <w:tcW w:w="2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沿路肩植树绿化</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5" w:name="_Toc45723029"/>
      <w:r>
        <w:rPr>
          <w:rFonts w:hint="eastAsia" w:ascii="黑体" w:hAnsi="黑体" w:eastAsia="黑体" w:cs="黑体"/>
          <w:b w:val="0"/>
          <w:bCs w:val="0"/>
          <w:color w:val="auto"/>
          <w:kern w:val="2"/>
          <w:sz w:val="28"/>
          <w:szCs w:val="28"/>
          <w:lang w:val="en-US" w:eastAsia="zh-CN" w:bidi="ar-SA"/>
        </w:rPr>
        <w:t>农田输配电</w:t>
      </w:r>
      <w:bookmarkEnd w:id="65"/>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本次项目不涉及农田输配电工程。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6" w:name="_Toc45723030"/>
      <w:r>
        <w:rPr>
          <w:rFonts w:hint="eastAsia" w:ascii="黑体" w:hAnsi="黑体" w:eastAsia="黑体" w:cs="黑体"/>
          <w:b w:val="0"/>
          <w:bCs w:val="0"/>
          <w:color w:val="auto"/>
          <w:kern w:val="2"/>
          <w:sz w:val="28"/>
          <w:szCs w:val="28"/>
          <w:lang w:val="en-US" w:eastAsia="zh-CN" w:bidi="ar-SA"/>
        </w:rPr>
        <w:t>科技推广措施</w:t>
      </w:r>
      <w:bookmarkEnd w:id="66"/>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本次项目科技推广措施工程为新建频振式太阳能杀虫灯100套，规划在项目区田块成片面积500亩以上的区域。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67" w:name="_Toc45723031"/>
      <w:r>
        <w:rPr>
          <w:rFonts w:hint="eastAsia" w:ascii="黑体" w:hAnsi="黑体" w:eastAsia="黑体" w:cs="黑体"/>
          <w:b w:val="0"/>
          <w:bCs w:val="0"/>
          <w:color w:val="auto"/>
          <w:kern w:val="2"/>
          <w:sz w:val="28"/>
          <w:szCs w:val="28"/>
          <w:lang w:val="en-US" w:eastAsia="zh-CN" w:bidi="ar-SA"/>
        </w:rPr>
        <w:t>其他农业措施</w:t>
      </w:r>
      <w:bookmarkEnd w:id="67"/>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sectPr>
          <w:headerReference r:id="rId18"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sz w:val="28"/>
          <w:szCs w:val="28"/>
        </w:rPr>
        <w:t>本次项目不涉及其他农业措施工程。</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right="0"/>
        <w:jc w:val="center"/>
        <w:rPr>
          <w:rFonts w:hint="eastAsia" w:ascii="方正小标宋简体" w:hAnsi="方正小标宋简体" w:eastAsia="方正小标宋简体" w:cs="方正小标宋简体"/>
          <w:b w:val="0"/>
          <w:bCs w:val="0"/>
          <w:color w:val="auto"/>
          <w:sz w:val="36"/>
          <w:szCs w:val="36"/>
        </w:rPr>
      </w:pPr>
      <w:bookmarkStart w:id="68" w:name="_Toc14854207"/>
      <w:bookmarkStart w:id="69" w:name="_Toc45723032"/>
      <w:r>
        <w:rPr>
          <w:rFonts w:hint="eastAsia" w:ascii="方正小标宋简体" w:hAnsi="方正小标宋简体" w:eastAsia="方正小标宋简体" w:cs="方正小标宋简体"/>
          <w:b w:val="0"/>
          <w:bCs w:val="0"/>
          <w:color w:val="auto"/>
          <w:sz w:val="36"/>
          <w:szCs w:val="36"/>
        </w:rPr>
        <w:t>工程设计</w:t>
      </w:r>
      <w:bookmarkEnd w:id="68"/>
      <w:bookmarkEnd w:id="69"/>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both"/>
        <w:outlineLvl w:val="1"/>
        <w:rPr>
          <w:rFonts w:hint="eastAsia" w:ascii="楷体" w:hAnsi="楷体" w:eastAsia="宋体" w:cs="楷体"/>
          <w:b/>
          <w:bCs/>
          <w:color w:val="auto"/>
          <w:kern w:val="2"/>
          <w:sz w:val="28"/>
          <w:szCs w:val="28"/>
          <w:lang w:val="en-US" w:eastAsia="zh-CN" w:bidi="ar-SA"/>
        </w:rPr>
      </w:pPr>
      <w:bookmarkStart w:id="70" w:name="_Toc45723033"/>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设计依据</w:t>
      </w:r>
      <w:bookmarkEnd w:id="70"/>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工程技术标准依据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（1）《高标准农田建设通则》（GB/T30600-2014）；</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（2）《灌溉与排水工程设计标准》（GB50288-2018）；</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（3）《节水灌溉工程技术标准》（GB/T50363-2018）；</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（4）《渠道防渗工程技术规范》（GB/T50600-2010）；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（5）《农田灌溉水质标准》（GBT5084-2005）；</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（6）《管道输水灌溉工程技术规范》（GB/T20203-2017）；</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（7）《泵站设计规范》（GB50265-2010）；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（8）《农田排水工程技术规范》（SL4-2013）；</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（9）《灌溉与排水渠系构筑物设计规范》（SL482-2011）；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（10）《水闸设计规范》（SL265-2016）；</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（11）《水利水电工程等级划分及洪水标准》（SL252-2017）；</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（12）《水利水电工程设计洪水计算规范》（SL44-2006）；</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（13）《水工混凝土结构设计规范》（SL191-2008）；</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（14）《水利水电工程施工组织设计规范》（SL303-2017）；</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）《水土保持工程设计规范》（GB51018-2014）；</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）《工程测量规范》（GB50026-2007）；</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）《全球定位系统（GPS）测量规范》（GB/T18314-2009）。</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6.1.2 其他资料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（1）XX县高标准农田建设统一上图入库成果；</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（2）项目区基本农田保护图（1：10000）；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（3）项目区土地利用现状图（1：10000）；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（4）项目区地形图（1：10000）；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（5）项目区实测图（1：1000）；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（6）设计人员现场调查与踏勘资料；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（7）建设单位提供的其他基础资料等。</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1" w:name="_Toc45723034"/>
      <w:r>
        <w:rPr>
          <w:rFonts w:hint="eastAsia" w:ascii="黑体" w:hAnsi="黑体" w:eastAsia="黑体" w:cs="黑体"/>
          <w:b w:val="0"/>
          <w:bCs w:val="0"/>
          <w:color w:val="auto"/>
          <w:kern w:val="2"/>
          <w:sz w:val="28"/>
          <w:szCs w:val="28"/>
          <w:lang w:val="en-US" w:eastAsia="zh-CN" w:bidi="ar-SA"/>
        </w:rPr>
        <w:t>工程等级与标准</w:t>
      </w:r>
      <w:bookmarkEnd w:id="71"/>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项目规划区工程建设标准根据《灌溉与排水工程设计标准》（GB50288-2018），《灌溉与排水渠系建筑物设计规范》（SL482-2011），结合《高标准农田建设通则》（GB/T30600-2014），综合分析确定如下：</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工程等级</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（1）水源工程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根据《水利水电工程等级划分及洪水标准》（SL252-2017），山塘分级标准如下表6.2-1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表6.2-1  山塘工程等级划分及防洪标准</w:t>
      </w:r>
    </w:p>
    <w:tbl>
      <w:tblPr>
        <w:tblStyle w:val="14"/>
        <w:tblW w:w="88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08"/>
        <w:gridCol w:w="1209"/>
        <w:gridCol w:w="1500"/>
        <w:gridCol w:w="1905"/>
        <w:gridCol w:w="1209"/>
        <w:gridCol w:w="18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工程等别</w:t>
            </w:r>
          </w:p>
        </w:tc>
        <w:tc>
          <w:tcPr>
            <w:tcW w:w="12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工程规模</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建筑物级别</w:t>
            </w:r>
          </w:p>
        </w:tc>
        <w:tc>
          <w:tcPr>
            <w:tcW w:w="19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总容积（万m</w:t>
            </w:r>
            <w:r>
              <w:rPr>
                <w:rFonts w:hint="eastAsia" w:ascii="仿宋_GB2312" w:hAnsi="仿宋_GB2312" w:eastAsia="仿宋_GB2312" w:cs="仿宋_GB2312"/>
                <w:color w:val="auto"/>
                <w:sz w:val="22"/>
                <w:szCs w:val="22"/>
                <w:vertAlign w:val="superscript"/>
              </w:rPr>
              <w:t>3</w:t>
            </w:r>
            <w:r>
              <w:rPr>
                <w:rFonts w:hint="eastAsia" w:ascii="仿宋_GB2312" w:hAnsi="仿宋_GB2312" w:eastAsia="仿宋_GB2312" w:cs="仿宋_GB2312"/>
                <w:color w:val="auto"/>
                <w:sz w:val="22"/>
                <w:szCs w:val="22"/>
              </w:rPr>
              <w:t>）</w:t>
            </w:r>
          </w:p>
        </w:tc>
        <w:tc>
          <w:tcPr>
            <w:tcW w:w="304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洪水标准[重现期（年）]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9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2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设计</w:t>
            </w:r>
          </w:p>
        </w:tc>
        <w:tc>
          <w:tcPr>
            <w:tcW w:w="18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Ⅵ</w:t>
            </w:r>
          </w:p>
        </w:tc>
        <w:tc>
          <w:tcPr>
            <w:tcW w:w="12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骨干山塘</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19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r>
              <w:rPr>
                <w:rFonts w:hint="eastAsia" w:ascii="Times New Roman" w:hAnsi="Times New Roman" w:eastAsia="仿宋_GB2312" w:cs="仿宋_GB2312"/>
                <w:color w:val="auto"/>
                <w:sz w:val="22"/>
                <w:szCs w:val="22"/>
                <w:lang w:eastAsia="zh-CN"/>
              </w:rPr>
              <w:t>~</w:t>
            </w:r>
            <w:r>
              <w:rPr>
                <w:rFonts w:hint="eastAsia" w:ascii="仿宋_GB2312" w:hAnsi="仿宋_GB2312" w:eastAsia="仿宋_GB2312" w:cs="仿宋_GB2312"/>
                <w:color w:val="auto"/>
                <w:sz w:val="22"/>
                <w:szCs w:val="22"/>
              </w:rPr>
              <w:t>10</w:t>
            </w:r>
          </w:p>
        </w:tc>
        <w:tc>
          <w:tcPr>
            <w:tcW w:w="12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18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Ⅶ</w:t>
            </w:r>
          </w:p>
        </w:tc>
        <w:tc>
          <w:tcPr>
            <w:tcW w:w="12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一般山塘</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19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2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18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2" w:firstLineChars="200"/>
        <w:jc w:val="both"/>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根据《水利水电工程等级划分及洪水标准》（SL252-2017）和《灌溉与排水工程设计标准》（GB50288-2018），提水枢纽工程等级应根据单站装机流量或单站装机功率的大小确定，本工程新建提灌机埠装机流量小于2m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/s，装机功率均小于0.1MW，故工程提灌机埠工程等级均为Ⅴ级，主要建筑物级别为5级，次要建筑物级别为5级。</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（2）灌溉排水渠道</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根据《灌溉与排水工程设计标准》（GB50288-2018）3.1.5条，灌溉渠道或排水沟的级别应根据灌溉或排水流量的大小划分，本工程灌溉流量小于5m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/s，排水流量小于10m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/s，灌溉与排水渠道及建筑物的工程级别为5级。</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设计标准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确定各项目工程建设标准如下: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（1）小型水源工程建设标准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引水河坝工程要安全运行，引水设施齐全，运行可靠，达到设计引水标准；骨干塘堰塘加固，渗漏堰坝迎水面防渗处理，蓄水容量达到设计容量的90%以上。</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（2）小型泵站工程建设标准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灌溉泵站工程灌溉保证率达到90％以上，泵站机电设备完好率达到90％，机泵装置效率达到55％，能源单耗不大于5kw•h／(kt•m)。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（3）小型灌溉渠道工程建设标准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渠系水利用系数达到0.80以上，灌溉水利用系数达0.76以上，灌区灌溉保证率达到90％。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4）排涝设计标准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水田设计排涝标准为：10年一遇的3d暴雨，3d排至作物的耐淹深度；旱地设计排涝标准为：10年一遇的1d暴雨，1d排至田面无积水。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5）田间道路建设标准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田间道路通达度达到90%以上，机耕路路面宽度2.5m～3.5m，生产路路面宽度2m～2.5m。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6）小型农田水利工程建设质量全部合格，外观质量优良率达85%以上，优良工程率达50%以上。</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2" w:name="_Toc45723035"/>
      <w:bookmarkStart w:id="73" w:name="_Toc436127844"/>
      <w:r>
        <w:rPr>
          <w:rFonts w:hint="eastAsia" w:ascii="黑体" w:hAnsi="黑体" w:eastAsia="黑体" w:cs="黑体"/>
          <w:b w:val="0"/>
          <w:bCs w:val="0"/>
          <w:color w:val="auto"/>
          <w:kern w:val="2"/>
          <w:sz w:val="28"/>
          <w:szCs w:val="28"/>
          <w:lang w:val="en-US" w:eastAsia="zh-CN" w:bidi="ar-SA"/>
        </w:rPr>
        <w:t>土地平整设计</w:t>
      </w:r>
      <w:bookmarkEnd w:id="72"/>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设计土地平整选择在XX镇金坪村，该片区土地相对集中，但由于现状田块杂乱、分块不均，导致现状耕地水土流失、质量不高、土地产出率低，土地利用方式粗放等问题，在现有的土地中，仍有部分土地尚未得到合理的开发和利用。本次设计拟对其中698亩土地进行土地平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（1）设计要求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田面平整，符合灌水要求；精心设计，合理分配土方，满足道路工程需要的土料，运输路线没有交叉和对流，使平整工程量最小，劳动效率最高。注意保持水土肥力。在挖填土方时，要先移走表层熟土，完成设计的挖填深度后，再把熟土归还地面，并适当增加有机肥，改良土壤，扩大耕地。</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（2）设计内容</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田块内平整按照局部平整要求，以格田为单元进行田块内平整，尽量保证平整单元内挖填平衡。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地平整应满足项目区内灌排条件要求，尽可能地增加有效耕地面积是项目土地整理的基本原则。项目区土地平整工程量受地形地貌、灌溉水源和排水条件的影响较大，因此应因地制宜，区别对待。本项目而言，土地平整采用局部统一化，大面积随地形的原则，根据地形条件并考虑道路、排灌沟渠等的布置，将项目区划分成不同形状的土地平整单元田块。平整单元内土地平整的填挖方量尽可能控制在本单元区内部，力求单元内土地平整的统一化，推高填低，做到挖填平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根据平整区实际情况，本次设计将该区划分为为122个田块，田块高程由西至东、由高到低为37.79m</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33.18m。各田块结合项目区内机耕道、排水沟等的布置，按100</w:t>
      </w:r>
      <w:r>
        <w:rPr>
          <w:rFonts w:hint="eastAsia" w:ascii="Times New Roman" w:hAnsi="Times New Roman" w:eastAsia="仿宋_GB2312" w:cs="仿宋_GB2312"/>
          <w:color w:val="auto"/>
          <w:sz w:val="28"/>
          <w:szCs w:val="28"/>
          <w:lang w:eastAsia="zh-CN"/>
        </w:rPr>
        <w:t>~</w:t>
      </w:r>
      <w:r>
        <w:rPr>
          <w:rFonts w:hint="eastAsia" w:ascii="仿宋_GB2312" w:hAnsi="仿宋_GB2312" w:eastAsia="仿宋_GB2312" w:cs="仿宋_GB2312"/>
          <w:color w:val="auto"/>
          <w:sz w:val="28"/>
          <w:szCs w:val="28"/>
        </w:rPr>
        <w:t>130m长分小块。局部小的田块根据实际情况和当地群众需要进行划分。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1）土地平整土方量计算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土方平整采用面积加权法，计算方法如下：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①根据各测点高程和其控制面积计算出田块平均高程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kern w:val="32"/>
          <w:sz w:val="28"/>
          <w:szCs w:val="28"/>
          <w:lang w:val="en-US" w:eastAsia="zh-CN" w:bidi="ar-SA"/>
        </w:rPr>
      </w:pPr>
      <w:r>
        <w:rPr>
          <w:rFonts w:hint="eastAsia" w:ascii="仿宋_GB2312" w:hAnsi="仿宋_GB2312" w:eastAsia="仿宋_GB2312" w:cs="仿宋_GB2312"/>
          <w:color w:val="auto"/>
          <w:kern w:val="32"/>
          <w:sz w:val="28"/>
          <w:szCs w:val="28"/>
          <w:lang w:val="en-US" w:eastAsia="zh-CN" w:bidi="ar-SA"/>
        </w:rPr>
        <w:t>H</w:t>
      </w:r>
      <w:r>
        <w:rPr>
          <w:rFonts w:hint="eastAsia" w:ascii="仿宋_GB2312" w:hAnsi="仿宋_GB2312" w:eastAsia="仿宋_GB2312" w:cs="仿宋_GB2312"/>
          <w:color w:val="auto"/>
          <w:kern w:val="32"/>
          <w:sz w:val="28"/>
          <w:szCs w:val="28"/>
          <w:vertAlign w:val="subscript"/>
          <w:lang w:val="en-US" w:eastAsia="zh-CN" w:bidi="ar-SA"/>
        </w:rPr>
        <w:t>a</w:t>
      </w:r>
      <w:r>
        <w:rPr>
          <w:rFonts w:hint="eastAsia" w:ascii="仿宋_GB2312" w:hAnsi="仿宋_GB2312" w:eastAsia="仿宋_GB2312" w:cs="仿宋_GB2312"/>
          <w:color w:val="auto"/>
          <w:kern w:val="32"/>
          <w:sz w:val="28"/>
          <w:szCs w:val="28"/>
          <w:lang w:val="en-US" w:eastAsia="zh-CN" w:bidi="ar-SA"/>
        </w:rPr>
        <w:t xml:space="preserve"> = (H</w:t>
      </w:r>
      <w:r>
        <w:rPr>
          <w:rFonts w:hint="eastAsia" w:ascii="仿宋_GB2312" w:hAnsi="仿宋_GB2312" w:eastAsia="仿宋_GB2312" w:cs="仿宋_GB2312"/>
          <w:color w:val="auto"/>
          <w:kern w:val="32"/>
          <w:sz w:val="28"/>
          <w:szCs w:val="28"/>
          <w:vertAlign w:val="subscript"/>
          <w:lang w:val="en-US" w:eastAsia="zh-CN" w:bidi="ar-SA"/>
        </w:rPr>
        <w:t>1</w:t>
      </w:r>
      <w:r>
        <w:rPr>
          <w:rFonts w:hint="eastAsia" w:ascii="仿宋_GB2312" w:hAnsi="仿宋_GB2312" w:eastAsia="仿宋_GB2312" w:cs="仿宋_GB2312"/>
          <w:color w:val="auto"/>
          <w:kern w:val="32"/>
          <w:sz w:val="28"/>
          <w:szCs w:val="28"/>
          <w:lang w:val="en-US" w:eastAsia="zh-CN" w:bidi="ar-SA"/>
        </w:rPr>
        <w:t>×S</w:t>
      </w:r>
      <w:r>
        <w:rPr>
          <w:rFonts w:hint="eastAsia" w:ascii="仿宋_GB2312" w:hAnsi="仿宋_GB2312" w:eastAsia="仿宋_GB2312" w:cs="仿宋_GB2312"/>
          <w:color w:val="auto"/>
          <w:kern w:val="32"/>
          <w:sz w:val="28"/>
          <w:szCs w:val="28"/>
          <w:vertAlign w:val="subscript"/>
          <w:lang w:val="en-US" w:eastAsia="zh-CN" w:bidi="ar-SA"/>
        </w:rPr>
        <w:t>1</w:t>
      </w:r>
      <w:r>
        <w:rPr>
          <w:rFonts w:hint="eastAsia" w:ascii="仿宋_GB2312" w:hAnsi="仿宋_GB2312" w:eastAsia="仿宋_GB2312" w:cs="仿宋_GB2312"/>
          <w:color w:val="auto"/>
          <w:kern w:val="32"/>
          <w:sz w:val="28"/>
          <w:szCs w:val="28"/>
          <w:lang w:val="en-US" w:eastAsia="zh-CN" w:bidi="ar-SA"/>
        </w:rPr>
        <w:t>+H</w:t>
      </w:r>
      <w:r>
        <w:rPr>
          <w:rFonts w:hint="eastAsia" w:ascii="仿宋_GB2312" w:hAnsi="仿宋_GB2312" w:eastAsia="仿宋_GB2312" w:cs="仿宋_GB2312"/>
          <w:color w:val="auto"/>
          <w:kern w:val="32"/>
          <w:sz w:val="28"/>
          <w:szCs w:val="28"/>
          <w:vertAlign w:val="subscript"/>
          <w:lang w:val="en-US" w:eastAsia="zh-CN" w:bidi="ar-SA"/>
        </w:rPr>
        <w:t>2</w:t>
      </w:r>
      <w:r>
        <w:rPr>
          <w:rFonts w:hint="eastAsia" w:ascii="仿宋_GB2312" w:hAnsi="仿宋_GB2312" w:eastAsia="仿宋_GB2312" w:cs="仿宋_GB2312"/>
          <w:color w:val="auto"/>
          <w:kern w:val="32"/>
          <w:sz w:val="28"/>
          <w:szCs w:val="28"/>
          <w:lang w:val="en-US" w:eastAsia="zh-CN" w:bidi="ar-SA"/>
        </w:rPr>
        <w:t>×S</w:t>
      </w:r>
      <w:r>
        <w:rPr>
          <w:rFonts w:hint="eastAsia" w:ascii="仿宋_GB2312" w:hAnsi="仿宋_GB2312" w:eastAsia="仿宋_GB2312" w:cs="仿宋_GB2312"/>
          <w:color w:val="auto"/>
          <w:kern w:val="32"/>
          <w:sz w:val="28"/>
          <w:szCs w:val="28"/>
          <w:vertAlign w:val="subscript"/>
          <w:lang w:val="en-US" w:eastAsia="zh-CN" w:bidi="ar-SA"/>
        </w:rPr>
        <w:t>2</w:t>
      </w:r>
      <w:r>
        <w:rPr>
          <w:rFonts w:hint="eastAsia" w:ascii="仿宋_GB2312" w:hAnsi="仿宋_GB2312" w:eastAsia="仿宋_GB2312" w:cs="仿宋_GB2312"/>
          <w:color w:val="auto"/>
          <w:kern w:val="32"/>
          <w:sz w:val="28"/>
          <w:szCs w:val="28"/>
          <w:lang w:val="en-US" w:eastAsia="zh-CN" w:bidi="ar-SA"/>
        </w:rPr>
        <w:t>+...... +H</w:t>
      </w:r>
      <w:r>
        <w:rPr>
          <w:rFonts w:hint="eastAsia" w:ascii="仿宋_GB2312" w:hAnsi="仿宋_GB2312" w:eastAsia="仿宋_GB2312" w:cs="仿宋_GB2312"/>
          <w:color w:val="auto"/>
          <w:kern w:val="32"/>
          <w:sz w:val="28"/>
          <w:szCs w:val="28"/>
          <w:vertAlign w:val="subscript"/>
          <w:lang w:val="en-US" w:eastAsia="zh-CN" w:bidi="ar-SA"/>
        </w:rPr>
        <w:t>n</w:t>
      </w:r>
      <w:r>
        <w:rPr>
          <w:rFonts w:hint="eastAsia" w:ascii="仿宋_GB2312" w:hAnsi="仿宋_GB2312" w:eastAsia="仿宋_GB2312" w:cs="仿宋_GB2312"/>
          <w:color w:val="auto"/>
          <w:kern w:val="32"/>
          <w:sz w:val="28"/>
          <w:szCs w:val="28"/>
          <w:lang w:val="en-US" w:eastAsia="zh-CN" w:bidi="ar-SA"/>
        </w:rPr>
        <w:t>×S</w:t>
      </w:r>
      <w:r>
        <w:rPr>
          <w:rFonts w:hint="eastAsia" w:ascii="仿宋_GB2312" w:hAnsi="仿宋_GB2312" w:eastAsia="仿宋_GB2312" w:cs="仿宋_GB2312"/>
          <w:color w:val="auto"/>
          <w:kern w:val="32"/>
          <w:sz w:val="28"/>
          <w:szCs w:val="28"/>
          <w:vertAlign w:val="subscript"/>
          <w:lang w:val="en-US" w:eastAsia="zh-CN" w:bidi="ar-SA"/>
        </w:rPr>
        <w:t>n</w:t>
      </w:r>
      <w:r>
        <w:rPr>
          <w:rFonts w:hint="eastAsia" w:ascii="仿宋_GB2312" w:hAnsi="仿宋_GB2312" w:eastAsia="仿宋_GB2312" w:cs="仿宋_GB2312"/>
          <w:color w:val="auto"/>
          <w:kern w:val="32"/>
          <w:sz w:val="28"/>
          <w:szCs w:val="28"/>
          <w:lang w:val="en-US" w:eastAsia="zh-CN" w:bidi="ar-SA"/>
        </w:rPr>
        <w:t>）/</w:t>
      </w:r>
      <w:r>
        <w:rPr>
          <w:rFonts w:hint="eastAsia" w:ascii="仿宋_GB2312" w:hAnsi="仿宋_GB2312" w:eastAsia="仿宋_GB2312" w:cs="仿宋_GB2312"/>
          <w:color w:val="auto"/>
          <w:kern w:val="32"/>
          <w:position w:val="-14"/>
          <w:sz w:val="28"/>
          <w:szCs w:val="28"/>
          <w:lang w:val="en-US" w:eastAsia="zh-CN" w:bidi="ar-SA"/>
        </w:rPr>
        <w:object>
          <v:shape id="_x0000_i1031" o:spt="75" type="#_x0000_t75" style="height:20.25pt;width:30pt;" o:ole="t" filled="f" o:preferrelative="t" stroked="f" coordsize="21600,21600">
            <v:path/>
            <v:fill on="f" focussize="0,0"/>
            <v:stroke on="f" joinstyle="miter"/>
            <v:imagedata r:id="rId62" o:title=""/>
            <o:lock v:ext="edit" aspectratio="t"/>
            <w10:wrap type="none"/>
            <w10:anchorlock/>
          </v:shape>
          <o:OLEObject Type="Embed" ProgID="Equation.3" ShapeID="_x0000_i1031" DrawAspect="Content" ObjectID="_1468075731" r:id="rId61">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式中：H</w:t>
      </w:r>
      <w:r>
        <w:rPr>
          <w:rFonts w:hint="eastAsia" w:ascii="仿宋_GB2312" w:hAnsi="仿宋_GB2312" w:eastAsia="仿宋_GB2312" w:cs="仿宋_GB2312"/>
          <w:color w:val="auto"/>
          <w:sz w:val="28"/>
          <w:szCs w:val="28"/>
          <w:vertAlign w:val="subscript"/>
        </w:rPr>
        <w:t>l</w:t>
      </w:r>
      <w:r>
        <w:rPr>
          <w:rFonts w:hint="eastAsia" w:ascii="仿宋_GB2312" w:hAnsi="仿宋_GB2312" w:eastAsia="仿宋_GB2312" w:cs="仿宋_GB2312"/>
          <w:color w:val="auto"/>
          <w:sz w:val="28"/>
          <w:szCs w:val="28"/>
        </w:rPr>
        <w:t>、H</w:t>
      </w:r>
      <w:r>
        <w:rPr>
          <w:rFonts w:hint="eastAsia" w:ascii="仿宋_GB2312" w:hAnsi="仿宋_GB2312" w:eastAsia="仿宋_GB2312" w:cs="仿宋_GB2312"/>
          <w:color w:val="auto"/>
          <w:sz w:val="28"/>
          <w:szCs w:val="28"/>
          <w:vertAlign w:val="subscript"/>
        </w:rPr>
        <w:t>2</w:t>
      </w:r>
      <w:r>
        <w:rPr>
          <w:rFonts w:hint="eastAsia" w:ascii="仿宋_GB2312" w:hAnsi="仿宋_GB2312" w:eastAsia="仿宋_GB2312" w:cs="仿宋_GB2312"/>
          <w:color w:val="auto"/>
          <w:sz w:val="28"/>
          <w:szCs w:val="28"/>
        </w:rPr>
        <w:t>、H</w:t>
      </w:r>
      <w:r>
        <w:rPr>
          <w:rFonts w:hint="eastAsia" w:ascii="仿宋_GB2312" w:hAnsi="仿宋_GB2312" w:eastAsia="仿宋_GB2312" w:cs="仿宋_GB2312"/>
          <w:color w:val="auto"/>
          <w:sz w:val="28"/>
          <w:szCs w:val="28"/>
          <w:vertAlign w:val="subscript"/>
        </w:rPr>
        <w:t>n</w:t>
      </w:r>
      <w:r>
        <w:rPr>
          <w:rFonts w:hint="eastAsia" w:ascii="仿宋_GB2312" w:hAnsi="仿宋_GB2312" w:eastAsia="仿宋_GB2312" w:cs="仿宋_GB2312"/>
          <w:color w:val="auto"/>
          <w:sz w:val="28"/>
          <w:szCs w:val="28"/>
        </w:rPr>
        <w:t>为各测点高程；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S</w:t>
      </w:r>
      <w:r>
        <w:rPr>
          <w:rFonts w:hint="eastAsia" w:ascii="仿宋_GB2312" w:hAnsi="仿宋_GB2312" w:eastAsia="仿宋_GB2312" w:cs="仿宋_GB2312"/>
          <w:color w:val="auto"/>
          <w:sz w:val="28"/>
          <w:szCs w:val="28"/>
          <w:vertAlign w:val="subscript"/>
        </w:rPr>
        <w:t>l</w:t>
      </w:r>
      <w:r>
        <w:rPr>
          <w:rFonts w:hint="eastAsia" w:ascii="仿宋_GB2312" w:hAnsi="仿宋_GB2312" w:eastAsia="仿宋_GB2312" w:cs="仿宋_GB2312"/>
          <w:color w:val="auto"/>
          <w:sz w:val="28"/>
          <w:szCs w:val="28"/>
        </w:rPr>
        <w:t>、S</w:t>
      </w:r>
      <w:r>
        <w:rPr>
          <w:rFonts w:hint="eastAsia" w:ascii="仿宋_GB2312" w:hAnsi="仿宋_GB2312" w:eastAsia="仿宋_GB2312" w:cs="仿宋_GB2312"/>
          <w:color w:val="auto"/>
          <w:sz w:val="28"/>
          <w:szCs w:val="28"/>
          <w:vertAlign w:val="subscript"/>
        </w:rPr>
        <w:t>2</w:t>
      </w:r>
      <w:r>
        <w:rPr>
          <w:rFonts w:hint="eastAsia" w:ascii="仿宋_GB2312" w:hAnsi="仿宋_GB2312" w:eastAsia="仿宋_GB2312" w:cs="仿宋_GB2312"/>
          <w:color w:val="auto"/>
          <w:sz w:val="28"/>
          <w:szCs w:val="28"/>
        </w:rPr>
        <w:t>、S</w:t>
      </w:r>
      <w:r>
        <w:rPr>
          <w:rFonts w:hint="eastAsia" w:ascii="仿宋_GB2312" w:hAnsi="仿宋_GB2312" w:eastAsia="仿宋_GB2312" w:cs="仿宋_GB2312"/>
          <w:color w:val="auto"/>
          <w:sz w:val="28"/>
          <w:szCs w:val="28"/>
          <w:vertAlign w:val="subscript"/>
        </w:rPr>
        <w:t>n</w:t>
      </w:r>
      <w:r>
        <w:rPr>
          <w:rFonts w:hint="eastAsia" w:ascii="仿宋_GB2312" w:hAnsi="仿宋_GB2312" w:eastAsia="仿宋_GB2312" w:cs="仿宋_GB2312"/>
          <w:color w:val="auto"/>
          <w:sz w:val="28"/>
          <w:szCs w:val="28"/>
        </w:rPr>
        <w:t>为各测点控制面积。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②挖填方量计算</w:t>
      </w:r>
    </w:p>
    <w:p>
      <w:pPr>
        <w:keepNext w:val="0"/>
        <w:keepLines w:val="0"/>
        <w:pageBreakBefore w:val="0"/>
        <w:widowControl w:val="0"/>
        <w:tabs>
          <w:tab w:val="left" w:pos="1364"/>
        </w:tabs>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挖方量</w:t>
      </w:r>
      <w:r>
        <w:rPr>
          <w:rFonts w:hint="eastAsia" w:ascii="仿宋_GB2312" w:hAnsi="仿宋_GB2312" w:eastAsia="仿宋_GB2312" w:cs="仿宋_GB2312"/>
          <w:color w:val="auto"/>
          <w:kern w:val="32"/>
          <w:position w:val="-14"/>
          <w:sz w:val="28"/>
          <w:szCs w:val="28"/>
        </w:rPr>
        <w:object>
          <v:shape id="_x0000_i1032" o:spt="75" type="#_x0000_t75" style="height:20.25pt;width:111.75pt;" o:ole="t" filled="f" o:preferrelative="t" stroked="f" coordsize="21600,21600">
            <v:path/>
            <v:fill on="f" focussize="0,0"/>
            <v:stroke on="f" joinstyle="miter"/>
            <v:imagedata r:id="rId64" o:title=""/>
            <o:lock v:ext="edit" aspectratio="t"/>
            <w10:wrap type="none"/>
            <w10:anchorlock/>
          </v:shape>
          <o:OLEObject Type="Embed" ProgID="Equation.3" ShapeID="_x0000_i1032" DrawAspect="Content" ObjectID="_1468075732" r:id="rId63">
            <o:LockedField>false</o:LockedField>
          </o:OLEObject>
        </w:object>
      </w:r>
    </w:p>
    <w:p>
      <w:pPr>
        <w:keepNext w:val="0"/>
        <w:keepLines w:val="0"/>
        <w:pageBreakBefore w:val="0"/>
        <w:widowControl w:val="0"/>
        <w:tabs>
          <w:tab w:val="left" w:pos="1364"/>
        </w:tabs>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填方量</w:t>
      </w:r>
      <w:r>
        <w:rPr>
          <w:rFonts w:hint="eastAsia" w:ascii="仿宋_GB2312" w:hAnsi="仿宋_GB2312" w:eastAsia="仿宋_GB2312" w:cs="仿宋_GB2312"/>
          <w:color w:val="auto"/>
          <w:kern w:val="32"/>
          <w:position w:val="-14"/>
          <w:sz w:val="28"/>
          <w:szCs w:val="28"/>
        </w:rPr>
        <w:object>
          <v:shape id="_x0000_i1033" o:spt="75" type="#_x0000_t75" style="height:20.25pt;width:110.25pt;" o:ole="t" filled="f" o:preferrelative="t" stroked="f" coordsize="21600,21600">
            <v:path/>
            <v:fill on="f" focussize="0,0"/>
            <v:stroke on="f" joinstyle="miter"/>
            <v:imagedata r:id="rId66" o:title=""/>
            <o:lock v:ext="edit" aspectratio="t"/>
            <w10:wrap type="none"/>
            <w10:anchorlock/>
          </v:shape>
          <o:OLEObject Type="Embed" ProgID="Equation.3" ShapeID="_x0000_i1033" DrawAspect="Content" ObjectID="_1468075733" r:id="rId6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式中：H</w:t>
      </w:r>
      <w:r>
        <w:rPr>
          <w:rFonts w:hint="eastAsia" w:ascii="仿宋_GB2312" w:hAnsi="仿宋_GB2312" w:eastAsia="仿宋_GB2312" w:cs="仿宋_GB2312"/>
          <w:color w:val="auto"/>
          <w:sz w:val="28"/>
          <w:szCs w:val="28"/>
          <w:vertAlign w:val="subscript"/>
        </w:rPr>
        <w:t>x</w:t>
      </w:r>
      <w:r>
        <w:rPr>
          <w:rFonts w:hint="eastAsia" w:ascii="仿宋_GB2312" w:hAnsi="仿宋_GB2312" w:eastAsia="仿宋_GB2312" w:cs="仿宋_GB2312"/>
          <w:color w:val="auto"/>
          <w:sz w:val="28"/>
          <w:szCs w:val="28"/>
        </w:rPr>
        <w:t>为各田块内高于田面平均高程的测点高程；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S</w:t>
      </w:r>
      <w:r>
        <w:rPr>
          <w:rFonts w:hint="eastAsia" w:ascii="仿宋_GB2312" w:hAnsi="仿宋_GB2312" w:eastAsia="仿宋_GB2312" w:cs="仿宋_GB2312"/>
          <w:color w:val="auto"/>
          <w:sz w:val="28"/>
          <w:szCs w:val="28"/>
          <w:vertAlign w:val="subscript"/>
        </w:rPr>
        <w:t>x</w:t>
      </w:r>
      <w:r>
        <w:rPr>
          <w:rFonts w:hint="eastAsia" w:ascii="仿宋_GB2312" w:hAnsi="仿宋_GB2312" w:eastAsia="仿宋_GB2312" w:cs="仿宋_GB2312"/>
          <w:color w:val="auto"/>
          <w:sz w:val="28"/>
          <w:szCs w:val="28"/>
        </w:rPr>
        <w:t>为各田块内高于田面平均高程测点的控制面积；</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w:t>
      </w:r>
      <w:r>
        <w:rPr>
          <w:rFonts w:hint="eastAsia" w:ascii="仿宋_GB2312" w:hAnsi="仿宋_GB2312" w:eastAsia="仿宋_GB2312" w:cs="仿宋_GB2312"/>
          <w:color w:val="auto"/>
          <w:sz w:val="28"/>
          <w:szCs w:val="28"/>
          <w:vertAlign w:val="subscript"/>
        </w:rPr>
        <w:t>y</w:t>
      </w:r>
      <w:r>
        <w:rPr>
          <w:rFonts w:hint="eastAsia" w:ascii="仿宋_GB2312" w:hAnsi="仿宋_GB2312" w:eastAsia="仿宋_GB2312" w:cs="仿宋_GB2312"/>
          <w:color w:val="auto"/>
          <w:sz w:val="28"/>
          <w:szCs w:val="28"/>
        </w:rPr>
        <w:t>为各田块内低于田面平均高程的测点高程；</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S</w:t>
      </w:r>
      <w:r>
        <w:rPr>
          <w:rFonts w:hint="eastAsia" w:ascii="仿宋_GB2312" w:hAnsi="仿宋_GB2312" w:eastAsia="仿宋_GB2312" w:cs="仿宋_GB2312"/>
          <w:color w:val="auto"/>
          <w:sz w:val="28"/>
          <w:szCs w:val="28"/>
          <w:vertAlign w:val="subscript"/>
        </w:rPr>
        <w:t>y</w:t>
      </w:r>
      <w:r>
        <w:rPr>
          <w:rFonts w:hint="eastAsia" w:ascii="仿宋_GB2312" w:hAnsi="仿宋_GB2312" w:eastAsia="仿宋_GB2312" w:cs="仿宋_GB2312"/>
          <w:color w:val="auto"/>
          <w:sz w:val="28"/>
          <w:szCs w:val="28"/>
        </w:rPr>
        <w:t>为各田块内低于田面平均高程测点的控制面积。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经计算，平整区田块面积698亩，土地平整需调入土方0.47万方，调出土方1.45万方，多余土料0.98万方用于平整区内新修机耕道路。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2）田块田面设计高程的确定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土地平整田面设计高程设计考虑到以下几个方面：</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①土地平整田面设计高程主要考虑田块内部土方挖填平衡，通过加权平均法计算确定。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②根据田间灌排要求，对部分田面设计高程进行适当调整 。</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（3）田块设计高程、土地平整土方量确定计算示例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根据项目区地貌特征及土地开发整理标准，规划设计深度至格田，以格田为土地平整单元确定设计高程与土方量。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（4）表土剥离回填</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为了保护项目区内土壤耕作层表土，规划对项目区内的表土进行剥离。表土剥离的具体设计为：</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对原有耕地才进行表土剥离回填，而原有非耕地（如荒草地）无须进行表土剥离回填。</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对于平均挖填厚度≤30cm的耕作田块不做表土剥离回填，挖填厚度＞30cm的耕作田块需做表土剥离回填。</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土壤表土层剥离回填厚度设计为30cm。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（5）田埂设计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田埂是相邻田块的分界限，田埂高度与田面宽度和地面坡度等因素有关，田埂太高，不但修筑困难，费工费时，而且容易损坏崩塌。因而要根据土质、坡度和方便耕作等条件来确定。田埂外坡越缓，安全稳定性越好，但占地和用工量增大；反之田埂外坡较陡，占地和用工量减小，但安全稳定性较差。因此田埂边坡的确定，以能使田埂稳定而又少占耕地为原则。结合考虑项目区实际情况，本次设计田埂采用土田埂，顶宽0.3m，边坡0.5m，高0.3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）其他工程设计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土地平整区域田间渠道采用砼梯形现浇断面形式，排渠采用浆砌块石重力式结构，根据实际需要布设人行桥及过路涵管，人行桥宽1.5m，厚0.12m，采用C25钢筋砼桥面板，过路涵管采用直径0.3m的预制钢筋砼圆涵，采用180°包角C20砼管座。</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4" w:name="_Toc45723036"/>
      <w:r>
        <w:rPr>
          <w:rFonts w:hint="eastAsia" w:ascii="黑体" w:hAnsi="黑体" w:eastAsia="黑体" w:cs="黑体"/>
          <w:b w:val="0"/>
          <w:bCs w:val="0"/>
          <w:color w:val="auto"/>
          <w:kern w:val="2"/>
          <w:sz w:val="28"/>
          <w:szCs w:val="28"/>
          <w:lang w:val="en-US" w:eastAsia="zh-CN" w:bidi="ar-SA"/>
        </w:rPr>
        <w:t>土壤改良工程</w:t>
      </w:r>
      <w:bookmarkEnd w:id="74"/>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耕地地力和质量评价标准的关键指标主要包括耕作层的厚度、土壤理化性状和土壤有机质含量三大指标。本项目拟定的土壤改良措施以上述三大关键指标的改良目标值为目标，依据项目区土壤耕地地力调查成果，将土壤现状指标值和改良目标值进行对比，最终确定改良措施。</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根据XX县土肥站提供的耕地地力基础数据，项目区耕作层厚度达到了20cm，满足土壤质量改良目标值，但要积极引导项目区农户做好农田春季机耕作业，深翻深松，保持耕作层厚度；但项目区土壤存在明显潜育层，局部区域的农田甚至出现全层强度潜育情况，因此，项目区改良措施主要是解决农田排水深度，降低农田地下水位，本次设计土壤改良目标值将地下水位降低到耕作层底层以下30-50cm，确保稻田20cm耕作层的有氧呼吸。为达到治理该类渍涝潜育土壤采取的工程措施是排水工程设计，对主要骨干排渠进行清淤和护坡，减少边坡水土流失导致的淤塞，降低农田地下水位，排除多余的土壤水和地表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将项目区土壤理化性状作为重要改良指标，耕作层是有生命的结构体，团粒结构是维持土壤生命的骨架。因此，本次项目区灌溉排水工程设计目标要达到排灌分家和排灌自如，重点解决项目区排涝排渍问题，以及满足作物生长期“干干湿湿”和水旱轮作、水旱套作的灌溉需要，促进土壤团粒结构的形成。</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根据XX县土肥站提供的耕地地力基础数据，查《XX县耕地土壤酸碱度图》，项目区的土壤PH值在5～7之间占80%，属中酸性土壤；项目区耕地地力五级以下占将近一半。本次项目设计采取撒生石灰提高土壤PH改良土壤；施用商品有机肥、引导和鼓励农民施用农家肥、秸杆还田、种植绿肥、种植肥用油菜等措施提升耕地地力。</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根据XX县土肥站提供的土壤重金属分析测试成果，项目区土壤镉平均含量0.3mg/kg，低于农用地土壤污染管控值，不需要专项治理，可在平常生产中选用降镉水稻品种、合理进行水分调控、改进耕种措施等方案降镉，本次设计的土壤改良措施施用生石灰、种植绿肥、深耕等也兼具较好的降镉效果。</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结合农村环境整治，与村落较近的田块，设置“氹肥坑”，方便农民垃圾分级利用。项目区建设配合乡村观光旅游，大力发展观赏性冬春两季绿肥种植，双子叶的油菜、红花草含氮较高，既增加了土壤的肥力供给，又让高标准农田成为镶嵌在乡村大地上的农耕锦绣。</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土壤改良面积1.96万亩，本次项目设计采取的措施有：1、撒生石灰（45kg/亩）提高土壤PH改良土壤；2、按150kg/亩施用商品有机肥提高耕地有机质含量；3、种植绿肥提升耕地地力；4、深翻深松增强土壤通气性。</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其中撒生石灰改良0.29万亩，施用商品有机肥0.1万亩，种植绿肥0.88万亩，深耕土壤0.7万亩。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5" w:name="_Toc45723037"/>
      <w:r>
        <w:rPr>
          <w:rFonts w:hint="eastAsia" w:ascii="黑体" w:hAnsi="黑体" w:eastAsia="黑体" w:cs="黑体"/>
          <w:b w:val="0"/>
          <w:bCs w:val="0"/>
          <w:color w:val="auto"/>
          <w:kern w:val="2"/>
          <w:sz w:val="28"/>
          <w:szCs w:val="28"/>
          <w:lang w:val="en-US" w:eastAsia="zh-CN" w:bidi="ar-SA"/>
        </w:rPr>
        <w:t>水源工程设计</w:t>
      </w:r>
      <w:bookmarkEnd w:id="75"/>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堰塘改造</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设计改造的堰塘多由人工填筑而成，清基不到位，坝体填筑质量差，未采取任何加固措施。通过几十年的运行，存在塘坝渗漏、输水涵管渗漏、卧管断裂、溢洪道不能安全泄洪等问题。堰塘改造方案有：①上游防渗护砌；②下游培坡、导渗；③溢洪道改造；④输水涵管、卧管拆除重做；⑤增设台阶；⑥清淤等。本次整修加固针对不同病险堰塘采用其中一种或几种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（1）上游防渗护砌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山塘防渗护砌：先清理原坝堤表面灌木及腐殖土，内坡面开挖成0.3m×0.3m台阶，然后回填粘土防渗斜墙。机械进退错距法碾压的工作面宽要求在3.0m以上，故防渗斜墙厚度应不小于3.0m宽，齿墙深1.5m，坡比采用1:2.0；坡面整平后铺设FS-1型两布一膜复合防渗土工膜，坡面防浪采用预制砼连锁扣砌块，铺砌前在土工膜上铺6cm厚M7.5干拌水泥砂浆找平，边找平边铺砌。护坡体顶部衬砌至正常蓄水位，以上采用草皮护坡。连锁扣砌块底预先浇筑一条0.4m×0.6m（宽×高）C20砼防滑墩，压顶用0.15m厚C20砼现浇卡式压顶，压顶和防滑墩砼每5m设置伸缩缝一条，采用沥青杉板嵌缝。土工膜应植入压顶砼和防滑墩砼内。坡面两端设0.2m×0.3m现浇砼封边。</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平塘护岸：先清理原坝堤表面灌木及腐殖土，然后开挖齿槽，回填粘土并机械碾压至塘底高程；内坡护岸采用M7.5水泥砂浆砌块石挡土墙，挡墙内坡1：0.4，墙背填土采用人工压实。正常蓄水位以上采用草皮护坡。浆砌石护岸主要用于平塘或堤顶为砼道路的情况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（2）下游培坡、导渗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下游按1：2削坡，现状坡比陡于1：2的塘堤采用透水性好的土料培厚下游坡，坡面植草皮，坡脚设简单干砌石导滤体。填平补齐项目一般不处理外坡。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（3）溢洪道衬砌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复核溢洪道过流能力，根据设计下泄流量确定泄水道宽度和侧墙高度，采用现浇C25砼衬砌。消力池宽度与泄槽段一致，消力池底板通过计算确定，最小为0.3m，现浇C25砼衬砌。泄水道陡坡段底板与消力池底板之间设置伸缩缝，嵌缝材料采用沥青杉板，设橡皮止水带止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（4）输水涵管、卧管拆除重做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原涵管位置开挖，清除已损坏的原涵管，更换钢筋砼预制涵管及进水口改造，涵管采用φ300mm的承插式预制砼管，并设置C20砼管座，管座包角180°，厚度为110mm，涵管外壁靠上游端设二道截水环。原卧管处开挖齿槽，清除已损坏的原卧管，更换预先粘贴好的φ160mmPE管，卧管采用C20砼包裹，包裹层最薄处厚度不小于0.1m，顶部设C20砼放水平台，平台宽0.6m，高0.4m，φ110mmPE放水管位于平台中央，下端连接卧管。卧管和涵管用消力井连接，消力井采用C20钢筋砼现浇1.2m×1.0m×1.5m×0.2m（长×宽×高×厚）空腹式砼结构。</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（5）台阶：选择塘坝上游合适处设置台阶，台阶坡比为1:2.0，采用现浇C20砼成型，单级台阶高0.15m，横向宽1.8m，纵向宽0.3m，两侧设置0.2m厚台阶缘石。</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（6）坝顶：复核坝顶安全超高，坝顶宽度4.0m，盖面3.0m宽，材料采用0.1m厚泥结碎石，两侧0.5m宽植草皮。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（7）清淤：对于淤积严重，群众有要求的堰塘清淤0.4～1.0m左右，淤泥的透水系数低，淤泥不全部清除防止清淤后导致的渗漏。对于堰塘清淤产生的淤泥在翻晒晾干后，用于村庄低洼地带的回填。</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整修堰塘加固方案详见表6.5-1。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sectPr>
          <w:headerReference r:id="rId19"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center"/>
        <w:textAlignment w:val="auto"/>
        <w:rPr>
          <w:rFonts w:hint="default" w:ascii="Times New Roman" w:hAnsi="Times New Roman" w:eastAsia="黑体" w:cs="Times New Roman"/>
          <w:b w:val="0"/>
          <w:bCs/>
          <w:color w:val="auto"/>
          <w:kern w:val="32"/>
          <w:sz w:val="28"/>
          <w:szCs w:val="28"/>
          <w:lang w:val="en-US" w:eastAsia="zh-CN" w:bidi="ar-SA"/>
        </w:rPr>
      </w:pPr>
      <w:r>
        <w:rPr>
          <w:rFonts w:hint="default" w:ascii="Times New Roman" w:hAnsi="Times New Roman" w:eastAsia="黑体" w:cs="Times New Roman"/>
          <w:b w:val="0"/>
          <w:bCs/>
          <w:color w:val="auto"/>
          <w:kern w:val="32"/>
          <w:sz w:val="28"/>
          <w:szCs w:val="28"/>
          <w:lang w:val="en-US" w:eastAsia="zh-CN" w:bidi="ar-SA"/>
        </w:rPr>
        <w:t>表6.5-1主要病险山塘情况及处理措施表</w:t>
      </w:r>
    </w:p>
    <w:tbl>
      <w:tblPr>
        <w:tblStyle w:val="14"/>
        <w:tblW w:w="14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0"/>
        <w:gridCol w:w="935"/>
        <w:gridCol w:w="1277"/>
        <w:gridCol w:w="991"/>
        <w:gridCol w:w="993"/>
        <w:gridCol w:w="1134"/>
        <w:gridCol w:w="993"/>
        <w:gridCol w:w="991"/>
        <w:gridCol w:w="853"/>
        <w:gridCol w:w="1274"/>
        <w:gridCol w:w="3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78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序号</w:t>
            </w:r>
          </w:p>
        </w:tc>
        <w:tc>
          <w:tcPr>
            <w:tcW w:w="2212"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建设地点</w:t>
            </w:r>
          </w:p>
        </w:tc>
        <w:tc>
          <w:tcPr>
            <w:tcW w:w="198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山塘编号及名称</w:t>
            </w:r>
          </w:p>
        </w:tc>
        <w:tc>
          <w:tcPr>
            <w:tcW w:w="397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堰塘特性</w:t>
            </w:r>
          </w:p>
        </w:tc>
        <w:tc>
          <w:tcPr>
            <w:tcW w:w="12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存在问题</w:t>
            </w:r>
          </w:p>
        </w:tc>
        <w:tc>
          <w:tcPr>
            <w:tcW w:w="381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处理措施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78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2212"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198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名称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集雨面积(km2)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灌溉面积(亩)</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坝轴线长(m)</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坝高</w:t>
            </w:r>
            <w:r>
              <w:rPr>
                <w:rFonts w:hint="eastAsia" w:ascii="仿宋_GB2312" w:hAnsi="仿宋_GB2312" w:eastAsia="仿宋_GB2312" w:cs="仿宋_GB2312"/>
                <w:color w:val="auto"/>
                <w:sz w:val="20"/>
                <w:szCs w:val="20"/>
              </w:rPr>
              <w:br w:type="textWrapping"/>
            </w:r>
            <w:r>
              <w:rPr>
                <w:rFonts w:hint="eastAsia" w:ascii="仿宋_GB2312" w:hAnsi="仿宋_GB2312" w:eastAsia="仿宋_GB2312" w:cs="仿宋_GB2312"/>
                <w:color w:val="auto"/>
                <w:sz w:val="20"/>
                <w:szCs w:val="20"/>
              </w:rPr>
              <w:t>(m)</w:t>
            </w:r>
          </w:p>
        </w:tc>
        <w:tc>
          <w:tcPr>
            <w:tcW w:w="12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p>
        </w:tc>
        <w:tc>
          <w:tcPr>
            <w:tcW w:w="38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XX村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复兴7组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黄土堰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14.40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39.28</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堰体渗漏，边坡崩塌</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东西两向沿路边段内坡夯填土、浆砌石护岸。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XX村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复兴坪6组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文渣堰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21.90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内坡夯填土、自嵌块护坡，外坡削坡成形、植草皮、设排水棱体，泥结石堤顶宽3.0m，新建φ500泄洪涵管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XX村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复兴坪3组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28.14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45.20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2.81</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内坡削坡夯填土、自嵌块护坡，外坡培厚植草皮、设排水棱体，泥结石堤顶宽3.0m，新建φ500泄洪涵管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XX村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复兴坪2组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下陈家堰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39.90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61.84</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2.15</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淤积，堰体渗漏，泄洪涵管和坝高不达标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清淤、上下两座堰合并，内坡削坡夯填土、自嵌块护坡，外坡培厚植草皮、设排水棱体，堰体加高、泥结石堤顶宽3.0m，新建φ500泄洪涵管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双堰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81.30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清淤，内坡夯填土、浆砌石护岸。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李家7组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木子堰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23.48</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227.40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淤积，岸坡崩塌</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清淤，四向浆砌石护岸，新修φ500涵管进出口八字墙4处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李家7组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EK07</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荷花堰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25.50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95.10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淤积，堰体渗漏，岸坡崩塌，无溢洪道</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清淤，堰体内坡夯填土，四向浆砌石护岸，外坡植草皮、设排水棱体，泥结石堤顶宽3.0m，新建φ400泄洪涵管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EK08</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54.00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71.60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3.14</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堰体渗漏，外坡较陡，泄洪涵管不达标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内坡夯填土、自嵌块护坡，外坡削坡成形、植草皮、设排水棱体，泥结石堤顶宽4.0m，新建φ500泄洪涵管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马家6组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EK09</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吴家堰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42.10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61.20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3.01</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堰体渗漏，外坡较陡，泄洪涵管不达标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砍杂，内坡夯填土、自嵌块护坡，外坡削坡成形、植草皮、设排水棱体，泥结石堤顶宽3.0m，新建φ500泄洪涵管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EK10</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李家堰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64.88</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94.30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2.84</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堰体已衬砌、渗漏，溢洪道和坝高不达标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拆除原护坡砼、内坡夯填土、自嵌块护坡，堰顶加高、泥结石堤顶宽3.0m，新建现浇砼溢洪道，外坡植草皮、设排水棱体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南堰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114.52</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81.60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5.99</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新筑堰体渗漏，溢洪道不达标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内坡挖除部分堰体后夯填土、自嵌块护坡，外坡植草皮、设排水棱体，堰体加高1.2m，泥结石堤顶宽3.0m，改造现有溢洪道为现浇砼结构。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马家5组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115.90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堰体渗漏，堰顶已硬化</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内坡夯填土防渗、浆砌石护岸，外坡植草皮、设排水棱体，泄洪涵管进出口改造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新堰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177.01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94.20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堰体渗漏，无溢洪道，底涵渗漏</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辟谷塘</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109.60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堰体渗漏，无溢洪道，底涵堵塞</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砍杂、内坡夯填土、自嵌块护坡，外坡植草皮、设排水棱体，泥结碎石堤顶宽3m,新建φ500泄洪涵管，改建φ300底涵，新修临时施工道路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8"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杨堰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0.07</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85.80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87.00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淤积，堰体渗漏，无溢洪道</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清淤，内坡夯填土、自嵌块护坡，外坡植草皮、设排水棱体，泥结石堤顶宽3.0m，新建φ400泄洪涵管2处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上士堰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74.70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118.20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4.21</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新筑堰体渗漏，泄洪设施不完善</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内坡削坡夯填土、自嵌块护坡，外坡植草皮、设排水棱体、二级平台，泥结石堤顶宽3.0m，新建溢洪道。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EK17</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王家大堰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42.90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63.20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2.76</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砍杂、清淤，内坡夯填土、自嵌块护坡，外坡培厚植草皮、设排水棱体，泥结石堤顶宽3.0m，新建φ500泄洪涵管。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EK18</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关堰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50.80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108.00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5.50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EK19</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毛公堰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77.00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堰体渗漏，溢洪道需改造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堰体拆除南移20m、自嵌块护坡，外坡植草皮、设排水棱体，泥结石堤顶宽3.0m，新建现浇砼溢洪道。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EK20</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长堰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26.90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92.00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1.93</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新建堰体渗漏，泄洪涵管需改造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北向削坡、夯填土、自嵌块护坡，外坡植草皮、设排水棱体，南向削坡、植草皮，泥结石堤顶宽3.0m，新建φ500泄洪涵管，新修施工便道55m。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荷花堰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81.00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264.60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2.04</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堰体渗漏，溢洪道需改造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东向夯填土、浆砌石护岸，环堰新修泥结石机耕道宽3.0m，外坡植草皮、设排水棱体，改造现有溢洪道。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新堰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55.10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堰体渗漏，中涵、泄洪涵管需改造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砍杂，内坡夯填土、自嵌块护坡，外坡培厚植草皮、设排水棱体，泥结石堤顶宽3.0m，新建φ300中涵、φ500泄洪涵管。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上河堰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75.00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66.80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8"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朱家塅</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64.70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110.00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1.68</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堰体渗漏，泄洪道需改造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砍杂，南向内坡夯填土、自嵌块护坡，外坡植草皮、设排水棱体，泥结石堤顶宽3.0m，改造现有溢洪道。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8"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清泉村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黎家堰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32.27</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44.20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2.33</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砍杂，东、南向内坡夯填土、自嵌块护坡，外坡植草皮、设排水棱体，泥结石堤顶宽3.0m，新建φ500泄洪涵管。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黄林堰19组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下堰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93.40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72.00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2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黄林堰18组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EK27</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新堰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77.00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堰体渗漏、塌方，泄洪涵管不达标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EK28</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下湾堰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83.48</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76.30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砍杂，堰体下移扩容、自嵌块护坡，外坡植草皮、设排水棱体，泥结石堤顶宽3.0m，新建φ500泄洪涵管，新修施工便道。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EK29</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75.50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1.84</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EK30</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63.00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3.75</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内坡削坡夯填土、自嵌块护坡，外坡培厚植草皮、设排水棱体，泥结石堤顶宽4.0m，新建φ500泄洪涵管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王家大堰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55.48</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96.50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3.29</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堰体渗漏，外坡较陡、泄洪涵管不达标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内坡夯填土、自嵌块护坡，外坡培厚植草皮、设排水棱体，泥结石堤顶宽3.0m，新建φ500泄洪涵管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黄林堰20组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戴家堰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32.03</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99.50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堰体渗漏，无溢洪道</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33</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黄林堰15组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徐家堰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101.20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92.00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内坡夯填土、自嵌块护坡，外坡植草皮、设排水棱体，泥结石堤顶宽4.0m，新建φ500泄洪涵管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黄林堰12组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王家堰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74.70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64.00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2.78</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内坡夯填土、自嵌块护坡，外坡植草皮、设排水棱体，堰体加高0.6m，泥结石堤顶宽3.0m，新建φ500泄洪涵管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黄林堰13组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中堰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24.60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2.38</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唐家堰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38.00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158.60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堰体渗漏，堰顶已硬化</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内坡夯填土防渗、浆砌石护岸，外坡植草皮、设排水棱体，泄洪涵管进出口改造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黄林堰14组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EK37</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韩家堰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36.06</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60.00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3.67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38</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EK38</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鲁家大堰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46.00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56.90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EK39</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贾家大堰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47.55</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62.90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2.61</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40</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EK40</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李坪堰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106.00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91.00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1.93</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内坡夯填土、浆砌石护岸，新建泄洪涵管进出口。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41</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五斗丘大堰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84.65</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63.70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堰体渗漏，溢洪道需改造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内坡夯填土、自嵌块护坡，外坡植草皮、设排水棱体，泥结石堤顶宽3.0m，改造溢洪道。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水库堰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87.26</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80.40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43</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康家堰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67.48</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52.80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2.79</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砍杂，南向夯填土、浆砌石护岸，外坡植草皮、设排水棱体，泄洪涵管进出口改造。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鲁家大堰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49.71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98.50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内坡夯填土、自嵌块护坡，外坡植草皮、设排水棱体，泥结石堤顶宽4.0m，新建φ500泄洪涵管。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45</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关儿堰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30.50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63.84</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内坡夯填土、浆砌石护岸，外坡植草皮、设排水棱体。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马家大堰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45.60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2.43</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EK47</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胡家大堰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70.00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63.60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内坡夯填土、自嵌块护坡，外坡植草皮、设排水棱体，泥结石堤顶宽3.0m，新建φ500泄洪涵管。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48</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EK48</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长堰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80.20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202.00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村道边崩塌</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南向夯填土、浆砌石护岸，放水涵进出口改造4处。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EK49</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棉花堰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35.14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85.00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砍杂，南向夯填土、浆砌石护岸，外坡植草皮、设排水棱体，泥结石堤顶宽3.0m。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平整区</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EK50</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曲堰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408.60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内坡夯填土防渗、四周浆砌石护岸。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51</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上荷堰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86.70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83.00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淤积，堰体渗漏，底涵、溢洪道需改造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砍杂、清淤，南向夯填土、自嵌块护坡，外坡植草皮、设排水棱体，泥结石堤顶宽3.0m，改造卧管底涵、溢洪道。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下荷堰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46.44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66.00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3.02</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砍杂，内坡夯填土、自嵌块护坡，外坡植草皮、设排水棱体，泥结石堤顶宽3.0m，改造φ500泄洪涵管。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53</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清化驿村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金泉2组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张家湾堰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10.11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46.30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清化驿村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高家堰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10.42</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44.00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内坡夯填土防渗、浆砌石护岸，新建φ500泄洪涵管。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55</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清化驿村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草堰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43.00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堰体渗漏，无泄洪涵管</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柏林村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门口堰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159.00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堰体渗漏，岸坡崩塌</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内坡夯填土防渗、浆砌石护岸，另三向削坡、植草皮，泄洪涵管进出口改造。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临东村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EK57</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中堰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129.00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62.10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堰体渗漏，堰顶已硬化</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内坡夯填土防渗、浆砌石护岸，泄洪涵管进出口改造。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58</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药山村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EK58</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杨家堰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65.00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堰体已衬砌、渗漏，泄洪涵管不达标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拆除原护坡砼、内坡夯填土、自嵌块护坡，泥结石堤顶宽3.0m，新建φ500泄洪涵管，外坡植草皮、设排水棱体，施工便道200m。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临东村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EK59</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孟家堰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49.70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116.40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淤积，岸坡崩塌</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砍杂、清淤，四向浆砌石护岸，新建φ500泄洪涵管。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60</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建国村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EK60</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幺堰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68.90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3.27</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堰体渗漏，底涵、泄洪涵管需改造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内坡夯填土、自嵌块护坡，堰体加高0.7m，泥结石堤顶宽4.0m，新建φ500泄洪涵管，新建卧管及φ300底涵。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61</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双马村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EK61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合家湾堰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11.20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95.00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清淤，原堰体拆除，下游新建堰体、自嵌块护坡，泥结石堤顶宽3.0m，新建φ500泄洪涵管。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花桥村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二片2组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EK62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下边堰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45.00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114.70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3.12</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砍杂、清淤，东向夯填土、自嵌块护坡，西、北向削坡、草皮护坡，新建φ500泄洪涵管。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63</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灵泉镇</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癸花</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EK63</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王家塅</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53.50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2.22</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堰体渗漏，溢洪道不达标</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内坡夯填土、自嵌块护坡，泥结石堤顶宽3.0m，新修溢洪道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万家村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16组</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EK64</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朋四堰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80.27</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74.90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3.14</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内坡夯填土、自嵌块护坡，泥结石堤顶宽3.0m，新建φ500泄洪涵管。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65</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丝绸社区</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EK65</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苍头堰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0.01</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75.40</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161.80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2.40</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淤积，堰体渗漏，泄洪涵管需改造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东、北向削坡、夯填土防渗、浆砌石护岸，改造出水涵，新建φ500泄洪涵管，施工便道350m。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大关山村</w:t>
            </w:r>
          </w:p>
        </w:tc>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EK66</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大关山堰</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堰体渗漏，溢洪道需改造</w:t>
            </w:r>
          </w:p>
        </w:tc>
        <w:tc>
          <w:tcPr>
            <w:tcW w:w="38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下游3、4#堰合并，4#堰体防渗内坡夯填土、自嵌块护坡，环堰新建机耕道路，增加溢洪道</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ascii="Times New Roman" w:hAnsi="宋体" w:eastAsia="黑体" w:cs="Times New Roman"/>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jc w:val="both"/>
        <w:rPr>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泵站改造</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袁家塅泵站位于毛家岗村，设计灌溉面积300亩，从进水、提水到出水段目前已经损毁，出水池及电灌渠质量尚好，可以利用，本次设计拟改造进水口和前池，新建泵房，购置水泵电机，真空泵，配套动力设备及入户动力电缆；更新进、出水钢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（1）设计流量计算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本电灌站设计灌田300亩，按90%灌溉保证率计算。灌溉最大需水量在晚稻的泡田期，每亩田需水80m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，泡田期为10天。流量计算公式为：</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object>
          <v:shape id="_x0000_i1034" o:spt="75" type="#_x0000_t75" style="height:32.25pt;width:67.5pt;" o:ole="t" filled="f" o:preferrelative="t" stroked="f" coordsize="21600,21600">
            <v:path/>
            <v:fill on="f" focussize="0,0"/>
            <v:stroke on="f" joinstyle="miter"/>
            <v:imagedata r:id="rId68" o:title=""/>
            <o:lock v:ext="edit" aspectratio="t"/>
            <w10:wrap type="none"/>
            <w10:anchorlock/>
          </v:shape>
          <o:OLEObject Type="Embed" ProgID="Equation.DSMT4" ShapeID="_x0000_i1034" DrawAspect="Content" ObjectID="_1468075734" r:id="rId6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其中Q—流量（m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m—第次灌水量，m=80m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A—灌田面积，300亩。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T—泡田期时间，取10天。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t—每昼夜抽水时间，取22小时。</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η—灌溉水利用系数，电灌站取0.85。</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计算得出：袁家塅电灌站灌溉流量Q=0.028m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/s（Q=100m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/h）。</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（2）扬程的确定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经过实地勘测和1/500地形图测量，水泵站进水设计水位44.70m，出水池设计水位59.8m，净扬程15.1m。水头损失按净扬程的20%估算得出H损=3.02m，设计总扬程：H=15.1+3.02=18.12m。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（3）泵型选择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根据流量及扬程，选择泵型，在泵型选择中，考虑现有配电、电气及主电缆等使用情况，为节省投资，所选泵型应与配电、电气及主电缆相配套，根据配套功率和转速要求，本泵选用自带配套电机，详见表6.5-2。</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default" w:ascii="Times New Roman" w:hAnsi="Times New Roman" w:eastAsia="黑体" w:cs="Times New Roman"/>
          <w:b w:val="0"/>
          <w:bCs/>
          <w:color w:val="auto"/>
          <w:kern w:val="32"/>
          <w:sz w:val="28"/>
          <w:szCs w:val="28"/>
          <w:lang w:val="en-US" w:eastAsia="en-US" w:bidi="ar-SA"/>
        </w:rPr>
      </w:pPr>
      <w:r>
        <w:rPr>
          <w:rFonts w:hint="default" w:ascii="Times New Roman" w:hAnsi="Times New Roman" w:eastAsia="黑体" w:cs="Times New Roman"/>
          <w:b w:val="0"/>
          <w:bCs/>
          <w:color w:val="auto"/>
          <w:kern w:val="32"/>
          <w:sz w:val="28"/>
          <w:szCs w:val="28"/>
          <w:lang w:val="en-US" w:eastAsia="en-US" w:bidi="ar-SA"/>
        </w:rPr>
        <w:t>表6.5</w:t>
      </w:r>
      <w:r>
        <w:rPr>
          <w:rFonts w:hint="default" w:ascii="Times New Roman" w:hAnsi="Times New Roman" w:eastAsia="黑体" w:cs="Times New Roman"/>
          <w:b w:val="0"/>
          <w:bCs/>
          <w:color w:val="auto"/>
          <w:kern w:val="32"/>
          <w:sz w:val="28"/>
          <w:szCs w:val="28"/>
          <w:lang w:val="en-US" w:eastAsia="zh-CN" w:bidi="ar-SA"/>
        </w:rPr>
        <w:t>-</w:t>
      </w:r>
      <w:r>
        <w:rPr>
          <w:rFonts w:hint="default" w:ascii="Times New Roman" w:hAnsi="Times New Roman" w:eastAsia="黑体" w:cs="Times New Roman"/>
          <w:b w:val="0"/>
          <w:bCs/>
          <w:color w:val="auto"/>
          <w:kern w:val="32"/>
          <w:sz w:val="28"/>
          <w:szCs w:val="28"/>
          <w:lang w:val="en-US" w:eastAsia="en-US" w:bidi="ar-SA"/>
        </w:rPr>
        <w:t>2  水泵性能参数</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14"/>
        <w:gridCol w:w="1421"/>
        <w:gridCol w:w="766"/>
        <w:gridCol w:w="766"/>
        <w:gridCol w:w="638"/>
        <w:gridCol w:w="638"/>
        <w:gridCol w:w="1023"/>
        <w:gridCol w:w="1014"/>
        <w:gridCol w:w="10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0" w:hRule="atLeast"/>
          <w:jc w:val="center"/>
        </w:trPr>
        <w:tc>
          <w:tcPr>
            <w:tcW w:w="17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泵站名称</w:t>
            </w:r>
          </w:p>
        </w:tc>
        <w:tc>
          <w:tcPr>
            <w:tcW w:w="14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型  号</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转数</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r/min</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流量</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m3/h</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扬程</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m</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效率</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η</w:t>
            </w:r>
          </w:p>
        </w:tc>
        <w:tc>
          <w:tcPr>
            <w:tcW w:w="10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配套功率kw</w:t>
            </w:r>
          </w:p>
        </w:tc>
        <w:tc>
          <w:tcPr>
            <w:tcW w:w="10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进口口径mm</w:t>
            </w:r>
          </w:p>
        </w:tc>
        <w:tc>
          <w:tcPr>
            <w:tcW w:w="10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出口口径mm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70" w:hRule="atLeast"/>
          <w:jc w:val="center"/>
        </w:trPr>
        <w:tc>
          <w:tcPr>
            <w:tcW w:w="17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袁家塅电灌站</w:t>
            </w:r>
          </w:p>
        </w:tc>
        <w:tc>
          <w:tcPr>
            <w:tcW w:w="14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100-80-125</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2980</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w:t>
            </w:r>
          </w:p>
        </w:tc>
        <w:tc>
          <w:tcPr>
            <w:tcW w:w="10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10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10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both"/>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（4）吸水管管径的确定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根据《泵站设计规范》，离心泵或小口径轴流泵、混流泵的进水管道设计流速宜取1.5～2.0m/s，出水管道设计流速宜取2.0～3.0m/s。进水管径根据所选泵型确定，压力管管径计算采用经济流速法，公式如下：</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1"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object>
          <v:shape id="_x0000_i1035" o:spt="75" type="#_x0000_t75" style="height:34.5pt;width:73.5pt;" o:ole="t" filled="f" o:preferrelative="t" stroked="f" coordsize="21600,21600">
            <v:path/>
            <v:fill on="f" focussize="0,0"/>
            <v:stroke on="f" joinstyle="miter"/>
            <v:imagedata r:id="rId70" o:title=""/>
            <o:lock v:ext="edit" aspectratio="t"/>
            <w10:wrap type="none"/>
            <w10:anchorlock/>
          </v:shape>
          <o:OLEObject Type="Embed" ProgID="Equation.DSMT4" ShapeID="_x0000_i1035" DrawAspect="Content" ObjectID="_1468075735" r:id="rId6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式中：D—管径(mm)；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Q—设计流量，m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/h；</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v—经济流速，取2.5m/s；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经计算得管道内径D=100.01mm，设计采用无缝钢管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（5）水泵安装高程确定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水泵安装高程按下式确定：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Za=Zs+[Hs]—10.09+Pa/r—Pv/r—hw</w:t>
      </w:r>
      <w:r>
        <w:rPr>
          <w:rFonts w:hint="eastAsia" w:ascii="仿宋_GB2312" w:hAnsi="仿宋_GB2312" w:eastAsia="仿宋_GB2312" w:cs="仿宋_GB2312"/>
          <w:color w:val="auto"/>
          <w:sz w:val="28"/>
          <w:szCs w:val="28"/>
          <w:vertAlign w:val="subscript"/>
        </w:rPr>
        <w:t>1</w:t>
      </w:r>
      <w:r>
        <w:rPr>
          <w:rFonts w:hint="eastAsia" w:ascii="仿宋_GB2312" w:hAnsi="仿宋_GB2312" w:eastAsia="仿宋_GB2312" w:cs="仿宋_GB2312"/>
          <w:color w:val="auto"/>
          <w:sz w:val="28"/>
          <w:szCs w:val="28"/>
        </w:rPr>
        <w:t>—v</w:t>
      </w:r>
      <w:r>
        <w:rPr>
          <w:rFonts w:hint="eastAsia" w:ascii="仿宋_GB2312" w:hAnsi="仿宋_GB2312" w:eastAsia="仿宋_GB2312" w:cs="仿宋_GB2312"/>
          <w:color w:val="auto"/>
          <w:sz w:val="28"/>
          <w:szCs w:val="28"/>
          <w:vertAlign w:val="subscript"/>
        </w:rPr>
        <w:t>1</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/2g</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1"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drawing>
          <wp:inline distT="0" distB="0" distL="0" distR="0">
            <wp:extent cx="1546860" cy="418465"/>
            <wp:effectExtent l="0" t="0" r="0" b="63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71" cstate="print">
                      <a:extLst>
                        <a:ext uri="{28A0092B-C50C-407E-A947-70E740481C1C}">
                          <a14:useLocalDpi xmlns:a14="http://schemas.microsoft.com/office/drawing/2010/main" val="false"/>
                        </a:ext>
                      </a:extLst>
                    </a:blip>
                    <a:srcRect/>
                    <a:stretch>
                      <a:fillRect/>
                    </a:stretch>
                  </pic:blipFill>
                  <pic:spPr>
                    <a:xfrm>
                      <a:off x="0" y="0"/>
                      <a:ext cx="1546860" cy="4184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式中：Za——水泵安装高程（m）；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Zs——进水池最低水位（m）；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[Hs]——允许吸上真空高度（m）；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drawing>
          <wp:inline distT="0" distB="0" distL="0" distR="0">
            <wp:extent cx="301625" cy="213995"/>
            <wp:effectExtent l="0" t="0" r="3175" b="1460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72" cstate="print">
                      <a:extLst>
                        <a:ext uri="{28A0092B-C50C-407E-A947-70E740481C1C}">
                          <a14:useLocalDpi xmlns:a14="http://schemas.microsoft.com/office/drawing/2010/main" val="false"/>
                        </a:ext>
                      </a:extLst>
                    </a:blip>
                    <a:srcRect/>
                    <a:stretch>
                      <a:fillRect/>
                    </a:stretch>
                  </pic:blipFill>
                  <pic:spPr>
                    <a:xfrm>
                      <a:off x="0" y="0"/>
                      <a:ext cx="301625" cy="213995"/>
                    </a:xfrm>
                    <a:prstGeom prst="rect">
                      <a:avLst/>
                    </a:prstGeom>
                    <a:noFill/>
                    <a:ln>
                      <a:noFill/>
                    </a:ln>
                  </pic:spPr>
                </pic:pic>
              </a:graphicData>
            </a:graphic>
          </wp:inline>
        </w:drawing>
      </w:r>
      <w:r>
        <w:rPr>
          <w:rFonts w:hint="eastAsia" w:ascii="仿宋_GB2312" w:hAnsi="仿宋_GB2312" w:eastAsia="仿宋_GB2312" w:cs="仿宋_GB2312"/>
          <w:color w:val="auto"/>
          <w:sz w:val="28"/>
          <w:szCs w:val="28"/>
        </w:rPr>
        <w:t>——允许汽蚀余量（m）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Pa/r ——不同海拔处的大气压力水头（m），见表6.5-3</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Pv/r ——不同水温时的汽化压力水头（m），见表6.5-4</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hw</w:t>
      </w:r>
      <w:r>
        <w:rPr>
          <w:rFonts w:hint="eastAsia" w:ascii="仿宋_GB2312" w:hAnsi="仿宋_GB2312" w:eastAsia="仿宋_GB2312" w:cs="仿宋_GB2312"/>
          <w:color w:val="auto"/>
          <w:sz w:val="28"/>
          <w:szCs w:val="28"/>
          <w:vertAlign w:val="subscript"/>
        </w:rPr>
        <w:t>1</w:t>
      </w:r>
      <w:r>
        <w:rPr>
          <w:rFonts w:hint="eastAsia" w:ascii="仿宋_GB2312" w:hAnsi="仿宋_GB2312" w:eastAsia="仿宋_GB2312" w:cs="仿宋_GB2312"/>
          <w:color w:val="auto"/>
          <w:sz w:val="28"/>
          <w:szCs w:val="28"/>
        </w:rPr>
        <w:t>——进水管水头损失（m）按水头损失的20%估算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v</w:t>
      </w:r>
      <w:r>
        <w:rPr>
          <w:rFonts w:hint="eastAsia" w:ascii="仿宋_GB2312" w:hAnsi="仿宋_GB2312" w:eastAsia="仿宋_GB2312" w:cs="仿宋_GB2312"/>
          <w:color w:val="auto"/>
          <w:sz w:val="28"/>
          <w:szCs w:val="28"/>
          <w:vertAlign w:val="subscript"/>
        </w:rPr>
        <w:t>1</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/2g ——泵进口断面处流速水头（m）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16" w:firstLineChars="50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表6.5-3   不同海拔的当地大气压表</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71"/>
        <w:gridCol w:w="856"/>
        <w:gridCol w:w="1001"/>
        <w:gridCol w:w="856"/>
        <w:gridCol w:w="856"/>
        <w:gridCol w:w="856"/>
        <w:gridCol w:w="856"/>
        <w:gridCol w:w="856"/>
        <w:gridCol w:w="856"/>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海拔</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-600</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600</w:t>
            </w:r>
          </w:p>
        </w:tc>
        <w:tc>
          <w:tcPr>
            <w:tcW w:w="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drawing>
                <wp:inline distT="0" distB="0" distL="0" distR="0">
                  <wp:extent cx="223520" cy="223520"/>
                  <wp:effectExtent l="0" t="0" r="5080" b="381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73" cstate="print">
                            <a:extLst>
                              <a:ext uri="{28A0092B-C50C-407E-A947-70E740481C1C}">
                                <a14:useLocalDpi xmlns:a14="http://schemas.microsoft.com/office/drawing/2010/main" val="false"/>
                              </a:ext>
                            </a:extLst>
                          </a:blip>
                          <a:srcRect/>
                          <a:stretch>
                            <a:fillRect/>
                          </a:stretch>
                        </pic:blipFill>
                        <pic:spPr>
                          <a:xfrm>
                            <a:off x="0" y="0"/>
                            <a:ext cx="223520" cy="223520"/>
                          </a:xfrm>
                          <a:prstGeom prst="rect">
                            <a:avLst/>
                          </a:prstGeom>
                          <a:noFill/>
                          <a:ln>
                            <a:noFill/>
                          </a:ln>
                        </pic:spPr>
                      </pic:pic>
                    </a:graphicData>
                  </a:graphic>
                </wp:inline>
              </w:drawing>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11.3</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10.33</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10.2</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10.1</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9.8</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9.7</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9.6</w:t>
            </w:r>
          </w:p>
        </w:tc>
        <w:tc>
          <w:tcPr>
            <w:tcW w:w="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海拔</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800</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4000</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5000</w:t>
            </w:r>
          </w:p>
        </w:tc>
        <w:tc>
          <w:tcPr>
            <w:tcW w:w="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7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drawing>
                <wp:inline distT="0" distB="0" distL="0" distR="0">
                  <wp:extent cx="223520" cy="223520"/>
                  <wp:effectExtent l="0" t="0" r="5080" b="381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73" cstate="print">
                            <a:extLst>
                              <a:ext uri="{28A0092B-C50C-407E-A947-70E740481C1C}">
                                <a14:useLocalDpi xmlns:a14="http://schemas.microsoft.com/office/drawing/2010/main" val="false"/>
                              </a:ext>
                            </a:extLst>
                          </a:blip>
                          <a:srcRect/>
                          <a:stretch>
                            <a:fillRect/>
                          </a:stretch>
                        </pic:blipFill>
                        <pic:spPr>
                          <a:xfrm>
                            <a:off x="0" y="0"/>
                            <a:ext cx="223520" cy="223520"/>
                          </a:xfrm>
                          <a:prstGeom prst="rect">
                            <a:avLst/>
                          </a:prstGeom>
                          <a:noFill/>
                          <a:ln>
                            <a:noFill/>
                          </a:ln>
                        </pic:spPr>
                      </pic:pic>
                    </a:graphicData>
                  </a:graphic>
                </wp:inline>
              </w:drawing>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9.4</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9.3</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9.2</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8.1</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6.3</w:t>
            </w:r>
          </w:p>
        </w:tc>
        <w:tc>
          <w:tcPr>
            <w:tcW w:w="8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5.5</w:t>
            </w:r>
          </w:p>
        </w:tc>
        <w:tc>
          <w:tcPr>
            <w:tcW w:w="8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Times New Roman"/>
          <w:color w:val="auto"/>
          <w:sz w:val="28"/>
          <w:szCs w:val="28"/>
          <w:vertAlign w:val="superscript"/>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both"/>
        <w:outlineLvl w:val="1"/>
        <w:rPr>
          <w:rFonts w:ascii="楷体" w:hAnsi="楷体" w:eastAsia="宋体" w:cs="楷体"/>
          <w:b/>
          <w:bCs/>
          <w:color w:val="auto"/>
          <w:kern w:val="2"/>
          <w:sz w:val="28"/>
          <w:szCs w:val="28"/>
          <w:vertAlign w:val="superscript"/>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表6.5-4   不同水温时的汽化压力水头</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87"/>
        <w:gridCol w:w="701"/>
        <w:gridCol w:w="701"/>
        <w:gridCol w:w="701"/>
        <w:gridCol w:w="701"/>
        <w:gridCol w:w="701"/>
        <w:gridCol w:w="701"/>
        <w:gridCol w:w="701"/>
        <w:gridCol w:w="701"/>
        <w:gridCol w:w="701"/>
        <w:gridCol w:w="701"/>
        <w:gridCol w:w="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2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水温（℃）</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80</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90</w:t>
            </w: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2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drawing>
                <wp:inline distT="0" distB="0" distL="0" distR="0">
                  <wp:extent cx="223520" cy="233680"/>
                  <wp:effectExtent l="0" t="0" r="4445" b="1460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noChangeArrowheads="true"/>
                          </pic:cNvPicPr>
                        </pic:nvPicPr>
                        <pic:blipFill>
                          <a:blip r:embed="rId74" cstate="print">
                            <a:extLst>
                              <a:ext uri="{28A0092B-C50C-407E-A947-70E740481C1C}">
                                <a14:useLocalDpi xmlns:a14="http://schemas.microsoft.com/office/drawing/2010/main" val="false"/>
                              </a:ext>
                            </a:extLst>
                          </a:blip>
                          <a:srcRect/>
                          <a:stretch>
                            <a:fillRect/>
                          </a:stretch>
                        </pic:blipFill>
                        <pic:spPr>
                          <a:xfrm>
                            <a:off x="0" y="0"/>
                            <a:ext cx="223520" cy="233680"/>
                          </a:xfrm>
                          <a:prstGeom prst="rect">
                            <a:avLst/>
                          </a:prstGeom>
                          <a:noFill/>
                          <a:ln>
                            <a:noFill/>
                          </a:ln>
                        </pic:spPr>
                      </pic:pic>
                    </a:graphicData>
                  </a:graphic>
                </wp:inline>
              </w:drawing>
            </w: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rPr>
              <w:drawing>
                <wp:inline distT="0" distB="0" distL="0" distR="0">
                  <wp:extent cx="165100" cy="146050"/>
                  <wp:effectExtent l="0" t="0" r="6350" b="571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75" cstate="print">
                            <a:extLst>
                              <a:ext uri="{28A0092B-C50C-407E-A947-70E740481C1C}">
                                <a14:useLocalDpi xmlns:a14="http://schemas.microsoft.com/office/drawing/2010/main" val="false"/>
                              </a:ext>
                            </a:extLst>
                          </a:blip>
                          <a:srcRect/>
                          <a:stretch>
                            <a:fillRect/>
                          </a:stretch>
                        </pic:blipFill>
                        <pic:spPr>
                          <a:xfrm>
                            <a:off x="0" y="0"/>
                            <a:ext cx="165100" cy="146050"/>
                          </a:xfrm>
                          <a:prstGeom prst="rect">
                            <a:avLst/>
                          </a:prstGeom>
                          <a:noFill/>
                          <a:ln>
                            <a:noFill/>
                          </a:ln>
                        </pic:spPr>
                      </pic:pic>
                    </a:graphicData>
                  </a:graphic>
                </wp:inline>
              </w:drawing>
            </w:r>
            <w:r>
              <w:rPr>
                <w:rFonts w:hint="eastAsia" w:ascii="仿宋_GB2312" w:hAnsi="仿宋_GB2312" w:eastAsia="仿宋_GB2312" w:cs="仿宋_GB2312"/>
                <w:color w:val="auto"/>
                <w:sz w:val="22"/>
                <w:szCs w:val="22"/>
              </w:rPr>
              <w:t>）</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0.24</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0.43</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0.75</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1.26</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3.18</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4.83</w:t>
            </w:r>
          </w:p>
        </w:tc>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7.15</w:t>
            </w: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10.33</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both"/>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经计算，袁家塅电灌站水泵安装高程为Za=48.03m，原泵房处高程47.36，故改造泵站可选在原址不变。</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（6）配套泵房</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本项目拆除倒塌的原有泵房，原址新建泵房，建筑面积20m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。泵房充分考虑机电设备布置、安装、运行、检修及结构布置、通风和采光的要求。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（7）电气主接线设计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项目属一般提水灌溉站，短时停电对其影响不大，380V动力线路已架设至取水点。</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（8）配电装置设计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配电装置由高压开关、低压配电屏、动力照明配电箱等组成。高压开关选用PRWG1-10F型跌落式熔断器，低压配电屏选用GGD1型固定式开关柜，动力配电箱选用XL型配电箱。配电间内低压配电屏采用单排布置，低压配电屏前面的走廊宽度不小于1.5m，屏后通道宽度不小于1.0m。低压配电线路采用裸铝绞线架空引至水泵电控箱。</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新建电灌站主要工程特征详表6.5-5。</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表6.5-5  袁家塅电灌站特征参数</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55"/>
        <w:gridCol w:w="976"/>
        <w:gridCol w:w="1060"/>
        <w:gridCol w:w="1059"/>
        <w:gridCol w:w="956"/>
        <w:gridCol w:w="1447"/>
        <w:gridCol w:w="942"/>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0" w:hRule="atLeast"/>
          <w:jc w:val="center"/>
        </w:trPr>
        <w:tc>
          <w:tcPr>
            <w:tcW w:w="16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电灌站名称</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控灌面积(亩)</w:t>
            </w:r>
          </w:p>
        </w:tc>
        <w:tc>
          <w:tcPr>
            <w:tcW w:w="10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设计流量(m³/h)</w:t>
            </w:r>
          </w:p>
        </w:tc>
        <w:tc>
          <w:tcPr>
            <w:tcW w:w="1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设计净扬程(m)</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装机容量(kW)</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水泵型号</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电机型号</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泵房面积(㎡)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6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袁家塅电灌站</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300</w:t>
            </w:r>
          </w:p>
        </w:tc>
        <w:tc>
          <w:tcPr>
            <w:tcW w:w="10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10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18.02</w:t>
            </w:r>
          </w:p>
        </w:tc>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100-80-125</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自带配套电机</w:t>
            </w:r>
          </w:p>
        </w:tc>
        <w:tc>
          <w:tcPr>
            <w:tcW w:w="8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6" w:name="_Toc45723038"/>
      <w:r>
        <w:rPr>
          <w:rFonts w:hint="eastAsia" w:ascii="黑体" w:hAnsi="黑体" w:eastAsia="黑体" w:cs="黑体"/>
          <w:b w:val="0"/>
          <w:bCs w:val="0"/>
          <w:color w:val="auto"/>
          <w:kern w:val="2"/>
          <w:sz w:val="28"/>
          <w:szCs w:val="28"/>
          <w:lang w:val="en-US" w:eastAsia="zh-CN" w:bidi="ar-SA"/>
        </w:rPr>
        <w:t>灌溉与排水工程设计</w:t>
      </w:r>
      <w:bookmarkEnd w:id="76"/>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灌排标准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地处亚热带，适合水稻、油菜、棉花等农作物的生长，区内水资源较为丰富，根据《灌溉与排水工程设计标准》（GB50288-2018）中的灌溉标准，本项目区灌溉保证率取90%；排涝标准采用十年一遇3d暴雨5d末排至作物耐淹深度。</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根据《灌溉与排水工程设计标准》（GB50288-2018）3.1.5条，灌溉渠道或排水沟的级别应根据灌溉或排水流量的大小划分，本工程灌溉流量小于5m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/s，排水流量小于10m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/s，灌溉与排水渠道及建筑物的工程级别为5级。</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设计流量计算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（1）灌溉方式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本次设计的灌溉渠道按续灌设计。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（2）渠系布置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灌溉渠系在灌区规划及土地利用规划的基础上结合排水系统的规划合理布置。灌溉渠系主要根据地形、地质等条件布置，并尽量按照原有渠线规划。</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（3）灌溉模数</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取综合灌水率</w:t>
      </w:r>
      <w:r>
        <w:rPr>
          <w:rFonts w:hint="eastAsia" w:ascii="仿宋_GB2312" w:hAnsi="仿宋_GB2312" w:eastAsia="仿宋_GB2312" w:cs="仿宋_GB2312"/>
          <w:i/>
          <w:color w:val="auto"/>
          <w:sz w:val="28"/>
          <w:szCs w:val="28"/>
          <w:lang w:val="en-GB"/>
        </w:rPr>
        <w:t>q</w:t>
      </w:r>
      <w:r>
        <w:rPr>
          <w:rFonts w:hint="eastAsia" w:ascii="仿宋_GB2312" w:hAnsi="仿宋_GB2312" w:eastAsia="仿宋_GB2312" w:cs="仿宋_GB2312"/>
          <w:i/>
          <w:color w:val="auto"/>
          <w:sz w:val="28"/>
          <w:szCs w:val="28"/>
          <w:vertAlign w:val="subscript"/>
          <w:lang w:val="en-GB"/>
        </w:rPr>
        <w:t>设</w:t>
      </w:r>
      <w:r>
        <w:rPr>
          <w:rFonts w:hint="eastAsia" w:ascii="仿宋_GB2312" w:hAnsi="仿宋_GB2312" w:eastAsia="仿宋_GB2312" w:cs="仿宋_GB2312"/>
          <w:color w:val="auto"/>
          <w:sz w:val="28"/>
          <w:szCs w:val="28"/>
          <w:lang w:val="en-GB"/>
        </w:rPr>
        <w:t>=0.８m³/s•万亩。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（4）渠道设计流量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灌区干、支渠为续灌，斗农渠分组轮灌。根据渠道净流量，渠床土质和渠道长度，由净流量推算毛流量。每公里渠道按经验公式估算输水损失，推求各级渠道的灌溉水利用系数，再根据灌溉渠道的灌溉面积推求其设计流量。计算公式如下：</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object>
          <v:shape id="_x0000_i1036" o:spt="75" type="#_x0000_t75" style="height:33pt;width:62.25pt;" o:ole="t" filled="f" o:preferrelative="t" stroked="f" coordsize="21600,21600">
            <v:path/>
            <v:fill on="f" focussize="0,0"/>
            <v:stroke on="f" joinstyle="miter"/>
            <v:imagedata r:id="rId77" o:title=""/>
            <o:lock v:ext="edit" aspectratio="t"/>
            <w10:wrap type="none"/>
            <w10:anchorlock/>
          </v:shape>
          <o:OLEObject Type="Embed" ProgID="Equation.DSMT4" ShapeID="_x0000_i1036" DrawAspect="Content" ObjectID="_1468075736" r:id="rId76">
            <o:LockedField>false</o:LockedField>
          </o:OLEObject>
        </w:object>
      </w:r>
      <w:r>
        <w:rPr>
          <w:rFonts w:hint="eastAsia" w:ascii="仿宋_GB2312" w:hAnsi="仿宋_GB2312" w:eastAsia="仿宋_GB2312" w:cs="仿宋_GB2312"/>
          <w:color w:val="auto"/>
          <w:position w:val="-28"/>
          <w:sz w:val="28"/>
          <w:szCs w:val="28"/>
        </w:rPr>
        <w:t xml:space="preserve">   </w:t>
      </w:r>
      <w:r>
        <w:rPr>
          <w:rFonts w:hint="eastAsia" w:ascii="仿宋_GB2312" w:hAnsi="仿宋_GB2312" w:eastAsia="仿宋_GB2312" w:cs="仿宋_GB2312"/>
          <w:color w:val="auto"/>
          <w:sz w:val="28"/>
          <w:szCs w:val="28"/>
        </w:rPr>
        <w:object>
          <v:shape id="_x0000_i1037" o:spt="75" type="#_x0000_t75" style="height:36pt;width:40.5pt;" o:ole="t" filled="f" o:preferrelative="t" stroked="f" coordsize="21600,21600">
            <v:path/>
            <v:fill on="f" focussize="0,0"/>
            <v:stroke on="f" joinstyle="miter"/>
            <v:imagedata r:id="rId79" o:title=""/>
            <o:lock v:ext="edit" aspectratio="t"/>
            <w10:wrap type="none"/>
            <w10:anchorlock/>
          </v:shape>
          <o:OLEObject Type="Embed" ProgID="Equation.DSMT4" ShapeID="_x0000_i1037" DrawAspect="Content" ObjectID="_1468075737" r:id="rId7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w:t>
      </w:r>
      <w:r>
        <w:rPr>
          <w:rFonts w:hint="eastAsia" w:ascii="仿宋_GB2312" w:hAnsi="仿宋_GB2312" w:eastAsia="仿宋_GB2312" w:cs="仿宋_GB2312"/>
          <w:i/>
          <w:color w:val="auto"/>
          <w:sz w:val="28"/>
          <w:szCs w:val="28"/>
        </w:rPr>
        <w:t>Q</w:t>
      </w:r>
      <w:r>
        <w:rPr>
          <w:rFonts w:hint="eastAsia" w:ascii="仿宋_GB2312" w:hAnsi="仿宋_GB2312" w:eastAsia="仿宋_GB2312" w:cs="仿宋_GB2312"/>
          <w:i/>
          <w:color w:val="auto"/>
          <w:sz w:val="28"/>
          <w:szCs w:val="28"/>
          <w:vertAlign w:val="subscript"/>
        </w:rPr>
        <w:t>设</w:t>
      </w:r>
      <w:r>
        <w:rPr>
          <w:rFonts w:hint="eastAsia" w:ascii="仿宋_GB2312" w:hAnsi="仿宋_GB2312" w:eastAsia="仿宋_GB2312" w:cs="仿宋_GB2312"/>
          <w:i/>
          <w:color w:val="auto"/>
          <w:sz w:val="28"/>
          <w:szCs w:val="28"/>
          <w:shd w:val="clear" w:color="auto" w:fill="FFFFFF"/>
        </w:rPr>
        <w:t>——</w:t>
      </w:r>
      <w:r>
        <w:rPr>
          <w:rFonts w:hint="eastAsia" w:ascii="仿宋_GB2312" w:hAnsi="仿宋_GB2312" w:eastAsia="仿宋_GB2312" w:cs="仿宋_GB2312"/>
          <w:color w:val="auto"/>
          <w:sz w:val="28"/>
          <w:szCs w:val="28"/>
        </w:rPr>
        <w:t>续灌渠段设计毛流量，m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color w:val="auto"/>
          <w:sz w:val="28"/>
          <w:szCs w:val="28"/>
        </w:rPr>
        <w:t>A</w:t>
      </w:r>
      <w:r>
        <w:rPr>
          <w:rFonts w:hint="eastAsia" w:ascii="仿宋_GB2312" w:hAnsi="仿宋_GB2312" w:eastAsia="仿宋_GB2312" w:cs="仿宋_GB2312"/>
          <w:i/>
          <w:color w:val="auto"/>
          <w:sz w:val="28"/>
          <w:szCs w:val="28"/>
          <w:vertAlign w:val="subscript"/>
        </w:rPr>
        <w:t>设</w:t>
      </w:r>
      <w:r>
        <w:rPr>
          <w:rFonts w:hint="eastAsia" w:ascii="仿宋_GB2312" w:hAnsi="仿宋_GB2312" w:eastAsia="仿宋_GB2312" w:cs="仿宋_GB2312"/>
          <w:i/>
          <w:color w:val="auto"/>
          <w:sz w:val="28"/>
          <w:szCs w:val="28"/>
          <w:shd w:val="clear" w:color="auto" w:fill="FFFFFF"/>
        </w:rPr>
        <w:t>——</w:t>
      </w:r>
      <w:r>
        <w:rPr>
          <w:rFonts w:hint="eastAsia" w:ascii="仿宋_GB2312" w:hAnsi="仿宋_GB2312" w:eastAsia="仿宋_GB2312" w:cs="仿宋_GB2312"/>
          <w:color w:val="auto"/>
          <w:sz w:val="28"/>
          <w:szCs w:val="28"/>
        </w:rPr>
        <w:t>渠段灌溉面积，万亩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color w:val="auto"/>
          <w:sz w:val="28"/>
          <w:szCs w:val="28"/>
        </w:rPr>
        <w:t>η</w:t>
      </w:r>
      <w:r>
        <w:rPr>
          <w:rFonts w:hint="eastAsia" w:ascii="仿宋_GB2312" w:hAnsi="仿宋_GB2312" w:eastAsia="仿宋_GB2312" w:cs="仿宋_GB2312"/>
          <w:i/>
          <w:color w:val="auto"/>
          <w:sz w:val="28"/>
          <w:szCs w:val="28"/>
          <w:shd w:val="clear" w:color="auto" w:fill="FFFFFF"/>
        </w:rPr>
        <w:t>——</w:t>
      </w:r>
      <w:r>
        <w:rPr>
          <w:rFonts w:hint="eastAsia" w:ascii="仿宋_GB2312" w:hAnsi="仿宋_GB2312" w:eastAsia="仿宋_GB2312" w:cs="仿宋_GB2312"/>
          <w:color w:val="auto"/>
          <w:sz w:val="28"/>
          <w:szCs w:val="28"/>
        </w:rPr>
        <w:t>续灌渠道至田间的灌溉水利用系数，本项目灌区为小型灌区，灌系水利用系数一般为0.75～0.85，本次设计取0.8，田间水利用系数取0.95，灌溉水利用系数取0.76。</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根据《灌溉与排水工程设计规范》（GB50288—99）的要求，续灌渠道的最小流量不宜小于设计流量的40%，取Qmin=0.4Q</w:t>
      </w:r>
      <w:r>
        <w:rPr>
          <w:rFonts w:hint="eastAsia" w:ascii="仿宋_GB2312" w:hAnsi="仿宋_GB2312" w:eastAsia="仿宋_GB2312" w:cs="仿宋_GB2312"/>
          <w:color w:val="auto"/>
          <w:sz w:val="28"/>
          <w:szCs w:val="28"/>
          <w:vertAlign w:val="subscript"/>
        </w:rPr>
        <w:t>设</w:t>
      </w:r>
      <w:r>
        <w:rPr>
          <w:rFonts w:hint="eastAsia" w:ascii="仿宋_GB2312" w:hAnsi="仿宋_GB2312" w:eastAsia="仿宋_GB2312" w:cs="仿宋_GB2312"/>
          <w:color w:val="auto"/>
          <w:sz w:val="28"/>
          <w:szCs w:val="28"/>
        </w:rPr>
        <w:t>；根据规范要求，结合本区域的实际情况，灌溉渠道流量</w:t>
      </w:r>
      <w:r>
        <w:rPr>
          <w:rFonts w:hint="eastAsia" w:ascii="仿宋_GB2312" w:hAnsi="仿宋_GB2312" w:eastAsia="仿宋_GB2312" w:cs="仿宋_GB2312"/>
          <w:i/>
          <w:color w:val="auto"/>
          <w:sz w:val="28"/>
          <w:szCs w:val="28"/>
        </w:rPr>
        <w:t>Q</w:t>
      </w:r>
      <w:r>
        <w:rPr>
          <w:rFonts w:hint="eastAsia" w:ascii="仿宋_GB2312" w:hAnsi="仿宋_GB2312" w:eastAsia="仿宋_GB2312" w:cs="仿宋_GB2312"/>
          <w:i/>
          <w:color w:val="auto"/>
          <w:sz w:val="28"/>
          <w:szCs w:val="28"/>
          <w:vertAlign w:val="subscript"/>
        </w:rPr>
        <w:t>设</w:t>
      </w:r>
      <w:r>
        <w:rPr>
          <w:rFonts w:hint="eastAsia" w:ascii="仿宋_GB2312" w:hAnsi="仿宋_GB2312" w:eastAsia="仿宋_GB2312" w:cs="仿宋_GB2312"/>
          <w:color w:val="auto"/>
          <w:sz w:val="28"/>
          <w:szCs w:val="28"/>
        </w:rPr>
        <w:t>均不大于1m³/s，加大流量取值为</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sz w:val="28"/>
          <w:szCs w:val="28"/>
        </w:rPr>
        <w:t>Qmax=1.30Q</w:t>
      </w:r>
      <w:r>
        <w:rPr>
          <w:rFonts w:hint="eastAsia" w:ascii="仿宋_GB2312" w:hAnsi="仿宋_GB2312" w:eastAsia="仿宋_GB2312" w:cs="仿宋_GB2312"/>
          <w:color w:val="auto"/>
          <w:sz w:val="28"/>
          <w:szCs w:val="28"/>
          <w:vertAlign w:val="subscript"/>
        </w:rPr>
        <w:t>设</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渠道设计流量计算结果见表6.6-1。</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渠道横断面设计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根据项目区农田灌溉渠道现状，结合项目区渠道硬化经验，本项目渠道主要采用梯形断面。</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（1）渠道流量计算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各种渠道的横断面设计采用明渠均匀流公式进行计算，计算公式为：</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Q=AC</w:t>
      </w:r>
      <w:r>
        <w:rPr>
          <w:rFonts w:hint="eastAsia" w:ascii="仿宋_GB2312" w:hAnsi="仿宋_GB2312" w:eastAsia="仿宋_GB2312" w:cs="仿宋_GB2312"/>
          <w:color w:val="auto"/>
          <w:position w:val="-8"/>
          <w:sz w:val="28"/>
          <w:szCs w:val="28"/>
        </w:rPr>
        <w:drawing>
          <wp:inline distT="0" distB="0" distL="0" distR="0">
            <wp:extent cx="304800" cy="238125"/>
            <wp:effectExtent l="0" t="0" r="0" b="8255"/>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80" cstate="print">
                      <a:extLst>
                        <a:ext uri="{28A0092B-C50C-407E-A947-70E740481C1C}">
                          <a14:useLocalDpi xmlns:a14="http://schemas.microsoft.com/office/drawing/2010/main" val="false"/>
                        </a:ext>
                      </a:extLst>
                    </a:blip>
                    <a:srcRect/>
                    <a:stretch>
                      <a:fillRect/>
                    </a:stretch>
                  </pic:blipFill>
                  <pic:spPr>
                    <a:xfrm>
                      <a:off x="0" y="0"/>
                      <a:ext cx="3048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式中：Q——渠道计算流量（m3/s）；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A——渠道过水断面面积（m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R——水力半径，R=A/X，X为湿周；</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C——谢才系数，采用公式</w:t>
      </w:r>
      <w:r>
        <w:rPr>
          <w:rFonts w:hint="eastAsia" w:ascii="仿宋_GB2312" w:hAnsi="仿宋_GB2312" w:eastAsia="仿宋_GB2312" w:cs="仿宋_GB2312"/>
          <w:color w:val="auto"/>
          <w:position w:val="-24"/>
          <w:sz w:val="28"/>
          <w:szCs w:val="28"/>
        </w:rPr>
        <w:drawing>
          <wp:inline distT="0" distB="0" distL="0" distR="0">
            <wp:extent cx="742950" cy="438150"/>
            <wp:effectExtent l="0" t="0" r="0" b="0"/>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noChangeArrowheads="true"/>
                    </pic:cNvPicPr>
                  </pic:nvPicPr>
                  <pic:blipFill>
                    <a:blip r:embed="rId81" cstate="print">
                      <a:extLst>
                        <a:ext uri="{28A0092B-C50C-407E-A947-70E740481C1C}">
                          <a14:useLocalDpi xmlns:a14="http://schemas.microsoft.com/office/drawing/2010/main" val="false"/>
                        </a:ext>
                      </a:extLst>
                    </a:blip>
                    <a:srcRect/>
                    <a:stretch>
                      <a:fillRect/>
                    </a:stretch>
                  </pic:blipFill>
                  <pic:spPr>
                    <a:xfrm>
                      <a:off x="0" y="0"/>
                      <a:ext cx="742950" cy="438150"/>
                    </a:xfrm>
                    <a:prstGeom prst="rect">
                      <a:avLst/>
                    </a:prstGeom>
                    <a:noFill/>
                    <a:ln>
                      <a:noFill/>
                    </a:ln>
                  </pic:spPr>
                </pic:pic>
              </a:graphicData>
            </a:graphic>
          </wp:inline>
        </w:drawing>
      </w:r>
      <w:r>
        <w:rPr>
          <w:rFonts w:hint="eastAsia" w:ascii="仿宋_GB2312" w:hAnsi="仿宋_GB2312" w:eastAsia="仿宋_GB2312" w:cs="仿宋_GB2312"/>
          <w:color w:val="auto"/>
          <w:sz w:val="28"/>
          <w:szCs w:val="28"/>
        </w:rPr>
        <w:t>进行计算；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n——渠床糙率，糙率根据渠道材质选取；</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i——渠底比降。</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（2）试算确定渠道横断面</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渠道断面设计采用试算法，即首先假设底宽和水深值，计算过水断面的水力要素，然后计算渠道流量、校核渠道输水能力、校核渠道流速。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（3）渠道横断面各水力要素计算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经计算，渠道断面各水力要素计算结果，见表6.6-1。</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（4）流速较核</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为防止渠道冲刷和淤积，渠道过水断面平均流速必须介于容许不冲流速和允许不淤流速之间。根据《水工设计手册》，渠道流量小于1m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/s时，混凝土护面的渠道容许不冲流速不大于5.0m/s；另外，渠道允许不淤流速为0.3～0.4m/s。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通过上表中的流速可知，校核渠道流速均可满足抗冲、抗淤要求。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（5）安全超高取值</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本项目渠道均属于5级渠道，根据《灌溉与排水工程技术规范》（GB50288—2018），渠道衬砌安全超高值取0.10～0.20m。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综上所述，项目区灌溉渠道断面设计成果见表6.6-1，各类渠道横断面具体形式见设计图册。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（6）典型计算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选择金坪村QG08灌溉渠道（灌溉面积1000亩，分2组轮灌，P=90%）作为典型设计进行水力计算。其他渠道参照此方法进行水力计算。QG08属XX水库左干渠，接已硬化段（底宽0.5m，面宽1.4m，深0.9m），本次设计按已硬化断面尺寸复核其各项水力要素。</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GQ08由梯形明渠和暗涵组成，通过居民集中区或深挖方渠段埋暗管。现浇砼明渠基本尺寸：底宽b=0.5m，深h=0.9m，坡比m=1：0.5，设计纵坡i=1/1500；暗涵采用φ800预制砼涵管，设计纵坡i=1/500。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1）明渠复核</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第一步：流量计算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根据计算公式：Q=AC，代入假定参数计算：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过水断面：A＝（b+h×m）×h＝（0.50+0.70×0.5）×0.70＝0.6m</w:t>
      </w:r>
      <w:r>
        <w:rPr>
          <w:rFonts w:hint="eastAsia" w:ascii="仿宋_GB2312" w:hAnsi="仿宋_GB2312" w:eastAsia="仿宋_GB2312" w:cs="仿宋_GB2312"/>
          <w:color w:val="auto"/>
          <w:sz w:val="28"/>
          <w:szCs w:val="28"/>
          <w:vertAlign w:val="superscript"/>
        </w:rPr>
        <w:t>2</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湿周：X＝b+2*h＝0.50+2×0.70＝2.07m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水力半径：R＝A/X＝0.6/2.07＝0.29m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谢才系数：C＝1/0.014×(0.29）</w:t>
      </w:r>
      <w:r>
        <w:rPr>
          <w:rFonts w:hint="eastAsia" w:ascii="仿宋_GB2312" w:hAnsi="仿宋_GB2312" w:eastAsia="仿宋_GB2312" w:cs="仿宋_GB2312"/>
          <w:color w:val="auto"/>
          <w:sz w:val="28"/>
          <w:szCs w:val="28"/>
          <w:vertAlign w:val="superscript"/>
        </w:rPr>
        <w:t>1/6</w:t>
      </w:r>
      <w:r>
        <w:rPr>
          <w:rFonts w:hint="eastAsia" w:ascii="仿宋_GB2312" w:hAnsi="仿宋_GB2312" w:eastAsia="仿宋_GB2312" w:cs="仿宋_GB2312"/>
          <w:color w:val="auto"/>
          <w:sz w:val="28"/>
          <w:szCs w:val="28"/>
        </w:rPr>
        <w:t>＝58.05m</w:t>
      </w:r>
      <w:r>
        <w:rPr>
          <w:rFonts w:hint="eastAsia" w:ascii="仿宋_GB2312" w:hAnsi="仿宋_GB2312" w:eastAsia="仿宋_GB2312" w:cs="仿宋_GB2312"/>
          <w:color w:val="auto"/>
          <w:sz w:val="28"/>
          <w:szCs w:val="28"/>
          <w:vertAlign w:val="superscript"/>
        </w:rPr>
        <w:t>0.5</w:t>
      </w:r>
      <w:r>
        <w:rPr>
          <w:rFonts w:hint="eastAsia" w:ascii="仿宋_GB2312" w:hAnsi="仿宋_GB2312" w:eastAsia="仿宋_GB2312" w:cs="仿宋_GB2312"/>
          <w:color w:val="auto"/>
          <w:sz w:val="28"/>
          <w:szCs w:val="28"/>
        </w:rPr>
        <w:t>/s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计算流量：Q＝AC＝0.60×58.05×(0.29×0.0067)</w:t>
      </w:r>
      <w:r>
        <w:rPr>
          <w:rFonts w:hint="eastAsia" w:ascii="仿宋_GB2312" w:hAnsi="仿宋_GB2312" w:eastAsia="仿宋_GB2312" w:cs="仿宋_GB2312"/>
          <w:color w:val="auto"/>
          <w:sz w:val="28"/>
          <w:szCs w:val="28"/>
          <w:vertAlign w:val="superscript"/>
        </w:rPr>
        <w:t>1/2</w:t>
      </w:r>
      <w:r>
        <w:rPr>
          <w:rFonts w:hint="eastAsia" w:ascii="仿宋_GB2312" w:hAnsi="仿宋_GB2312" w:eastAsia="仿宋_GB2312" w:cs="仿宋_GB2312"/>
          <w:color w:val="auto"/>
          <w:sz w:val="28"/>
          <w:szCs w:val="28"/>
        </w:rPr>
        <w:t>＝0.48m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第二步：判断计算流量能满足设计流量要求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(计算流量-设计流量)/设计流量＝(0.48-0.205)/0.205×100%＝1.33％&lt;5%</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可见，选定断面在计算流量上能满足设计要求。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第三步：流速较核</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根据《水工设计手册》，渠道流量小于1m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/s时，混凝土护面的渠道容许不冲流速不大于5.0m/s；另外，渠道允许不淤流速为0.3～0.4m/s。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V＝Q/A＝0.48/0.60＝0.8m/s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故，0.35＝V不淤&lt;V&lt;V不冲＝5.0设计流速满足不冲不淤的要求。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第四步：安全超高取值</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本项目渠道均属于5级渠道，根据《灌溉与排水工程技术规范》（GB50288—99），渠道衬砌安全超高值取0.1～0.2m。灌水渠QG08安全超高取值0.20m。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因此，灌水渠深度为：H＝0.70+0.20=0.90m，该渠道尺寸确定为0.9m×0.5 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2）暗涵复核</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第一步：计算暗涵水深</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设计暗涵为无压流，拟定暗涵直径D=800cm，根据QG08地势确定纵坡i=1/500计算过流量。计算采用《取水输水建筑物丛书-涵洞》（熊启钧）根据水深求流量，当通过设计流量Q=0.48m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/s时，涵洞水深h=0.58m。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第二步：复核暗涵净空要求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当进口净高≤3.0m时，无压涵洞水面以上净空要求≥D/4，即0.2m，满足要求。</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渠道衬砌工程设计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水工设计手册》的要求，渠道采用C20砼三面防渗砼厚度为5～10cm，在此根据实际地质情况，取为10cm。砼浇筑时每隔5m设置一条伸缩缝，缝宽2cm，缝内采用沥青杉板填充，外侧采用砂浆勾缝处理。其结构详见设计图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default" w:ascii="Times New Roman" w:hAnsi="Times New Roman" w:eastAsia="黑体" w:cs="Times New Roman"/>
          <w:b w:val="0"/>
          <w:bCs/>
          <w:color w:val="auto"/>
          <w:kern w:val="32"/>
          <w:sz w:val="28"/>
          <w:szCs w:val="28"/>
          <w:lang w:val="en-US" w:eastAsia="zh-CN" w:bidi="ar-SA"/>
        </w:rPr>
      </w:pPr>
      <w:r>
        <w:rPr>
          <w:rFonts w:hint="default" w:ascii="Times New Roman" w:hAnsi="Times New Roman" w:eastAsia="黑体" w:cs="Times New Roman"/>
          <w:b w:val="0"/>
          <w:bCs/>
          <w:color w:val="auto"/>
          <w:kern w:val="32"/>
          <w:sz w:val="28"/>
          <w:szCs w:val="28"/>
          <w:lang w:val="en-US" w:eastAsia="zh-CN" w:bidi="ar-SA"/>
        </w:rPr>
        <w:t>表6.6-1   矩形或梯形渠道断面设计成果表</w:t>
      </w:r>
    </w:p>
    <w:tbl>
      <w:tblPr>
        <w:tblStyle w:val="14"/>
        <w:tblW w:w="14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87"/>
        <w:gridCol w:w="910"/>
        <w:gridCol w:w="1435"/>
        <w:gridCol w:w="789"/>
        <w:gridCol w:w="909"/>
        <w:gridCol w:w="805"/>
        <w:gridCol w:w="909"/>
        <w:gridCol w:w="909"/>
        <w:gridCol w:w="909"/>
        <w:gridCol w:w="909"/>
        <w:gridCol w:w="909"/>
        <w:gridCol w:w="909"/>
        <w:gridCol w:w="909"/>
        <w:gridCol w:w="805"/>
        <w:gridCol w:w="9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108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渠道名称</w:t>
            </w:r>
          </w:p>
        </w:tc>
        <w:tc>
          <w:tcPr>
            <w:tcW w:w="9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断面类型</w:t>
            </w:r>
          </w:p>
        </w:tc>
        <w:tc>
          <w:tcPr>
            <w:tcW w:w="14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断面尺寸</w:t>
            </w:r>
          </w:p>
        </w:tc>
        <w:tc>
          <w:tcPr>
            <w:tcW w:w="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渠道长度（m）</w:t>
            </w:r>
          </w:p>
        </w:tc>
        <w:tc>
          <w:tcPr>
            <w:tcW w:w="171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设计流量计算</w:t>
            </w:r>
          </w:p>
        </w:tc>
        <w:tc>
          <w:tcPr>
            <w:tcW w:w="8097"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渠道断面各水力要素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108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4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灌溉面积（亩）</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加大流量(m3/s)</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下底宽(m)</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上口宽(m)</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设计水深(m)</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安全超高(m)</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渠底比降</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边坡系数</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糙率</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设计流量(m3/s)</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设计流速(m/s)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QT01</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U50</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0.018</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QT02</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U50</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0.029</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QT03</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U50</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0.021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QG01</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1×0.6m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1327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0.082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毛家岗村</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QT04</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U50</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0.019</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QG02</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1.45×0.75m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631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1800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0.246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0.37</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QG03</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1.45×0.75m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478</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1800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0.246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0.37</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QT05</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U50</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QT06</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U50</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0.021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QG04</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圆形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φ50圆涵</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0.031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0.07</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QT07</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U50</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0.029</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0.095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黄林堰村</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QG06</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1.4×1m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1147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2600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0.356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0.45</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清泉村</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QG05</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1×0.8m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1198</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2100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0.287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金坪村</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QG07</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582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169</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0.023</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QG08</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1.4×0.9m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1995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1/1500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0.48</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QG09</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688</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QG10</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981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QG18</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217</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98</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0.013</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QG19</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156</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0.012</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QG20</w:t>
            </w:r>
          </w:p>
        </w:tc>
        <w:tc>
          <w:tcPr>
            <w:tcW w:w="9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梯形</w:t>
            </w:r>
          </w:p>
        </w:tc>
        <w:tc>
          <w:tcPr>
            <w:tcW w:w="14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0.65×0.5m</w:t>
            </w:r>
          </w:p>
        </w:tc>
        <w:tc>
          <w:tcPr>
            <w:tcW w:w="7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1/1000</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0.25</w:t>
            </w:r>
          </w:p>
        </w:tc>
        <w:tc>
          <w:tcPr>
            <w:tcW w:w="90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0.014</w:t>
            </w:r>
          </w:p>
        </w:tc>
        <w:tc>
          <w:tcPr>
            <w:tcW w:w="8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0.13</w:t>
            </w:r>
          </w:p>
        </w:tc>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0.67</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0" w:firstLineChars="0"/>
        <w:jc w:val="both"/>
        <w:rPr>
          <w:rFonts w:hint="eastAsia" w:ascii="仿宋_GB2312" w:hAnsi="仿宋_GB2312" w:eastAsia="仿宋_GB2312" w:cs="仿宋_GB2312"/>
          <w:color w:val="auto"/>
          <w:sz w:val="22"/>
          <w:szCs w:val="22"/>
          <w:vertAlign w:val="baseline"/>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0" w:firstLineChars="0"/>
        <w:jc w:val="both"/>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说明：1、QG01为红星水库右干渠，接已硬化段（底宽0.6m，深0.5mU形槽）；</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113" w:firstLineChars="506"/>
        <w:jc w:val="both"/>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2、QG06为黄土坡机台灌溉渠，接已硬化段（底宽0.4m，面宽1.4m，深1.0m）；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113" w:firstLineChars="506"/>
        <w:jc w:val="both"/>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3、QG05为XX水库右干渠，接已硬化段（底宽0.6m，面宽1.0m，深0.8m）；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113" w:firstLineChars="506"/>
        <w:jc w:val="both"/>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4、QG08为XX水库左干渠，接已硬化段（底宽0.5m，面宽1.4m，深0.9m）；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113" w:firstLineChars="506"/>
        <w:jc w:val="both"/>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5、QG11</w:t>
      </w:r>
      <w:r>
        <w:rPr>
          <w:rFonts w:hint="eastAsia" w:ascii="仿宋_GB2312" w:hAnsi="仿宋_GB2312" w:eastAsia="仿宋_GB2312" w:cs="仿宋_GB2312"/>
          <w:color w:val="auto"/>
          <w:sz w:val="22"/>
          <w:szCs w:val="22"/>
          <w:vertAlign w:val="baseline"/>
          <w:lang w:eastAsia="zh-CN"/>
        </w:rPr>
        <w:t>~</w:t>
      </w:r>
      <w:r>
        <w:rPr>
          <w:rFonts w:hint="eastAsia" w:ascii="仿宋_GB2312" w:hAnsi="仿宋_GB2312" w:eastAsia="仿宋_GB2312" w:cs="仿宋_GB2312"/>
          <w:color w:val="auto"/>
          <w:sz w:val="22"/>
          <w:szCs w:val="22"/>
          <w:vertAlign w:val="baseline"/>
        </w:rPr>
        <w:t>QG17为PE管，各自从QG08引水，水力计算在高效节水章节。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ascii="Times New Roman" w:hAnsi="Times New Roman"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jc w:val="both"/>
        <w:rPr>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bookmarkEnd w:id="73"/>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7" w:name="_Toc45723039"/>
      <w:r>
        <w:rPr>
          <w:rFonts w:hint="eastAsia" w:ascii="黑体" w:hAnsi="黑体" w:eastAsia="黑体" w:cs="黑体"/>
          <w:b w:val="0"/>
          <w:bCs w:val="0"/>
          <w:color w:val="auto"/>
          <w:kern w:val="2"/>
          <w:sz w:val="28"/>
          <w:szCs w:val="28"/>
          <w:lang w:val="en-US" w:eastAsia="zh-CN" w:bidi="ar-SA"/>
        </w:rPr>
        <w:t>排水工程设计</w:t>
      </w:r>
      <w:bookmarkEnd w:id="77"/>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（1）排水设计标准</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项目区排水设计暴雨重现期采用5a～10a一遇，水田3d暴雨5d排至作物耐淹水深。</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（2）设计排水模数</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项目区田间排水采用平均排除法计算：</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w:t>
      </w:r>
      <w:r>
        <w:rPr>
          <w:rFonts w:hint="eastAsia" w:ascii="仿宋_GB2312" w:hAnsi="仿宋_GB2312" w:eastAsia="仿宋_GB2312" w:cs="仿宋_GB2312"/>
          <w:color w:val="auto"/>
          <w:sz w:val="28"/>
          <w:szCs w:val="28"/>
          <w:vertAlign w:val="subscript"/>
        </w:rPr>
        <w:t>w</w:t>
      </w:r>
      <w:r>
        <w:rPr>
          <w:rFonts w:hint="eastAsia" w:ascii="仿宋_GB2312" w:hAnsi="仿宋_GB2312" w:eastAsia="仿宋_GB2312" w:cs="仿宋_GB2312"/>
          <w:color w:val="auto"/>
          <w:sz w:val="28"/>
          <w:szCs w:val="28"/>
        </w:rPr>
        <w:t>=（P-h</w:t>
      </w:r>
      <w:r>
        <w:rPr>
          <w:rFonts w:hint="eastAsia" w:ascii="仿宋_GB2312" w:hAnsi="仿宋_GB2312" w:eastAsia="仿宋_GB2312" w:cs="仿宋_GB2312"/>
          <w:color w:val="auto"/>
          <w:sz w:val="28"/>
          <w:szCs w:val="28"/>
          <w:vertAlign w:val="subscript"/>
        </w:rPr>
        <w:t>1</w:t>
      </w:r>
      <w:r>
        <w:rPr>
          <w:rFonts w:hint="eastAsia" w:ascii="仿宋_GB2312" w:hAnsi="仿宋_GB2312" w:eastAsia="仿宋_GB2312" w:cs="仿宋_GB2312"/>
          <w:color w:val="auto"/>
          <w:sz w:val="28"/>
          <w:szCs w:val="28"/>
        </w:rPr>
        <w:t>-ET’-F）/（86.4T）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式中：h1——水田滞水深，取50mm</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P——10年一遇3d暴雨，设计暴雨量280mm</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ET——1d水田蒸发量，4mm</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F——1d水田渗漏量，5mm</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T——设计排水历时，3d</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w:t>
      </w:r>
      <w:r>
        <w:rPr>
          <w:rFonts w:hint="eastAsia" w:ascii="仿宋_GB2312" w:hAnsi="仿宋_GB2312" w:eastAsia="仿宋_GB2312" w:cs="仿宋_GB2312"/>
          <w:color w:val="auto"/>
          <w:sz w:val="28"/>
          <w:szCs w:val="28"/>
          <w:vertAlign w:val="subscript"/>
        </w:rPr>
        <w:t>w</w:t>
      </w:r>
      <w:r>
        <w:rPr>
          <w:rFonts w:hint="eastAsia" w:ascii="仿宋_GB2312" w:hAnsi="仿宋_GB2312" w:eastAsia="仿宋_GB2312" w:cs="仿宋_GB2312"/>
          <w:color w:val="auto"/>
          <w:sz w:val="28"/>
          <w:szCs w:val="28"/>
        </w:rPr>
        <w:t>——设计排水模数，m³/（s．km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经测算，项目区设计排涝模数取q</w:t>
      </w:r>
      <w:r>
        <w:rPr>
          <w:rFonts w:hint="eastAsia" w:ascii="仿宋_GB2312" w:hAnsi="仿宋_GB2312" w:eastAsia="仿宋_GB2312" w:cs="仿宋_GB2312"/>
          <w:color w:val="auto"/>
          <w:sz w:val="28"/>
          <w:szCs w:val="28"/>
          <w:vertAlign w:val="subscript"/>
        </w:rPr>
        <w:t>w</w:t>
      </w:r>
      <w:r>
        <w:rPr>
          <w:rFonts w:hint="eastAsia" w:ascii="仿宋_GB2312" w:hAnsi="仿宋_GB2312" w:eastAsia="仿宋_GB2312" w:cs="仿宋_GB2312"/>
          <w:color w:val="auto"/>
          <w:sz w:val="28"/>
          <w:szCs w:val="28"/>
        </w:rPr>
        <w:t>=0.853m³/（s.km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（3）排水沟设计流量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田间排水沟设计流量的推算公式：</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w:t>
      </w:r>
      <w:r>
        <w:rPr>
          <w:rFonts w:hint="eastAsia" w:ascii="仿宋_GB2312" w:hAnsi="仿宋_GB2312" w:eastAsia="仿宋_GB2312" w:cs="仿宋_GB2312"/>
          <w:color w:val="auto"/>
          <w:sz w:val="28"/>
          <w:szCs w:val="28"/>
          <w:vertAlign w:val="subscript"/>
        </w:rPr>
        <w:t>p</w:t>
      </w:r>
      <w:r>
        <w:rPr>
          <w:rFonts w:hint="eastAsia" w:ascii="仿宋_GB2312" w:hAnsi="仿宋_GB2312" w:eastAsia="仿宋_GB2312" w:cs="仿宋_GB2312"/>
          <w:color w:val="auto"/>
          <w:sz w:val="28"/>
          <w:szCs w:val="28"/>
        </w:rPr>
        <w:t>＝q</w:t>
      </w:r>
      <w:r>
        <w:rPr>
          <w:rFonts w:hint="eastAsia" w:ascii="仿宋_GB2312" w:hAnsi="仿宋_GB2312" w:eastAsia="仿宋_GB2312" w:cs="仿宋_GB2312"/>
          <w:color w:val="auto"/>
          <w:sz w:val="28"/>
          <w:szCs w:val="28"/>
          <w:vertAlign w:val="subscript"/>
        </w:rPr>
        <w:t>w</w:t>
      </w:r>
      <w:r>
        <w:rPr>
          <w:rFonts w:hint="eastAsia" w:ascii="仿宋_GB2312" w:hAnsi="仿宋_GB2312" w:eastAsia="仿宋_GB2312" w:cs="仿宋_GB2312"/>
          <w:color w:val="auto"/>
          <w:sz w:val="28"/>
          <w:szCs w:val="28"/>
        </w:rPr>
        <w:t>F</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式中：Q</w:t>
      </w:r>
      <w:r>
        <w:rPr>
          <w:rFonts w:hint="eastAsia" w:ascii="仿宋_GB2312" w:hAnsi="仿宋_GB2312" w:eastAsia="仿宋_GB2312" w:cs="仿宋_GB2312"/>
          <w:color w:val="auto"/>
          <w:sz w:val="28"/>
          <w:szCs w:val="28"/>
          <w:vertAlign w:val="subscript"/>
        </w:rPr>
        <w:t>p</w:t>
      </w:r>
      <w:r>
        <w:rPr>
          <w:rFonts w:hint="eastAsia" w:ascii="仿宋_GB2312" w:hAnsi="仿宋_GB2312" w:eastAsia="仿宋_GB2312" w:cs="仿宋_GB2312"/>
          <w:color w:val="auto"/>
          <w:sz w:val="28"/>
          <w:szCs w:val="28"/>
        </w:rPr>
        <w:t>——排水沟设计流量(m³/s)；</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w:t>
      </w:r>
      <w:r>
        <w:rPr>
          <w:rFonts w:hint="eastAsia" w:ascii="仿宋_GB2312" w:hAnsi="仿宋_GB2312" w:eastAsia="仿宋_GB2312" w:cs="仿宋_GB2312"/>
          <w:color w:val="auto"/>
          <w:sz w:val="28"/>
          <w:szCs w:val="28"/>
          <w:vertAlign w:val="subscript"/>
        </w:rPr>
        <w:t>w</w:t>
      </w:r>
      <w:r>
        <w:rPr>
          <w:rFonts w:hint="eastAsia" w:ascii="仿宋_GB2312" w:hAnsi="仿宋_GB2312" w:eastAsia="仿宋_GB2312" w:cs="仿宋_GB2312"/>
          <w:color w:val="auto"/>
          <w:sz w:val="28"/>
          <w:szCs w:val="28"/>
        </w:rPr>
        <w:t>——排水模数，m³/(s·km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)，根据前面分析为0.853m³/(s·km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400" w:firstLineChars="5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F——排水沟控制面积，km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（4）排水沟横断面设计</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排水沟横断面采用明渠均匀流公式进行计算，公式同渠道水力计算公式。断面选择过程与渠道采用试算法。</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（5）排水沟允许不冲不淤流速</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渠道流速满足V</w:t>
      </w:r>
      <w:r>
        <w:rPr>
          <w:rFonts w:hint="eastAsia" w:ascii="仿宋_GB2312" w:hAnsi="仿宋_GB2312" w:eastAsia="仿宋_GB2312" w:cs="仿宋_GB2312"/>
          <w:color w:val="auto"/>
          <w:sz w:val="28"/>
          <w:szCs w:val="28"/>
          <w:vertAlign w:val="subscript"/>
        </w:rPr>
        <w:t>不淤</w:t>
      </w:r>
      <w:r>
        <w:rPr>
          <w:rFonts w:hint="eastAsia" w:ascii="仿宋_GB2312" w:hAnsi="仿宋_GB2312" w:eastAsia="仿宋_GB2312" w:cs="仿宋_GB2312"/>
          <w:color w:val="auto"/>
          <w:sz w:val="28"/>
          <w:szCs w:val="28"/>
        </w:rPr>
        <w:t>&lt;V</w:t>
      </w:r>
      <w:r>
        <w:rPr>
          <w:rFonts w:hint="eastAsia" w:ascii="仿宋_GB2312" w:hAnsi="仿宋_GB2312" w:eastAsia="仿宋_GB2312" w:cs="仿宋_GB2312"/>
          <w:color w:val="auto"/>
          <w:sz w:val="28"/>
          <w:szCs w:val="28"/>
          <w:vertAlign w:val="subscript"/>
        </w:rPr>
        <w:t>设</w:t>
      </w:r>
      <w:r>
        <w:rPr>
          <w:rFonts w:hint="eastAsia" w:ascii="仿宋_GB2312" w:hAnsi="仿宋_GB2312" w:eastAsia="仿宋_GB2312" w:cs="仿宋_GB2312"/>
          <w:color w:val="auto"/>
          <w:sz w:val="28"/>
          <w:szCs w:val="28"/>
        </w:rPr>
        <w:t>&lt;V</w:t>
      </w:r>
      <w:r>
        <w:rPr>
          <w:rFonts w:hint="eastAsia" w:ascii="仿宋_GB2312" w:hAnsi="仿宋_GB2312" w:eastAsia="仿宋_GB2312" w:cs="仿宋_GB2312"/>
          <w:color w:val="auto"/>
          <w:sz w:val="28"/>
          <w:szCs w:val="28"/>
          <w:vertAlign w:val="subscript"/>
        </w:rPr>
        <w:t>不冲要求</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（6）排水渠（沟）设计方案说明</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auto"/>
        <w:rPr>
          <w:rFonts w:ascii="Times New Roman" w:hAnsi="Times New Roman" w:eastAsia="宋体" w:cs="Times New Roman"/>
          <w:color w:val="auto"/>
          <w:sz w:val="28"/>
          <w:szCs w:val="28"/>
        </w:rPr>
      </w:pPr>
      <w:r>
        <w:rPr>
          <w:rFonts w:hint="eastAsia" w:ascii="仿宋_GB2312" w:hAnsi="仿宋_GB2312" w:eastAsia="仿宋_GB2312" w:cs="仿宋_GB2312"/>
          <w:color w:val="auto"/>
          <w:sz w:val="28"/>
          <w:szCs w:val="28"/>
        </w:rPr>
        <w:t>排渠衬砌基本原则为：从生态和环保的角度出发，使沟道中水流缓流和急流相间，营造野生动植物生存环境，沟道较宽或弯曲的河段不刻意缩窄或裁直。排水沟道主要以清淤、疏浚和采用生态护岸处理，较宽河段两岸护砌体曲线优美、过渡平顺，较窄河段满足设计洪峰流量。沟底仅清淤，不衬砌。排水沟断面设计成果，详表6.7-1。排水沟断面设计图纸，详见设计图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jc w:val="both"/>
        <w:rPr>
          <w:color w:val="auto"/>
          <w:sz w:val="28"/>
          <w:szCs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表.7-1  排水沟断面设计成果表</w:t>
      </w:r>
    </w:p>
    <w:tbl>
      <w:tblPr>
        <w:tblStyle w:val="14"/>
        <w:tblW w:w="14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87"/>
        <w:gridCol w:w="895"/>
        <w:gridCol w:w="1302"/>
        <w:gridCol w:w="898"/>
        <w:gridCol w:w="836"/>
        <w:gridCol w:w="996"/>
        <w:gridCol w:w="898"/>
        <w:gridCol w:w="898"/>
        <w:gridCol w:w="898"/>
        <w:gridCol w:w="898"/>
        <w:gridCol w:w="898"/>
        <w:gridCol w:w="898"/>
        <w:gridCol w:w="898"/>
        <w:gridCol w:w="797"/>
        <w:gridCol w:w="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渠道名称</w:t>
            </w:r>
          </w:p>
        </w:tc>
        <w:tc>
          <w:tcPr>
            <w:tcW w:w="8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断面类型</w:t>
            </w:r>
          </w:p>
        </w:tc>
        <w:tc>
          <w:tcPr>
            <w:tcW w:w="13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断面尺寸</w:t>
            </w:r>
          </w:p>
        </w:tc>
        <w:tc>
          <w:tcPr>
            <w:tcW w:w="8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渠道长度（m）</w:t>
            </w:r>
          </w:p>
        </w:tc>
        <w:tc>
          <w:tcPr>
            <w:tcW w:w="8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控制面积（亩）</w:t>
            </w:r>
          </w:p>
        </w:tc>
        <w:tc>
          <w:tcPr>
            <w:tcW w:w="99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排涝流量（m3/s）</w:t>
            </w:r>
          </w:p>
        </w:tc>
        <w:tc>
          <w:tcPr>
            <w:tcW w:w="80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渠道断面各水力要素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13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下底宽(m)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上口宽(m)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设计水深(m)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安全超高(m)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渠底比降</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边坡系数</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糙率</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设计流量(m3/s)</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设计流速(m/s)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XX村</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QP01</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136</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282</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0.160</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毛家岗村</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QP02</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967</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312</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0.178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0.56</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QP03</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254</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256</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0.146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QP04</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363</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345</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0.67</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QP05</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339</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455</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0.259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QP06</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1.2～1.3×0.8m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1054</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288</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0.164</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0.50</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QP07</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0.9×0.8m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323</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245</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0.139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金坪村</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QP08</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319</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302</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0.172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QP09</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290</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230</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0.131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QP10</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226</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221</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0.126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QP11</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255</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230</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0.131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QP12</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150</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0.085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QP13</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167</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135</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0.077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QP14</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291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365</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0.208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QP15</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196</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0.112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QP16</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563</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0.320</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0.32</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QP17</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228</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124</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0.071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QP18</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320</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0.182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QP19</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0.8×0.6m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146</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280</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0.159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0.8</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0.5</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0.19</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0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QP20</w:t>
            </w:r>
          </w:p>
        </w:tc>
        <w:tc>
          <w:tcPr>
            <w:tcW w:w="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矩形</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1.9×0.8m</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261</w:t>
            </w:r>
          </w:p>
        </w:tc>
        <w:tc>
          <w:tcPr>
            <w:tcW w:w="8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645</w:t>
            </w:r>
          </w:p>
        </w:tc>
        <w:tc>
          <w:tcPr>
            <w:tcW w:w="9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0.367</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0.2</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0.001</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0.025</w:t>
            </w:r>
          </w:p>
        </w:tc>
        <w:tc>
          <w:tcPr>
            <w:tcW w:w="7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0.74</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0.65</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ascii="Times New Roman" w:hAnsi="宋体" w:eastAsia="黑体" w:cs="Times New Roman"/>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jc w:val="both"/>
        <w:rPr>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outlineLvl w:val="1"/>
        <w:rPr>
          <w:rFonts w:hint="eastAsia" w:ascii="黑体" w:hAnsi="黑体" w:eastAsia="黑体" w:cs="黑体"/>
          <w:b w:val="0"/>
          <w:bCs w:val="0"/>
          <w:color w:val="auto"/>
          <w:kern w:val="2"/>
          <w:sz w:val="28"/>
          <w:szCs w:val="28"/>
          <w:lang w:val="en-US" w:eastAsia="zh-CN" w:bidi="ar-SA"/>
        </w:rPr>
      </w:pPr>
      <w:bookmarkStart w:id="78" w:name="_Toc45723040"/>
      <w:r>
        <w:rPr>
          <w:rFonts w:hint="eastAsia" w:ascii="黑体" w:hAnsi="黑体" w:eastAsia="黑体" w:cs="黑体"/>
          <w:b w:val="0"/>
          <w:bCs w:val="0"/>
          <w:color w:val="auto"/>
          <w:kern w:val="2"/>
          <w:sz w:val="28"/>
          <w:szCs w:val="28"/>
          <w:lang w:val="en-US" w:eastAsia="zh-CN" w:bidi="ar-SA"/>
        </w:rPr>
        <w:t>高效节水灌溉工程设计</w:t>
      </w:r>
      <w:bookmarkEnd w:id="78"/>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本次项目高效节水选择在金坪村XX水库下游1000亩农田，采用低压管道灌溉模式，从沿村道北边布置的QG08取水，设7处取水口，铺设7条PE支管，南北方向平行布置。</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灌溉设计保证率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根据《农田低压管道输水灌溉工程技术规范》(GB/T 20203-2006)要求，低压管道灌溉设计保证率取90%。</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灌溉水利用系数</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根据规范，管道系统水利用系数设计值为0.90，水稻灌区田间水利用设计值为0.95，低压管道灌溉系统灌溉水利用系数为0.86。</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粮食水分生产率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项目实施后，低压管道灌溉项目区农作物水分生产率要求达到1.8Kg/m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水力计算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力计算的主要目的是根据流量选择经济管径，复核出水口水压标高，按给水栓厂家提供的数据，最不利出水口最小水压标高不低于0.2m即可正常出流。因本项目每根支管均是从QG08明渠取水，相互间不影响，计算较为简单，故管道编号延续灌渠编号，从QG11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QG17，总长1924m。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（1）设计流量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各管段所要通过的流量由最大一次灌水定额和所承担的灌溉面积确定，按下式计算。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object>
          <v:shape id="_x0000_i1038" o:spt="75" type="#_x0000_t75" style="height:33.75pt;width:60.75pt;" o:ole="t" filled="f" o:preferrelative="t" stroked="f" coordsize="21600,21600">
            <v:path/>
            <v:fill on="f" focussize="0,0"/>
            <v:stroke on="f" joinstyle="miter"/>
            <v:imagedata r:id="rId83" o:title=""/>
            <o:lock v:ext="edit" aspectratio="t"/>
            <w10:wrap type="none"/>
            <w10:anchorlock/>
          </v:shape>
          <o:OLEObject Type="Embed" ProgID="Equation.DSMT4" ShapeID="_x0000_i1038" DrawAspect="Content" ObjectID="_1468075738" r:id="rId8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式中：Q</w:t>
      </w:r>
      <w:r>
        <w:rPr>
          <w:rFonts w:hint="eastAsia" w:ascii="仿宋_GB2312" w:hAnsi="仿宋_GB2312" w:eastAsia="仿宋_GB2312" w:cs="仿宋_GB2312"/>
          <w:color w:val="auto"/>
          <w:sz w:val="28"/>
          <w:szCs w:val="28"/>
          <w:vertAlign w:val="subscript"/>
        </w:rPr>
        <w:t>0</w:t>
      </w:r>
      <w:r>
        <w:rPr>
          <w:rFonts w:hint="eastAsia" w:ascii="仿宋_GB2312" w:hAnsi="仿宋_GB2312" w:eastAsia="仿宋_GB2312" w:cs="仿宋_GB2312"/>
          <w:color w:val="auto"/>
          <w:sz w:val="28"/>
          <w:szCs w:val="28"/>
        </w:rPr>
        <w:t>——管灌系统的灌溉设计流量，m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/h；</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α——作物种植比例，取1.0；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m——最大一次灌水定额，取泡田定额，80m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A——管道控制灌溉面积，亩；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η</w:t>
      </w:r>
      <w:r>
        <w:rPr>
          <w:rFonts w:hint="eastAsia" w:ascii="仿宋_GB2312" w:hAnsi="仿宋_GB2312" w:eastAsia="仿宋_GB2312" w:cs="仿宋_GB2312"/>
          <w:color w:val="auto"/>
          <w:kern w:val="2"/>
          <w:sz w:val="28"/>
          <w:szCs w:val="28"/>
          <w:vertAlign w:val="subscript"/>
          <w:lang w:val="en-US" w:eastAsia="zh-CN" w:bidi="ar-SA"/>
        </w:rPr>
        <w:t>1</w:t>
      </w:r>
      <w:r>
        <w:rPr>
          <w:rFonts w:hint="eastAsia" w:ascii="仿宋_GB2312" w:hAnsi="仿宋_GB2312" w:eastAsia="仿宋_GB2312" w:cs="仿宋_GB2312"/>
          <w:color w:val="auto"/>
          <w:kern w:val="2"/>
          <w:sz w:val="28"/>
          <w:szCs w:val="28"/>
          <w:lang w:val="en-US" w:eastAsia="zh-CN" w:bidi="ar-SA"/>
        </w:rPr>
        <w:t>、η</w:t>
      </w:r>
      <w:r>
        <w:rPr>
          <w:rFonts w:hint="eastAsia" w:ascii="仿宋_GB2312" w:hAnsi="仿宋_GB2312" w:eastAsia="仿宋_GB2312" w:cs="仿宋_GB2312"/>
          <w:color w:val="auto"/>
          <w:kern w:val="2"/>
          <w:sz w:val="28"/>
          <w:szCs w:val="28"/>
          <w:vertAlign w:val="subscript"/>
          <w:lang w:val="en-US" w:eastAsia="zh-CN" w:bidi="ar-SA"/>
        </w:rPr>
        <w:t>2</w:t>
      </w:r>
      <w:r>
        <w:rPr>
          <w:rFonts w:hint="eastAsia" w:ascii="仿宋_GB2312" w:hAnsi="仿宋_GB2312" w:eastAsia="仿宋_GB2312" w:cs="仿宋_GB2312"/>
          <w:color w:val="auto"/>
          <w:kern w:val="2"/>
          <w:sz w:val="28"/>
          <w:szCs w:val="28"/>
          <w:lang w:val="en-US" w:eastAsia="zh-CN" w:bidi="ar-SA"/>
        </w:rPr>
        <w:t>——管道、田间灌溉水利用系数，取0.90和0.97；</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T——灌溉天数，取10天；</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t——每昼夜工作时间，取16h；</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（2）管径计算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项目区水田灌溉采用PE管，其管道内水流速宜采用1.0～1.5m/s为宜，本次设计主管取v=1.5m/s，分干管取v=1.5m/s，设计管径采用经济管径计算公式：</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object>
          <v:shape id="_x0000_i1039" o:spt="75" type="#_x0000_t75" style="height:35.25pt;width:73.5pt;" o:ole="t" filled="f" o:preferrelative="t" stroked="f" coordsize="21600,21600">
            <v:path/>
            <v:fill on="f" focussize="0,0"/>
            <v:stroke on="f" joinstyle="miter"/>
            <v:imagedata r:id="rId70" o:title=""/>
            <o:lock v:ext="edit" aspectratio="t"/>
            <w10:wrap type="none"/>
            <w10:anchorlock/>
          </v:shape>
          <o:OLEObject Type="Embed" ProgID="Equation.DSMT4" ShapeID="_x0000_i1039" DrawAspect="Content" ObjectID="_1468075739" r:id="rId84">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式中：D——管径(mm)；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Q——设计流量，m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/h；</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1400" w:firstLineChars="5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V——经济流速，m/s；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（3）干管水头损失计算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干支管水头损失计算采用公式</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object>
          <v:shape id="_x0000_i1040" o:spt="75" type="#_x0000_t75" style="height:33.75pt;width:70.5pt;" o:ole="t" filled="f" o:preferrelative="t" stroked="f" coordsize="21600,21600">
            <v:path/>
            <v:fill on="f" focussize="0,0"/>
            <v:stroke on="f" joinstyle="miter"/>
            <v:imagedata r:id="rId86" o:title=""/>
            <o:lock v:ext="edit" aspectratio="t"/>
            <w10:wrap type="none"/>
            <w10:anchorlock/>
          </v:shape>
          <o:OLEObject Type="Embed" ProgID="Equation.DSMT4" ShapeID="_x0000_i1040" DrawAspect="Content" ObjectID="_1468075740" r:id="rId8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式中：f——管材摩阻系数，选取PE管材，则f =0.000915</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Q——设计流量，m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/s</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m——流量指数，取1.77</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d——管道内径,mm</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1400" w:firstLineChars="5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L——管道长度,m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1400" w:firstLineChars="5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b——管径指数，取4.77</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各种管材的f、m、b值，可按表6.8-2取用</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表6.8-2  不同管材摩阻系数、流量指数、管径指数值表</w:t>
      </w:r>
    </w:p>
    <w:tbl>
      <w:tblPr>
        <w:tblStyle w:val="14"/>
        <w:tblW w:w="8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645"/>
        <w:gridCol w:w="2227"/>
        <w:gridCol w:w="1772"/>
        <w:gridCol w:w="1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管材类别</w:t>
            </w:r>
          </w:p>
        </w:tc>
        <w:tc>
          <w:tcPr>
            <w:tcW w:w="22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管材摩阻系数f</w:t>
            </w:r>
          </w:p>
        </w:tc>
        <w:tc>
          <w:tcPr>
            <w:tcW w:w="17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流量指数m</w:t>
            </w:r>
          </w:p>
        </w:tc>
        <w:tc>
          <w:tcPr>
            <w:tcW w:w="1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管径指数b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塑料管</w:t>
            </w:r>
          </w:p>
        </w:tc>
        <w:tc>
          <w:tcPr>
            <w:tcW w:w="22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 948×105</w:t>
            </w:r>
          </w:p>
        </w:tc>
        <w:tc>
          <w:tcPr>
            <w:tcW w:w="17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1.77</w:t>
            </w:r>
          </w:p>
        </w:tc>
        <w:tc>
          <w:tcPr>
            <w:tcW w:w="1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石棉水泥管</w:t>
            </w:r>
          </w:p>
        </w:tc>
        <w:tc>
          <w:tcPr>
            <w:tcW w:w="22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 455×105</w:t>
            </w:r>
          </w:p>
        </w:tc>
        <w:tc>
          <w:tcPr>
            <w:tcW w:w="17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1.85</w:t>
            </w:r>
          </w:p>
        </w:tc>
        <w:tc>
          <w:tcPr>
            <w:tcW w:w="1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混凝土管</w:t>
            </w:r>
          </w:p>
        </w:tc>
        <w:tc>
          <w:tcPr>
            <w:tcW w:w="22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 516×106</w:t>
            </w:r>
          </w:p>
        </w:tc>
        <w:tc>
          <w:tcPr>
            <w:tcW w:w="17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旧钢管、旧铸铁管</w:t>
            </w:r>
          </w:p>
        </w:tc>
        <w:tc>
          <w:tcPr>
            <w:tcW w:w="22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 25×105</w:t>
            </w:r>
          </w:p>
        </w:tc>
        <w:tc>
          <w:tcPr>
            <w:tcW w:w="17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w:t>
            </w:r>
          </w:p>
        </w:tc>
        <w:tc>
          <w:tcPr>
            <w:tcW w:w="1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both"/>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局部水头损失一般取沿程水头损失的10%--15%,本次设计取10%。因管道较短，不考虑根据流量变径。</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本项目采用采用PE63级聚乙烯管材，0.6Mpa公称压力，计算结果如下表6.8-2。</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en-US" w:bidi="ar-SA"/>
        </w:rPr>
      </w:pPr>
      <w:r>
        <w:rPr>
          <w:rFonts w:hint="eastAsia" w:ascii="黑体" w:hAnsi="黑体" w:eastAsia="黑体" w:cs="黑体"/>
          <w:b w:val="0"/>
          <w:bCs/>
          <w:color w:val="auto"/>
          <w:kern w:val="32"/>
          <w:sz w:val="28"/>
          <w:szCs w:val="28"/>
          <w:lang w:val="en-US" w:eastAsia="en-US" w:bidi="ar-SA"/>
        </w:rPr>
        <w:t>表6.8</w:t>
      </w:r>
      <w:r>
        <w:rPr>
          <w:rFonts w:hint="eastAsia" w:ascii="黑体" w:hAnsi="黑体" w:eastAsia="黑体" w:cs="黑体"/>
          <w:b w:val="0"/>
          <w:bCs/>
          <w:color w:val="auto"/>
          <w:kern w:val="32"/>
          <w:sz w:val="28"/>
          <w:szCs w:val="28"/>
          <w:lang w:val="en-US" w:eastAsia="zh-CN" w:bidi="ar-SA"/>
        </w:rPr>
        <w:t>-</w:t>
      </w:r>
      <w:r>
        <w:rPr>
          <w:rFonts w:hint="eastAsia" w:ascii="黑体" w:hAnsi="黑体" w:eastAsia="黑体" w:cs="黑体"/>
          <w:b w:val="0"/>
          <w:bCs/>
          <w:color w:val="auto"/>
          <w:kern w:val="32"/>
          <w:sz w:val="28"/>
          <w:szCs w:val="28"/>
          <w:lang w:val="en-US" w:eastAsia="en-US" w:bidi="ar-SA"/>
        </w:rPr>
        <w:t>2  QG11</w:t>
      </w:r>
      <w:r>
        <w:rPr>
          <w:rFonts w:hint="eastAsia" w:ascii="黑体" w:hAnsi="黑体" w:eastAsia="黑体" w:cs="黑体"/>
          <w:b w:val="0"/>
          <w:bCs/>
          <w:color w:val="auto"/>
          <w:kern w:val="32"/>
          <w:sz w:val="28"/>
          <w:szCs w:val="28"/>
          <w:lang w:val="en-US" w:eastAsia="zh-CN" w:bidi="ar-SA"/>
        </w:rPr>
        <w:t>~</w:t>
      </w:r>
      <w:r>
        <w:rPr>
          <w:rFonts w:hint="eastAsia" w:ascii="黑体" w:hAnsi="黑体" w:eastAsia="黑体" w:cs="黑体"/>
          <w:b w:val="0"/>
          <w:bCs/>
          <w:color w:val="auto"/>
          <w:kern w:val="32"/>
          <w:sz w:val="28"/>
          <w:szCs w:val="28"/>
          <w:lang w:val="en-US" w:eastAsia="en-US" w:bidi="ar-SA"/>
        </w:rPr>
        <w:t>QG17管道水力计算成果表</w:t>
      </w:r>
    </w:p>
    <w:tbl>
      <w:tblPr>
        <w:tblStyle w:val="14"/>
        <w:tblW w:w="88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867"/>
        <w:gridCol w:w="999"/>
        <w:gridCol w:w="999"/>
        <w:gridCol w:w="999"/>
        <w:gridCol w:w="999"/>
        <w:gridCol w:w="999"/>
        <w:gridCol w:w="999"/>
        <w:gridCol w:w="10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名称</w:t>
            </w:r>
          </w:p>
        </w:tc>
        <w:tc>
          <w:tcPr>
            <w:tcW w:w="7005"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QG灌溉管道名称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QG11</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QG12</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QG13</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QG14</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QG15</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QG16</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QG17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取水点桩号</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0+198</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0+554</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1+057</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1+489</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1+646</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长度(m)</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282</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159</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213</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387</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298</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236</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灌溉面积</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96</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114</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86</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一次灌水流量(m3/s)</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0.0090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0.0074</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0.0071</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0.0107</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0.0081</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0.0047</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源点水头(m)</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43.90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43.20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42.51</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42.23</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41.94</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41.84</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最不利点高程(m)</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38.69</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38.03</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37.3</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37.5</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36.5</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36.5</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选用管径(mm)</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管道水头损失</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0.75</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2.26</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1.40</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3.96</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1.22</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出口水压标高(m)</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4.46</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3.37</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2.95</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3.33</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1.48</w:t>
            </w:r>
          </w:p>
        </w:tc>
        <w:tc>
          <w:tcPr>
            <w:tcW w:w="99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4.12</w:t>
            </w:r>
          </w:p>
        </w:tc>
        <w:tc>
          <w:tcPr>
            <w:tcW w:w="10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872"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说明：管道均从QG08XX水库左干渠取水，管道采用PE63级聚乙烯管材，0.6Mpa公称压力</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both"/>
        <w:rPr>
          <w:rFonts w:ascii="Times New Roman" w:hAnsi="Times New Roman"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79" w:name="_Toc45723041"/>
      <w:r>
        <w:rPr>
          <w:rFonts w:hint="eastAsia" w:ascii="黑体" w:hAnsi="黑体" w:eastAsia="黑体" w:cs="黑体"/>
          <w:b w:val="0"/>
          <w:bCs w:val="0"/>
          <w:color w:val="auto"/>
          <w:kern w:val="2"/>
          <w:sz w:val="28"/>
          <w:szCs w:val="28"/>
          <w:lang w:val="en-US" w:eastAsia="zh-CN" w:bidi="ar-SA"/>
        </w:rPr>
        <w:t>渠系建筑物设计</w:t>
      </w:r>
      <w:bookmarkEnd w:id="79"/>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（1）人行桥、机耕桥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后，为方便居民生产生活，提高耕作效率，根据交通要求在跨越渠道处适当位置布置人行桥和机耕桥。本次设计的人行桥结构简单，采用C25砼现浇简支板，板厚为12cm，宽100cm，渠墙两侧设现浇砼桥墩，在靠近桥面板下表侧布置受力筋和分布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机耕桥桥板厚为20cm，桥面宽3.0m，跨度视沟渠宽而定。每座机耕桥处都要用浆砌石做其支撑结构，顶部采用C20砼现浇台帽，在靠近桥面板下侧配置相应的分布筋和受力筋，上表侧配置构造筋。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（2）简易闸</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项目区内节制闸规模小，数量多，设计采用简易闸。节制闸段采用C20砼现浇，顺水流方向0.2m，垂直方向1.0m，预埋10#槽钢做门槽，闸门用成品钢闸门。详见附图。</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（3）进出水口</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项目区灌排渠道为满足田间灌溉，利于水流控制，在渠道适当位置设置进出水口，进出水口采用φ200预制砼圆涵，进口或出口设DN200拍门，详见设计图册。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（4）取水码头和生物通道</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为了方便农民到渠道中取水或生活便民，根据渠道的深度、长度和实际地形来设置，生物通道可以结合取水码头一起布置，详见设计图册。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（5）预制涵管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项目区交叉建筑物的预制涵管的布置，底部需要设0.2m厚的砼垫层。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80" w:name="_Toc45723042"/>
      <w:r>
        <w:rPr>
          <w:rFonts w:hint="eastAsia" w:ascii="黑体" w:hAnsi="黑体" w:eastAsia="黑体" w:cs="黑体"/>
          <w:b w:val="0"/>
          <w:bCs w:val="0"/>
          <w:color w:val="auto"/>
          <w:kern w:val="2"/>
          <w:sz w:val="28"/>
          <w:szCs w:val="28"/>
          <w:lang w:val="en-US" w:eastAsia="zh-CN" w:bidi="ar-SA"/>
        </w:rPr>
        <w:t>道路设计</w:t>
      </w:r>
      <w:bookmarkEnd w:id="80"/>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设计原则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（1）在满足技术标准和行车安全的前提下，尽量不破坏原有地形、地貌，以维护原有的自然环境和景色。</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（2）田间道路线路以沿原道路或项目规划改造的沟渠布设为主，既方便工程施工，满足田间生产的需求，又节约了耕地资源。</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设计标准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根据《机耕道通用技术条件》（</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rPr>
        <w:t>省地方标准DB43/T580-2010)及现有道路交通情况，本次设计拟采用田间道路-I级，设计行车速度20k m/h。</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设计方案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（1）路基设计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已有田间道路整修须整平原有路面，不足设计标高须填土压实；新修田间道路须清除路床下原有腐殖土、耕作泥再填土压实，达设计标高后填10cm厚碎石压实，路基压实厚度每次不大于30cm，压实度大于90%。</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（2）路面设计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路面充分考虑沿线气候、水文条件，遵循因地制宜，就地取材，方便施工，利于养护，经济合理的原则，结合环境治理要求进行设计。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本次规划机耕路均采用0.15m厚泥结石路面，路面泥结石所用石料，底层粒径采用1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2cm或2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3cm的卵石，面层粒径采用3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4cm的卵石，泥结石层所用土料，塑性指数以12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15为宜，粘土内不得含腐殖质或其他杂物，按土：石（30：70）的比例（重量比），路面横坡3%，素土路肩横坡4%，路基和路面压实度≥92%，面层15mm厚黑色碎石磨耗层。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（3）其他设施</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1）坡口</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田间道路设置供农业机械下田和上路的坡口，坡口处数根据实际需要确定。坡口为扇形合成坡，坡口坡度不大于18%，宽度3.0m。两侧现浇砼挡墙作防滑处理，供机械行走，中间填土植草皮。坡口位置宜设置在田角。</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bookmarkStart w:id="81" w:name="_Toc436127847"/>
      <w:r>
        <w:rPr>
          <w:rFonts w:hint="eastAsia" w:ascii="仿宋_GB2312" w:hAnsi="仿宋_GB2312" w:eastAsia="仿宋_GB2312" w:cs="仿宋_GB2312"/>
          <w:color w:val="auto"/>
          <w:sz w:val="28"/>
          <w:szCs w:val="28"/>
        </w:rPr>
        <w:t>2）错车道</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根据需要设置错车道，错车道的间距可结合地形、视距等条件确定，设置错车道路段的路基宽度不小于6m，有效长度应不小于15m。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项目区田间道路设计成果见表6.10-1及设计图册。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2" w:firstLineChars="200"/>
        <w:jc w:val="both"/>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表6.10-1   项目区田间道路设计成果</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52"/>
        <w:gridCol w:w="1142"/>
        <w:gridCol w:w="689"/>
        <w:gridCol w:w="831"/>
        <w:gridCol w:w="689"/>
        <w:gridCol w:w="689"/>
        <w:gridCol w:w="689"/>
        <w:gridCol w:w="692"/>
        <w:gridCol w:w="689"/>
        <w:gridCol w:w="912"/>
        <w:gridCol w:w="712"/>
        <w:gridCol w:w="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45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114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编号</w:t>
            </w:r>
          </w:p>
        </w:tc>
        <w:tc>
          <w:tcPr>
            <w:tcW w:w="6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建设性质</w:t>
            </w:r>
          </w:p>
        </w:tc>
        <w:tc>
          <w:tcPr>
            <w:tcW w:w="83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道路长度（m）</w:t>
            </w:r>
          </w:p>
        </w:tc>
        <w:tc>
          <w:tcPr>
            <w:tcW w:w="6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路面宽度(m)</w:t>
            </w:r>
          </w:p>
        </w:tc>
        <w:tc>
          <w:tcPr>
            <w:tcW w:w="6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占地宽度(m)</w:t>
            </w:r>
          </w:p>
        </w:tc>
        <w:tc>
          <w:tcPr>
            <w:tcW w:w="138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垫层</w:t>
            </w:r>
          </w:p>
        </w:tc>
        <w:tc>
          <w:tcPr>
            <w:tcW w:w="16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面层</w:t>
            </w:r>
          </w:p>
        </w:tc>
        <w:tc>
          <w:tcPr>
            <w:tcW w:w="13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磨耗层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tblHeader/>
          <w:jc w:val="center"/>
        </w:trPr>
        <w:tc>
          <w:tcPr>
            <w:tcW w:w="45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11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厚度(cm)</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材料</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厚度(cm)</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材料</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厚度(mm)</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XX村</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JS01</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改造</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JS02</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60</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改造</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改造</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改造</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886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毛家岗村</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537</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JS07</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218</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JS08</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改造</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804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JS09</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408</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JS10</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JS11</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JS12</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549</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402</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168</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349</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JS17</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571</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JS18</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JS19</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919</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JS20</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JS21</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JS22</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清泉村</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改造</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251</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黄林堰村</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改造</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1203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金坪村</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JS27</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JS28</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JS29</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JS30</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JS31</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JS32</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JS33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230</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JS34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132</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JS35</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1373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11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JS36</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新修</w:t>
            </w:r>
          </w:p>
        </w:tc>
        <w:tc>
          <w:tcPr>
            <w:tcW w:w="8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1600</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6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c>
          <w:tcPr>
            <w:tcW w:w="6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泥结石</w:t>
            </w:r>
          </w:p>
        </w:tc>
        <w:tc>
          <w:tcPr>
            <w:tcW w:w="71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碎石</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482" w:firstLineChars="0"/>
        <w:jc w:val="both"/>
        <w:rPr>
          <w:rFonts w:ascii="Times New Roman" w:hAnsi="宋体" w:eastAsia="黑体" w:cs="Times New Roman"/>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82" w:name="_Toc14854214"/>
      <w:bookmarkStart w:id="83" w:name="_Toc45723043"/>
      <w:r>
        <w:rPr>
          <w:rFonts w:hint="eastAsia" w:ascii="黑体" w:hAnsi="黑体" w:eastAsia="黑体" w:cs="黑体"/>
          <w:b w:val="0"/>
          <w:bCs w:val="0"/>
          <w:color w:val="auto"/>
          <w:kern w:val="2"/>
          <w:sz w:val="28"/>
          <w:szCs w:val="28"/>
          <w:lang w:val="en-US" w:eastAsia="zh-CN" w:bidi="ar-SA"/>
        </w:rPr>
        <w:t>农田防护与生态环境保持工程设计</w:t>
      </w:r>
      <w:bookmarkEnd w:id="81"/>
      <w:bookmarkEnd w:id="82"/>
      <w:bookmarkEnd w:id="83"/>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原则及要求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农田防护应遵守地质灾害防治规划。坡面防护应根据“高水、高蓄、高用”和“蓄、引、用、排”相结合原则，合理布设截水沟、排水沟、沉沙池等坡面水系工程，系统拦蓄和排泄坡面径流，构成完整的坡面灌排体系。</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（2）农田防护林应依据风害程度及田埂、机耕路和岸坡条件确定，护岸、护坡、挡土墙等防护工程应依据地形、边坡地质条件确定，并与生态景观相适应。</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（3）农田防护林应以乡土树种为主，符合根深冠窄、抗逆性强的要求，兼顾防护、经济、美化和观赏等方面的要求。风沙地、水湿地区的树种应分别具有相应的抗性。 </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生态景观工程布局应与田块、沟渠、道路等工程相结合，与农村居民点景观建设相协调，工程布置时应全面分析农田建设区灾害影响因素。应重点保护田块内或边界的天然林地、草地、水体、裸岩，维护其原有自然景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（5）禁止将不符合农用标准和环境保护标准的固体废物、废水施入农田。施用农药、化肥等农业投入品及进行灌溉时，应当采取措施，防止重金属和其他有毒有害物质污染环境。</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设计方案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（1）建设区内的林地、林木及具有独特自然特征的景观予以保留，尽量做到不砍树、少填塘。</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（2）山塘加固、新修机耕路、沟渠改造等工程措施后裸露的地面均采取人工植草皮的措施进行绿化。</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（3）推进人居环境整治和配套，在项目区居民集中区附近改造的堰塘、沟渠植树绿化进一步完善生态环境。</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sectPr>
          <w:headerReference r:id="rId21" w:type="first"/>
          <w:footerReference r:id="rId23" w:type="first"/>
          <w:headerReference r:id="rId20" w:type="even"/>
          <w:footerReference r:id="rId22" w:type="even"/>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20" w:lineRule="exact"/>
        <w:ind w:leftChars="0" w:right="0" w:rightChars="0"/>
        <w:jc w:val="center"/>
        <w:rPr>
          <w:rFonts w:hint="eastAsia" w:ascii="方正小标宋简体" w:hAnsi="方正小标宋简体" w:eastAsia="方正小标宋简体" w:cs="方正小标宋简体"/>
          <w:b w:val="0"/>
          <w:bCs w:val="0"/>
          <w:color w:val="auto"/>
          <w:sz w:val="36"/>
          <w:szCs w:val="36"/>
        </w:rPr>
      </w:pPr>
      <w:bookmarkStart w:id="84" w:name="_Toc45723044"/>
      <w:bookmarkStart w:id="85" w:name="_Toc14854215"/>
      <w:bookmarkStart w:id="86" w:name="_Toc187682041"/>
      <w:r>
        <w:rPr>
          <w:rFonts w:hint="eastAsia" w:ascii="方正小标宋简体" w:hAnsi="方正小标宋简体" w:eastAsia="方正小标宋简体" w:cs="方正小标宋简体"/>
          <w:b w:val="0"/>
          <w:bCs w:val="0"/>
          <w:color w:val="auto"/>
          <w:sz w:val="36"/>
          <w:szCs w:val="36"/>
        </w:rPr>
        <w:t>施工组织设计</w:t>
      </w:r>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jc w:val="both"/>
        <w:outlineLvl w:val="1"/>
        <w:rPr>
          <w:rFonts w:hint="eastAsia" w:ascii="楷体" w:hAnsi="楷体" w:eastAsia="宋体" w:cs="楷体"/>
          <w:b/>
          <w:bCs/>
          <w:color w:val="auto"/>
          <w:kern w:val="2"/>
          <w:sz w:val="28"/>
          <w:szCs w:val="28"/>
          <w:lang w:val="en-US" w:eastAsia="zh-CN" w:bidi="ar-SA"/>
        </w:rPr>
      </w:pPr>
      <w:bookmarkStart w:id="87" w:name="_Toc14854216"/>
      <w:bookmarkStart w:id="88" w:name="_Toc45723045"/>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施工条件</w:t>
      </w:r>
      <w:bookmarkEnd w:id="87"/>
      <w:bookmarkEnd w:id="88"/>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bookmarkStart w:id="89" w:name="_Toc330374716"/>
      <w:bookmarkStart w:id="90" w:name="_Toc173792593"/>
      <w:bookmarkStart w:id="91" w:name="_Toc408220699"/>
      <w:bookmarkStart w:id="92" w:name="_Toc437978810"/>
      <w:r>
        <w:rPr>
          <w:rFonts w:hint="eastAsia" w:ascii="仿宋_GB2312" w:hAnsi="仿宋_GB2312" w:eastAsia="仿宋_GB2312" w:cs="仿宋_GB2312"/>
          <w:b/>
          <w:bCs/>
          <w:color w:val="auto"/>
          <w:kern w:val="2"/>
          <w:sz w:val="28"/>
          <w:szCs w:val="28"/>
          <w:lang w:val="en-US" w:eastAsia="zh-CN" w:bidi="ar-SA"/>
        </w:rPr>
        <w:t>交通设施</w:t>
      </w:r>
      <w:bookmarkEnd w:id="89"/>
      <w:bookmarkEnd w:id="90"/>
      <w:bookmarkEnd w:id="91"/>
      <w:bookmarkEnd w:id="92"/>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XX县高标准农田建设项目，统筹规划田、水、路、林等高标准农田的相关建设内容，</w:t>
      </w:r>
      <w:r>
        <w:rPr>
          <w:rFonts w:hint="eastAsia" w:ascii="仿宋_GB2312" w:hAnsi="仿宋_GB2312" w:eastAsia="仿宋_GB2312" w:cs="仿宋_GB2312"/>
          <w:color w:val="auto"/>
          <w:sz w:val="28"/>
          <w:szCs w:val="28"/>
        </w:rPr>
        <w:t>实施地点位于该县XX镇的毛家岗、XX、黄林堰村、XX镇的清泉村、XX镇的金坪村共5个村。从项目区到县城仅需15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20分钟车程，对外交通便利，施工设备及各类建材可通过公路、乡村道路直达施工场地。</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bookmarkStart w:id="93" w:name="_Toc173792594"/>
      <w:bookmarkStart w:id="94" w:name="_Toc437978811"/>
      <w:bookmarkStart w:id="95" w:name="_Toc408220700"/>
      <w:bookmarkStart w:id="96" w:name="_Toc330374717"/>
      <w:r>
        <w:rPr>
          <w:rFonts w:hint="eastAsia" w:ascii="仿宋_GB2312" w:hAnsi="仿宋_GB2312" w:eastAsia="仿宋_GB2312" w:cs="仿宋_GB2312"/>
          <w:b/>
          <w:bCs/>
          <w:color w:val="auto"/>
          <w:kern w:val="2"/>
          <w:sz w:val="28"/>
          <w:szCs w:val="28"/>
          <w:lang w:val="en-US" w:eastAsia="zh-CN" w:bidi="ar-SA"/>
        </w:rPr>
        <w:t>施工场地</w:t>
      </w:r>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该项目施工期间为农闲季节，大部分田地农作物已收割，故可利用渠道、道路两侧范围及少量田块作为施工场地。</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bookmarkStart w:id="97" w:name="_Toc408220701"/>
      <w:bookmarkStart w:id="98" w:name="_Toc173792595"/>
      <w:bookmarkStart w:id="99" w:name="_Toc437978812"/>
      <w:bookmarkStart w:id="100" w:name="_Toc330374718"/>
      <w:r>
        <w:rPr>
          <w:rFonts w:hint="eastAsia" w:ascii="仿宋_GB2312" w:hAnsi="仿宋_GB2312" w:eastAsia="仿宋_GB2312" w:cs="仿宋_GB2312"/>
          <w:b/>
          <w:bCs/>
          <w:color w:val="auto"/>
          <w:kern w:val="2"/>
          <w:sz w:val="28"/>
          <w:szCs w:val="28"/>
          <w:lang w:val="en-US" w:eastAsia="zh-CN" w:bidi="ar-SA"/>
        </w:rPr>
        <w:t>建筑材料供应</w:t>
      </w:r>
      <w:bookmarkEnd w:id="97"/>
      <w:bookmarkEnd w:id="98"/>
      <w:bookmarkEnd w:id="99"/>
      <w:bookmarkEnd w:id="100"/>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本工程所需的水泥可直接从XX县的市场购买，运距在20km以内，块石来自石门县块石场，砂石从X河沿岸已办证的砂石场就近选购，土料由受益村组选定料场，运距不超过2km，项目规划时村组已经承诺。</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水、电供应条件</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施工用电可就近利用现有农网供电。</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施工用水可直接从项目区河流、山塘或沟渠中抽取；生活用水取用农户自来水管网。</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施工准备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充分作好料场、拌和场等施工场地的布置以及施工用电、用水、道路和机具设备的准备工作。应对试验和施工的设备进行检测和试运行，如不符合要求，及时更换或调整。同时，作好永久性和必要的临时性排水设施，确保工程施工符合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01" w:name="_Toc187682044"/>
      <w:bookmarkStart w:id="102" w:name="_Toc45723046"/>
      <w:bookmarkStart w:id="103" w:name="_Toc14854217"/>
      <w:r>
        <w:rPr>
          <w:rFonts w:hint="eastAsia" w:ascii="黑体" w:hAnsi="黑体" w:eastAsia="黑体" w:cs="黑体"/>
          <w:b w:val="0"/>
          <w:bCs w:val="0"/>
          <w:color w:val="auto"/>
          <w:kern w:val="2"/>
          <w:sz w:val="28"/>
          <w:szCs w:val="28"/>
          <w:lang w:val="en-US" w:eastAsia="zh-CN" w:bidi="ar-SA"/>
        </w:rPr>
        <w:t>施工</w:t>
      </w:r>
      <w:bookmarkEnd w:id="101"/>
      <w:r>
        <w:rPr>
          <w:rFonts w:hint="eastAsia" w:ascii="黑体" w:hAnsi="黑体" w:eastAsia="黑体" w:cs="黑体"/>
          <w:b w:val="0"/>
          <w:bCs w:val="0"/>
          <w:color w:val="auto"/>
          <w:kern w:val="2"/>
          <w:sz w:val="28"/>
          <w:szCs w:val="28"/>
          <w:lang w:val="en-US" w:eastAsia="zh-CN" w:bidi="ar-SA"/>
        </w:rPr>
        <w:t>总体布置</w:t>
      </w:r>
      <w:bookmarkEnd w:id="102"/>
      <w:bookmarkEnd w:id="103"/>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根据项目布置特点以及项目地形情况，施工总布置以不干扰主体工程施工、有利生产、方便生活因地制宜、少占民房与耕地、就近取材的原则布置。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（1）主体工程施工区：项目区各片区堰塘、机耕道、排灌渠系、土地平整区。</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（2）砂、石料开采区：由现有砂料场供应，不设独立开采区；土料在项目地附近或受益村组指定位置取土。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（3）施工场区：主要是砂石堆料场，一般可安排在施工区附近的旱地、闲地，随工程区的转移而转移。</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（3）生活区：租用施工区附近的闲置民房。</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04" w:name="_Toc45723047"/>
      <w:bookmarkStart w:id="105" w:name="_Toc187682046"/>
      <w:bookmarkStart w:id="106" w:name="_Toc14854218"/>
      <w:r>
        <w:rPr>
          <w:rFonts w:hint="eastAsia" w:ascii="黑体" w:hAnsi="黑体" w:eastAsia="黑体" w:cs="黑体"/>
          <w:b w:val="0"/>
          <w:bCs w:val="0"/>
          <w:color w:val="auto"/>
          <w:kern w:val="2"/>
          <w:sz w:val="28"/>
          <w:szCs w:val="28"/>
          <w:lang w:val="en-US" w:eastAsia="zh-CN" w:bidi="ar-SA"/>
        </w:rPr>
        <w:t>主体工程施工</w:t>
      </w:r>
      <w:bookmarkEnd w:id="104"/>
      <w:bookmarkEnd w:id="105"/>
      <w:bookmarkEnd w:id="106"/>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土地平整施工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本项目实施土地整理工程的区域坡度比较平缓，没有太大的山包土 丘等。因此，施工是以推土机为主，挖掘机用于开挖深度较大的区域，具体组织如下：</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（1）施工顺序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施工时按照从高到低的原则，根据现场的实际情况，进行测量、定线，然后将各施工现场划分若干个作业区，并确定施工顺序进行施工，当最后块作业区完工后，对临时基地实行边撤边离边施工的方法。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（2）建立控制网点</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根据建设单位及监理单位提供的坐标及高程，用经纬仪和水准仪建立现场控制网点，确保高程和位置准确。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（3）土地平衡及调配</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施工时，一个区块一个区块进行，每个区块先控制四个角点位置及高程，然后用机械及人工进行该区块的土方平衡，将土方外运或调入，土方 平衡时，应遵照以下原则：</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①力求挖方与填方基本平衡和就近调配，使挖方量与运距的乘积之和尽可能成为最小，亦即使土方运距量或费用最小。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②应考虑近期利用和后期施工相结合及各区块与全场相结合。</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③调配方向，运输路线一定要选择适当。</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④表层土先堆放至现场监理指定的区域，以备后用。 </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（4）机械施工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采用推土机、挖掘机、拖式铲运机、装载机等机械化施工设备进行联合作业。推土机作业时，根据施工现场的安排情况，大部分情况下均可采用系列推土法。可用2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3台推土机并列作业，以减少土体漏失量，铲刀相距150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300mm，在推土运距50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75m之间，可采用此法。</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推土时，均采用顺下坡方向切土与推运，借机械向下的重力作用切土，增大切土深度和运土数量，可提高生产率30%左右，若坡度太小时亦可分段推土，创造下坡送土条件，从而提高生产效率。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如果遇到较硬的土质，切土深度不大，则将土先积聚到个或几个中间点，然后再整批推送到卸土区，使低产刀前保持满载，堆积距离以20-30m 为宜。堆土高度以2m为宜。这样可使铲刀的推送数量增大，有效缩短运输时间，生产效率可提高15%。</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对于局部开挖土方量较大的区块，装载机装土，拖拉机外运。施工过程中应经常进行高程测量，确保按设计要求施工。</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堰塘改造施工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山塘维修施工前打开出水卧管或用抽水机将山塘排干。</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1）在工程施工实施前，首先按监理单位以书面形式提供的平面控制网点和高程控制网点，建立工程施工使用的平面控制网点和高程控制网点，并按照《水利水电工程施工测量规范》SL52-93的规定要求进行测量定位</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2）土方开挖采用机械开挖，保护层和小尺寸的脚槽土方采用人工开挖，坡面整平采用机械配合人工修整。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土方回填前，先清除基础面的积水、杂物等，对基础面进行验收，验收合格后方可进行土料的回填。施工时应先加宽后加高。按水平分层由低处开始逐层填筑，不得顺坡铺填。采用挖机碾压夯实达到设计要求方可铺填上一层料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4）经检查土方工程的标高和边坡坡度与图纸要求相一致后，方可铺设土工膜，铺砌自扣块。自扣块铺砌要求整齐顺直、无凹凸不平的现象。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5）草皮种植前对坡面进行修整，严格控制坡比，由人工对种植区疏松，清除块石、硬土及其他杂物和不适于种植的材料，平整疏松后的种植土层不得有明显低洼和积水处，草皮种植后要进行养护、修剪。</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干砌石施工前根据图纸要求进行测量放样控制高程。干砌块石砌筑以一层与一层错缝咬合方式铺砌，与垫层配合砌筑，随铺随砌。砌筑要求石块之间要互相挤紧。砌筑时使用块石的宽面与坡面横向平行，砌筑前先进行试放，不合适的部位用锤加以修凿，修凿程度以石缝能够紧密相接为准，砌石拐角处如有空隙，可用小片石塞紧，砌石表面应与样线齐平，横向有通缝，竖向砌缝必须相互错开。砌缝底部如有空隙，均应用合适的片石塞紧，一定要做到底实上紧。干砌块石应成一个整体，不得有夹心、外塞石。</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沟渠衬砌工程施工</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right="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砼工程施工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（1）测量放线</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开挖施工前进行测量放线，按每50m打上边线桩和水准点，边线用白灰和竹竿等标示清楚。人工开挖按每20m打上边线桩和水准点，边线用白灰和竹竿等标示清楚。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（2）沟渠开挖</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沟渠开挖采用反铲挖土机挖沟，人工结合修整。对于有水的地段，先做好排水措施。对埋深较浅的地段，可采用一次性挖至设计标高，再由人工清基。开挖点根据各条渠道的走向，从渠道的下游向上游挖进，根据地质情况和渗水量按一定距离设一集水井，用潜水泵排水；在挖设计标高时，应及时安排人员清除余土，疏通渠道内积水，以利抽干排除。对于地质情况较差的渠道，采用适当的挡土板支扩加固，防止坍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（3）土方回填夯实</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1）夯实前首先清除渠床内的树根、淤泥、腐质土、垃圾及隐藏的暗管砖石等。</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回填夯实采用分层开蹬夯实的方法，每层铺土厚度≤30cm，铺土要均匀平整。若土壤比较干燥应采用洒水的方法调节土壤含水量，若土壤含水量较大应采用排水、晾晒、换土等方法以使含水量控制在适宜范围之内。</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3）夯实机械为蛙式打夯机或其他能达到相同质量要求的机械，不得使用立柱石夯。分层夯实遍数不得少于4遍，应杜绝漏夯、虚土层、橡皮土等不符合质量要求的现象。夯实后土样干容重不小于1.55t/m</w:t>
      </w:r>
      <w:r>
        <w:rPr>
          <w:rFonts w:hint="eastAsia" w:ascii="仿宋_GB2312" w:hAnsi="仿宋_GB2312" w:eastAsia="仿宋_GB2312" w:cs="仿宋_GB2312"/>
          <w:color w:val="auto"/>
          <w:sz w:val="28"/>
          <w:szCs w:val="28"/>
          <w:vertAlign w:val="superscript"/>
          <w:lang w:val="en-GB"/>
        </w:rPr>
        <w:t>3</w:t>
      </w:r>
      <w:r>
        <w:rPr>
          <w:rFonts w:hint="eastAsia" w:ascii="仿宋_GB2312" w:hAnsi="仿宋_GB2312" w:eastAsia="仿宋_GB2312" w:cs="仿宋_GB2312"/>
          <w:color w:val="auto"/>
          <w:sz w:val="28"/>
          <w:szCs w:val="28"/>
          <w:lang w:val="en-GB"/>
        </w:rPr>
        <w:t>。</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（4）渠床整形</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为避免表面干燥和施工中人为因素的践踏及雨水冲刷而造成的起尘和破坏，渠道削坡宜在砼现浇前一天进行。削坡时应严格控制高程及表面平整度。采用人工挂线精削。如果削坡过量，不得用浮土回填，应采用与现浇同标号的砼填充。渠底及内边坡平整度允许偏差±0.5cm。</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（5）伸缩缝固定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伸缩缝采用材质较好、且尺寸规格符合要求的木板条，并浸沥清油，起到防腐蚀作用。施工前，根据施工图纸进行测量放线，依据测量点、线进行安装固定及校正。施工过程中，应设置足够的临时固定设施，以防变形和倾斜。伸缩缝施工应严格按操作规程执行，保护板材，防止板材损坏。板材的现场安装拼接，要注意拼接质量，接缝平整严密，防止错台现象，确保模板安装满足规范及技术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（6）砼浇筑与养护</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1）施工材料：①水泥出厂前，应对该水泥品质进行检验，发货时均应附有工厂合格证和复检资料，运输和储存均应符合规范要求，运至工地后，现场取样送检，如试验不合格，严禁使用。</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2）砼拌和用水，凡适宜饮用的水均可使用；采用河道水或地下水均应符合规范要求，不应影响砼和易性和强度的增长、以及引起钢筋和砼腐蚀。</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采用质地好，级配合理，清洁无杂质石子。采用优质砂，保证质地优良，其级配、密度、细度模数、杂质含量均符合规范要求。对采购进场的骨料均按规范要求做含泥量，比重等指标试验，对不同的骨料分别堆放，严禁混杂和混入泥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4）砼浇注：砼采用溜槽滑运至基底，震捣器捣实，做到搅拌均匀，震捣密实不漏震。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5）养护：砼在浇注完毕达到初凝后，及时进行洒水养护，采用湿麻袋或草席覆盖，洒水保持其表面湿润状态，以保证水泥水化时的温度和湿度，创造砼良好的硬化条件。本工程采用普通硅酸盐水泥，其养护时间不得少于14d。</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right="0" w:firstLine="562" w:firstLineChars="200"/>
        <w:jc w:val="both"/>
        <w:textAlignment w:val="auto"/>
        <w:outlineLvl w:val="3"/>
        <w:rPr>
          <w:rFonts w:hint="eastAsia" w:ascii="仿宋_GB2312" w:hAnsi="仿宋_GB2312" w:eastAsia="仿宋_GB2312" w:cs="仿宋_GB2312"/>
          <w:b/>
          <w:bCs/>
          <w:color w:val="auto"/>
          <w:kern w:val="2"/>
          <w:sz w:val="28"/>
          <w:szCs w:val="28"/>
          <w:lang w:val="en-GB" w:eastAsia="zh-CN" w:bidi="ar-SA"/>
        </w:rPr>
      </w:pPr>
      <w:r>
        <w:rPr>
          <w:rFonts w:hint="eastAsia" w:ascii="仿宋_GB2312" w:hAnsi="仿宋_GB2312" w:eastAsia="仿宋_GB2312" w:cs="仿宋_GB2312"/>
          <w:b/>
          <w:bCs/>
          <w:color w:val="auto"/>
          <w:kern w:val="2"/>
          <w:sz w:val="28"/>
          <w:szCs w:val="28"/>
          <w:lang w:val="en-GB" w:eastAsia="zh-CN" w:bidi="ar-SA"/>
        </w:rPr>
        <w:t>浆砌石工程施工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施工准备→测量放样、建基面处理→试放（大小搭配）→浆砌石砌筑→水泥砂浆勾缝→养护→验收。</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（1）砌石体砌筑</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1）砌石体采用铺浆法砌筑，砂浆稠度应为30-50mm，当气温变化时应适当调整。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2）采用浆砌法砌筑的砌石体转角处和交接处应同时砌筑，对不能同时砌筑的面必须留置时间断处，并应砌成斜搓。</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3）砌石体尺寸和位置的允许偏差不超过《砌体结构工程施工质量验收规范》(GB50203-2011)中的相关规定。</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（2）水泥砂浆勾缝及养护</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1）采用水泥砂浆作为防渗时，防渗用的勾缝砂浆应采用细砂和较小的灰比，灰砂比控制在1：1 至1：2 之间。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2）防渗用砂浆应采用32.5以上的普通硅酸盐水泥。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3）清缝应在料石砌筑24h后进行，缝宽不小于砌缝宽度，缝深不小于缝宽的2 倍，清缝前必须将柄缝冲洗干净，不得残留灰渣和积水并保持缝面湿润。</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4）勾缝砂浆必须单独拌制严禁与砌体砂浆混用。</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5）当勾缝完成和砂浆初凝后，砌体表面应刷洗干净，至少用浸湿物覆盖保持21d，在养护期间应经常洒水，使砌体保持湿润，避免碰撞和振动。</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right="0" w:firstLine="562" w:firstLineChars="200"/>
        <w:jc w:val="both"/>
        <w:textAlignment w:val="auto"/>
        <w:outlineLvl w:val="3"/>
        <w:rPr>
          <w:rFonts w:hint="eastAsia" w:ascii="仿宋_GB2312" w:hAnsi="仿宋_GB2312" w:eastAsia="仿宋_GB2312" w:cs="仿宋_GB2312"/>
          <w:b/>
          <w:bCs/>
          <w:color w:val="auto"/>
          <w:kern w:val="2"/>
          <w:sz w:val="28"/>
          <w:szCs w:val="28"/>
          <w:lang w:val="en-GB" w:eastAsia="zh-CN" w:bidi="ar-SA"/>
        </w:rPr>
      </w:pPr>
      <w:r>
        <w:rPr>
          <w:rFonts w:hint="eastAsia" w:ascii="仿宋_GB2312" w:hAnsi="仿宋_GB2312" w:eastAsia="仿宋_GB2312" w:cs="仿宋_GB2312"/>
          <w:b/>
          <w:bCs/>
          <w:color w:val="auto"/>
          <w:kern w:val="2"/>
          <w:sz w:val="28"/>
          <w:szCs w:val="28"/>
          <w:lang w:val="en-GB" w:eastAsia="zh-CN" w:bidi="ar-SA"/>
        </w:rPr>
        <w:t>U型槽工程施工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U形渠预制：可以集中预制，也可现场预制。选择平整开阔的场地，最好在施工的农田旁边，运输便捷，能就地取水、取电。预制工序：砂石备料→细粒混凝土拌和→成型机压制U形渠槽→脱模放置凝结→取垫板洒水养护。混凝土配合比按照厂家推荐的比例，材料数量采用过磅称重控制，用规定容积的水桶加水，用强制式搅拌机拌和为干硬性混凝土，人工锨倒入模具，通过试验掌握好入料分量，机械强压振动成形，脱模后由压条托住从机上取下，用专用手推车推到养护场待凝，混凝土终凝后，翻转U形槽取出垫板，定期洒水，常温下养护14d即可出场。</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施工工序：确定渠道中线→清基→测量放样→基槽开挖→安装U形渠槽→回填土方→浇筑砼压顶→砂浆勾缝→养护→交付使用。采用全站仪按照设计坐标放出渠道中线，每20m定出中桩、开挖边桩并固定，用白灰放出开挖控制边线，开挖完后放出中线和两边渠顶线。各渠段开挖衬砌时，必须按各渠段已实际测算的实际比降控制各桩号渠底高程、需要水位、渠顶高程。渠槽砌筑安装时应挂线严格控制渠顶高程使之平顺美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渠槽开挖：采用机械开槽，开挖时严格控制断面尺寸和高程，基槽表面务求平整，尽量避免超挖。</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断面修整：重新用水准仪测量槽底高程，按设计开挖断面修整渠底、边坡，使渠槽平顺，满足U形渠槽安装要求。</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工地运输：U形渠槽工地运输主要采用人工装卸，用架子车直接运到已挖好的施工渠段，轻装轻下。搬运过程中构件受力不均匀，容易造成构件的断裂和损坏，应特别注意，尽可能减少损耗。</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安装：按照设计高程线间隔20m精确测放“标准块”，并在一侧通过挂线控制渠线顺直。此后在砖墙与U形槽间回填砂，用水冲填密实后在上面浆砌筑预制混凝土路面板。</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勾缝、抹面：铺砌后的渠道断面经验收合格后，清理干净预制块间的接缝，用1∶3的水泥砂浆勾缝，勾缝应用砂浆填满、压平、抹光，保证水泥浆的密实度和平整度。砖墙用1∶3水泥砂浆进行抹面，表面压光。</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养护：勾缝、抹面完成后，在渠道表面覆盖湿麻袋进行养护，养护过程中应及时洒水，保持砂浆表面处于湿润状态。</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伸缩缝：渠道衬砌顺水流方向每5m设一条伸缩缝，缝宽为2cm，采用沥青木板嵌缝。</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GB" w:eastAsia="zh-CN" w:bidi="ar-SA"/>
        </w:rPr>
      </w:pPr>
      <w:r>
        <w:rPr>
          <w:rFonts w:hint="eastAsia" w:ascii="仿宋_GB2312" w:hAnsi="仿宋_GB2312" w:eastAsia="仿宋_GB2312" w:cs="仿宋_GB2312"/>
          <w:b/>
          <w:bCs/>
          <w:color w:val="auto"/>
          <w:kern w:val="2"/>
          <w:sz w:val="28"/>
          <w:szCs w:val="28"/>
          <w:lang w:val="en-GB" w:eastAsia="zh-CN" w:bidi="ar-SA"/>
        </w:rPr>
        <w:t>管道施工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施工顺序：挖沟槽→管道安装→部分回填→试压→敷设标志桩→全部回填。</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管沟槽断面及管道基础按单体图设计断面确定宽度进行开挖。管道基础要求平整并有足够的强度，开挖管沟须防止扰动基底原状土壤。采用C20砼固定墩的方式稳固。人工开挖管槽时，要求沟槽底部平整、密实，无尖锐物体。沟底可以有起伏，但必须平滑地支撑管材，若有超挖时，必须回填夯实。</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（1）管道连接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1）选择连接方式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PE管的连接主要有热熔连接、机械连接、电熔连接等方式。热熔连接法有成本低、管道接口质量好、不需管件等优点而被大量使用。由于存在需配备熔焊设备、接口热熔操作耗时长、技术要求高等不利因素，热熔连接的主要步骤有：</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①、材料准备：将管道或管件置于平坦位置，放于对接机上，留足10-20mm的切削余量。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②、夹紧：根据所焊制的管材、管件选择合适的卡瓦夹具，夹紧管材，为切削做好准备。</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③、切削：切削所焊管段、管件端面杂质和氧化层，保证两对接端面平整、光洁、无杂质。</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④、对中：两焊管段端面要完全对中，错边越小越好，错边不能超过壁厚的10%。否则，将影响对接质量。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⑤、加热：对接温度一般在210-230℃之间为宜，加热板加热时间冬夏有别，以两端面熔融长度为1-2mm为佳。</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⑥、切换：将加热板拿开，迅速让两热融端面相粘并加压，为保证熔融对接质量，切换周期越短越好。</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⑦、熔融对接：是焊接的关键，对接过程应始终处于熔融压力下进行，卷边宽度以2-4mm为宜。</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⑧、冷却：保持对接压力不变，让接口缓慢冷却，冷却时间长短以手摸卷边生硬，感觉不到热为准。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⑨、对接完成：冷却好后松开卡瓦，移开对接机，重新准备下一接口连接。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热熔连接质量控制要点热熔连接对操作者技术要求较高，应注意对接口质量进行外观检查，要求接口处形成均匀的凸缘。造成连接质量问题常见有以下方面的原因，施工中应注意防范：</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①、不同材质、品牌、壁厚的管材和管件混用；</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②、连接件的端面未保持清洁，对粘有的水或泥土应及时清理；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③、操作人员技能不高，对热熔连接的工艺参数（加热时间，加热温度、连接压力、冷却时间）未按规定要求严格控制；</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④、未完全冷却就移动连接件或对连接件施加外力；</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⑤、熔接设备要定期维护保养，保证设备良好的使用状态。</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田间道路工程施工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（1）路基土方施工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田间道路路基与土方施工按照“施工准备→测量放样→基底填前处理→分层填筑→摊铺平整→碾压夯实→检测签证→路基整形→边坡修整→合格签证”的程序组织施工。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1）施工准备：对新建田间道路施工放样、施工范围内的植物、垃圾、有机质进行清理，排除地表水等。</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测量放样：对新建田间道路（机耕路、生产路）放出中心线(或边线)，并每隔50m钉好木桩，测量出横断面及桩位高程，作好记录以保存备查。对整修道路在严格按设计横断面和纵断面放线的基础上，应裁弯取直的应取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基底填前处理及夯实：清走表层土后，在设计涵管埋放处先进行涵管放线与铺设，以减少以后工程开挖量。根据设计规格尺寸，需要填补土方的应填筑土方，然后用机械整平、分层压实至并整形设计高程。填料土质必须是优质的无杂质的土壤。</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检测签证：报甲方现场代表和监理现场查验断面尺寸是否达到设计要求、填料土质是否在合格标准内、压实度是否达到标准（填方0.80～1.50m不小于93%，填方0.8m以内不小于94%）、边坡坡度是否不陡于设计，合格后签字认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5）路基整形、边坡修整：按设计要求进行垫层施工，垫层材料一般采用水泥稳定土、石灰稳定土、砂砾石按设计厚度铺筑，并用震动压路机静压进行稳压，然后再震动压实，压路机碾压轮重叠轮宽的1/3～1/2，震动压路机震约6～8遍；并对边坡进行修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6）合格签证：报甲方现场代表和监理现场查验压实后垫层厚度是否达到设计要求、材料强度和压实密度是否在满足设计，合格后签字认可。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（2）路面及垫层施工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根据设计路面、垫层材质要求合理确定路面及垫层施工工艺。按照“施工准备→测量放样→石屑运输→摊铺机或人工摊铺整平→碾压→检测”的程序组织施工。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砂砾石路面施工程序：放线—报验—摊铺碾压—报验。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1）在验收合格的路基上，先经纬仪放出道路边线，并按每50m设置木桩，用水准仪测量高程，然后根据设计高程加设计砂砾石厚度测设出桩顶高程，在相邻木桩间牵胶线连接作为样线。</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2）报甲方现场代表和监理现场查验样桩布置是否按照要求，合格后签字认可。</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3）整理资料，报甲方现场代表和监理查验路面砂砾石压实度是否达到标准、路面横坡是否达到设计要求、表观质量是否在合格标准内，认可后进行工程计量。</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渠系建筑物施工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渠系建筑物包括涵洞、水闸、人行桥、沉砂池、跌水等，按建筑物结构大体分三种类型：预制砼、现浇砼、砌体结构等。建筑物的布置应保证水流通畅、功能明确。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渠系建筑物施工基本程序为：放样</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基底垫层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报验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建造主体</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报验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支模</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钢筋制安与验筋</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GB"/>
        </w:rPr>
        <w:t>整理资料报验。</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以验收合格后沟渠底板为高程。按设计规格尺寸在所建位置以平行沟（渠）为标准，放出垂直沟（渠）中心线，并在固定位置钉一木桩，（弯道处对准圆心）桩顶用钉子放出准确位置，再按超过建筑物平面设计尺寸开挖基础，最后平整基底。如淤泥较深超出设计要求的，须报甲方现场代表和监理，经甲方研究认可后变更，并初步计算出隐敝工程不可预见量。</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（2）报验甲方现场代表和监理查验是否按要求布设样线、地基承载力是否达到要求、垫层厚度与强度是否达到要求，合格后在报验单上签字认可，方可进行下一步施工。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（3）建造主体：按渠系道路建筑物包括桥、涵、闸、泵站等分部工程施工的类型操作：</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1）现浇砼施工：按设计要求尺寸施工，在施工时必须采用竹夹板或钢板标准模具一次成型。在砼现浇时必须用震动器具震捣密实至泛浆，保证表面光滑，不能有走模或出现蜂窝麻面等现象。</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2）砼砖砌体施工：要求用M7.5水泥砂浆满砌砖，不能有通缝现象。面层采用M12.5厚砂浆将表面粉光，任何部位均达到面平、角线直。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3）砌筑块石施工：必须做到砌体砂浆饱满平整，块石之间不得有直接接触现象，砌体完成后表面要求勾凸缝，缝宽宜在1.5cm左右。</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4）涵管（洞）施工：涵洞墩台基础和台身的砌筑与圬工桥相同，对于简易机耕桥洞边墙砌好之后，即可架设预制砼盖板或设置模板浇筑钢筋混凝土。</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①钢筋砼预制涵管，安装涵管之前要按设计规定做好基础处理和砼基垫。对于无基涵的砂砾石或碎石垫层，必须充分夯实整平。安装涵管时，必须采用标准预制砼管（或钢筋砼高压涵管）。安装以使用起重机最为方便，如没有这种设备可用简单的木门架、木马凳上挂链滑车来吊装。涵管的衔接按设计采用M12.5水泥砂浆包封，封口外凸起、内平管内径。接缝宽3cm（管与管之间）封口外凸起宽10cm，厚5cm，有设计图纸的按设计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②涵（洞）管的回填土应尽量选择质地均匀（不含过大（砾）石块）及物理性质与涵基附近土壤性质一致的土壤，填土工作应从两侧沿全长分层（每层不超过15 cm—20cm）均衡地进行和仔细地捣实。</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（4）报验甲方现场代表和监理查验轴线是否达到标准（50mm）、设计尺寸是否达要求、结构强度是否达到设计标准、隐敝工程施工程序是否到位，表观质量是否在合格标准以内，合格后再清场。</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5）对钢筋砼结构，应先铺设经实验合格的钢筋（钢筋铺设严格按设计图，不得随意改变钢筋的布置与型号），并经甲方现场代表和监理现场验筋，查验钢筋合格证明、钢筋型号与布置是否按设计要求，合格后签字认可，方能进行砼浇筑。</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（6）安装配件。要求活动部分要活动自如，固定部分要达到牢固结实的标准，有防漏要求的配件，安装时应做止漏处理。</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7）整理资料，报甲方现场代表和监理查验规格尺寸是否满足设计要求、强度是否达到设计强度、表观质量是否在合格标准内、建筑整体与渠道（道路）是否融合，合格后进行工程计量(隐敝工程必有监理签证资料)。</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GB" w:eastAsia="zh-CN" w:bidi="ar-SA"/>
        </w:rPr>
      </w:pPr>
      <w:r>
        <w:rPr>
          <w:rFonts w:hint="eastAsia" w:ascii="仿宋_GB2312" w:hAnsi="仿宋_GB2312" w:eastAsia="仿宋_GB2312" w:cs="仿宋_GB2312"/>
          <w:b/>
          <w:bCs/>
          <w:color w:val="auto"/>
          <w:kern w:val="2"/>
          <w:sz w:val="28"/>
          <w:szCs w:val="28"/>
          <w:lang w:val="en-GB" w:eastAsia="zh-CN" w:bidi="ar-SA"/>
        </w:rPr>
        <w:t>临时工程施工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1）临时用水</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现场临时供水水源，应尽量利用附近的现有给水管网，仅当施工现场附近缺少现成的给水管线，或无法利用时，才另选天然水源。天然水源可选用地表水（如河、水塘、水库等）、地下水（如井水）。选择水源须考虑下列因素：水量充沛可靠，能满足施工现场最大需水量的要求；水质符合生产要求。临时给水系统所有水泵，一般采用混流泵；输水管路一般选用铸铁管或钢管。布置时，应合理连接水源点和供水点，并确保线路最短。</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2）临时用电</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地临时供电包括动力用电和照明用电两类。计算用电量时，须考虑以下因素：全工地所使用的机械设备、其他电器工具以及照明用电数量；施工总进度计划中，施工高峰阶段同时用电的机械设备最高数量；各种机械设备在工作中需要的情况。</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工地临时用电电源全部由工地附近电力系统供给。配电线路须设在道路一侧，不得妨碍交通和施工机械的运作，并避开堆料、挖槽以及修建临时工棚用地。</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07" w:name="_Toc45723048"/>
      <w:bookmarkStart w:id="108" w:name="_Toc14854220"/>
      <w:r>
        <w:rPr>
          <w:rFonts w:hint="eastAsia" w:ascii="黑体" w:hAnsi="黑体" w:eastAsia="黑体" w:cs="黑体"/>
          <w:b w:val="0"/>
          <w:bCs w:val="0"/>
          <w:color w:val="auto"/>
          <w:kern w:val="2"/>
          <w:sz w:val="28"/>
          <w:szCs w:val="28"/>
          <w:lang w:val="en-US" w:eastAsia="zh-CN" w:bidi="ar-SA"/>
        </w:rPr>
        <w:t>施工安全与隐蔽工程验收</w:t>
      </w:r>
      <w:bookmarkEnd w:id="107"/>
      <w:bookmarkEnd w:id="108"/>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（1）项目施工应尽量减少大（重）型机械的使用，挖掘机等机械在电力架空线下作业时应保持规定的安全距离或采取安全措施。</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（2）高标准农田建设涉及农桥、小型拦水坝、排水暗管、涵闸等的重要部位和隐蔽工程应在施工期间进行验收，并应在合格后再进入下一道工序施工。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09" w:name="_Toc436127856"/>
      <w:bookmarkStart w:id="110" w:name="_Toc45723049"/>
      <w:bookmarkStart w:id="111" w:name="_Toc14854221"/>
      <w:r>
        <w:rPr>
          <w:rFonts w:hint="eastAsia" w:ascii="黑体" w:hAnsi="黑体" w:eastAsia="黑体" w:cs="黑体"/>
          <w:b w:val="0"/>
          <w:bCs w:val="0"/>
          <w:color w:val="auto"/>
          <w:kern w:val="2"/>
          <w:sz w:val="28"/>
          <w:szCs w:val="28"/>
          <w:lang w:val="en-US" w:eastAsia="zh-CN" w:bidi="ar-SA"/>
        </w:rPr>
        <w:t>工程总进度计划</w:t>
      </w:r>
      <w:bookmarkEnd w:id="109"/>
      <w:bookmarkEnd w:id="110"/>
      <w:bookmarkEnd w:id="111"/>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bookmarkStart w:id="112" w:name="_Toc408220708"/>
      <w:bookmarkStart w:id="113" w:name="_Toc437978819"/>
      <w:bookmarkStart w:id="114" w:name="_Toc330374725"/>
      <w:bookmarkStart w:id="115" w:name="_Toc173792612"/>
      <w:r>
        <w:rPr>
          <w:rFonts w:hint="eastAsia" w:ascii="仿宋_GB2312" w:hAnsi="仿宋_GB2312" w:eastAsia="仿宋_GB2312" w:cs="仿宋_GB2312"/>
          <w:b/>
          <w:bCs/>
          <w:color w:val="auto"/>
          <w:kern w:val="2"/>
          <w:sz w:val="28"/>
          <w:szCs w:val="28"/>
          <w:lang w:val="en-US" w:eastAsia="zh-CN" w:bidi="ar-SA"/>
        </w:rPr>
        <w:t>施工总进度安排原则</w:t>
      </w:r>
      <w:bookmarkEnd w:id="112"/>
      <w:bookmarkEnd w:id="113"/>
      <w:bookmarkEnd w:id="114"/>
      <w:bookmarkEnd w:id="115"/>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（1）严格执行基本建设程序，遵照国家政策法令和有关规程规范；</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（2）依据工程特性和工程布置特点，将土地平整、沟渠及渠系建筑物等主要工程项目安排在非灌溉期、农闲季节施工。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（3）各项目施工前后兼顾，合理衔接，减少干扰，均衡施工，渠道（沟）上的建筑物应优先于渠沟施工；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（4）整个项目施工采用小型机械施工及人工施工为主。</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right="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bookmarkStart w:id="116" w:name="_Toc437978820"/>
      <w:r>
        <w:rPr>
          <w:rFonts w:hint="eastAsia" w:ascii="仿宋_GB2312" w:hAnsi="仿宋_GB2312" w:eastAsia="仿宋_GB2312" w:cs="仿宋_GB2312"/>
          <w:b/>
          <w:bCs/>
          <w:color w:val="auto"/>
          <w:kern w:val="2"/>
          <w:sz w:val="28"/>
          <w:szCs w:val="28"/>
          <w:lang w:val="en-US" w:eastAsia="zh-CN" w:bidi="ar-SA"/>
        </w:rPr>
        <w:t>实施进度计划</w:t>
      </w:r>
      <w:bookmarkEnd w:id="116"/>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工程施工工期计划180天，具体时间202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年10月1日至202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年3月31日。</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（1）工程筹建期：安排在第202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年的7月1日至202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年9月30日，在此期间完成工程的招标、临时房屋和修建施工道路等。</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（2）主体工程施工期：从第202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年10月1日至202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年3月15日，在此期间完成全部施工项目。</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（3）工程扫尾：从202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年3月15日至3月31日，在此期间完成工程扫尾、竣工资料的整理和汇编工作，准备竣工验收。</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（4）竣工验收：从202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年4月1日至4月30日，完成项目竣工验收。</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560" w:firstLineChars="200"/>
        <w:jc w:val="both"/>
        <w:textAlignment w:val="auto"/>
        <w:rPr>
          <w:rFonts w:hint="eastAsia" w:ascii="仿宋_GB2312" w:hAnsi="仿宋_GB2312" w:eastAsia="仿宋_GB2312" w:cs="仿宋_GB2312"/>
          <w:color w:val="auto"/>
          <w:sz w:val="28"/>
          <w:szCs w:val="28"/>
          <w:lang w:val="en-GB"/>
        </w:rPr>
      </w:pPr>
      <w:bookmarkStart w:id="117" w:name="_Toc408220710"/>
      <w:bookmarkStart w:id="118" w:name="_Toc330374727"/>
      <w:bookmarkStart w:id="119" w:name="_Toc173792614"/>
      <w:r>
        <w:rPr>
          <w:rFonts w:hint="eastAsia" w:ascii="仿宋_GB2312" w:hAnsi="仿宋_GB2312" w:eastAsia="仿宋_GB2312" w:cs="仿宋_GB2312"/>
          <w:color w:val="auto"/>
          <w:sz w:val="28"/>
          <w:szCs w:val="28"/>
          <w:lang w:val="en-GB"/>
        </w:rPr>
        <w:t>项目施工进度安排，详见图7.5-1。</w:t>
      </w:r>
      <w:bookmarkEnd w:id="117"/>
      <w:bookmarkEnd w:id="118"/>
      <w:bookmarkEnd w:id="119"/>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center"/>
        <w:textAlignment w:val="auto"/>
        <w:rPr>
          <w:rFonts w:hint="eastAsia" w:ascii="黑体" w:hAnsi="黑体" w:eastAsia="黑体" w:cs="黑体"/>
          <w:b w:val="0"/>
          <w:bCs/>
          <w:color w:val="auto"/>
          <w:kern w:val="32"/>
          <w:sz w:val="28"/>
          <w:szCs w:val="28"/>
          <w:lang w:val="en-US" w:eastAsia="en-US" w:bidi="ar-SA"/>
        </w:rPr>
      </w:pPr>
      <w:r>
        <w:rPr>
          <w:rFonts w:hint="eastAsia" w:ascii="黑体" w:hAnsi="黑体" w:eastAsia="黑体" w:cs="黑体"/>
          <w:b w:val="0"/>
          <w:bCs/>
          <w:color w:val="auto"/>
          <w:kern w:val="32"/>
          <w:sz w:val="28"/>
          <w:szCs w:val="28"/>
          <w:lang w:val="en-US" w:eastAsia="en-US" w:bidi="ar-SA"/>
        </w:rPr>
        <w:t>图7.5-1  项目施工进度横道图</w:t>
      </w:r>
    </w:p>
    <w:p>
      <w:pPr>
        <w:adjustRightInd/>
        <w:snapToGrid/>
        <w:spacing w:line="240" w:lineRule="auto"/>
        <w:ind w:left="479" w:hanging="359" w:hangingChars="171"/>
        <w:jc w:val="center"/>
        <w:rPr>
          <w:rFonts w:ascii="仿宋" w:hAnsi="仿宋" w:eastAsia="仿宋" w:cs="Times New Roman"/>
          <w:b/>
          <w:color w:val="auto"/>
          <w:sz w:val="21"/>
          <w:szCs w:val="28"/>
        </w:rPr>
      </w:pPr>
      <w:r>
        <w:rPr>
          <w:rFonts w:ascii="Times New Roman" w:hAnsi="Times New Roman" w:eastAsia="宋体" w:cs="Times New Roman"/>
          <w:color w:val="auto"/>
          <w:sz w:val="21"/>
          <w:szCs w:val="22"/>
        </w:rPr>
        <w:drawing>
          <wp:inline distT="0" distB="0" distL="0" distR="0">
            <wp:extent cx="5650865" cy="1779270"/>
            <wp:effectExtent l="0" t="0" r="6985" b="11430"/>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pic:cNvPicPr>
                  </pic:nvPicPr>
                  <pic:blipFill>
                    <a:blip r:embed="rId87" cstate="print"/>
                    <a:stretch>
                      <a:fillRect/>
                    </a:stretch>
                  </pic:blipFill>
                  <pic:spPr>
                    <a:xfrm>
                      <a:off x="0" y="0"/>
                      <a:ext cx="5650865" cy="1779270"/>
                    </a:xfrm>
                    <a:prstGeom prst="rect">
                      <a:avLst/>
                    </a:prstGeom>
                  </pic:spPr>
                </pic:pic>
              </a:graphicData>
            </a:graphic>
          </wp:inline>
        </w:drawing>
      </w:r>
    </w:p>
    <w:p>
      <w:pPr>
        <w:ind w:firstLine="560"/>
        <w:rPr>
          <w:color w:val="auto"/>
        </w:rPr>
        <w:sectPr>
          <w:headerReference r:id="rId24"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firstLine="0"/>
        <w:jc w:val="center"/>
        <w:textAlignment w:val="auto"/>
        <w:rPr>
          <w:rFonts w:hint="eastAsia" w:ascii="方正小标宋简体" w:hAnsi="方正小标宋简体" w:eastAsia="方正小标宋简体" w:cs="方正小标宋简体"/>
          <w:b w:val="0"/>
          <w:bCs w:val="0"/>
          <w:color w:val="auto"/>
          <w:sz w:val="36"/>
          <w:szCs w:val="36"/>
        </w:rPr>
      </w:pPr>
      <w:bookmarkStart w:id="120" w:name="_Toc45723050"/>
      <w:bookmarkStart w:id="121" w:name="_Toc14854222"/>
      <w:bookmarkStart w:id="122" w:name="_Toc14521112"/>
      <w:r>
        <w:rPr>
          <w:rFonts w:hint="eastAsia" w:ascii="方正小标宋简体" w:hAnsi="方正小标宋简体" w:eastAsia="方正小标宋简体" w:cs="方正小标宋简体"/>
          <w:b w:val="0"/>
          <w:bCs w:val="0"/>
          <w:color w:val="auto"/>
          <w:sz w:val="36"/>
          <w:szCs w:val="36"/>
        </w:rPr>
        <w:t>建设用地与新增耕地</w:t>
      </w:r>
      <w:bookmarkEnd w:id="120"/>
      <w:bookmarkEnd w:id="121"/>
      <w:bookmarkEnd w:id="122"/>
    </w:p>
    <w:p>
      <w:pPr>
        <w:bidi w:val="0"/>
        <w:adjustRightInd/>
        <w:snapToGrid/>
        <w:spacing w:line="240" w:lineRule="auto"/>
        <w:ind w:firstLine="0" w:firstLineChars="0"/>
        <w:rPr>
          <w:rFonts w:hint="eastAsia" w:ascii="Times New Roman" w:hAnsi="Times New Roman" w:eastAsia="宋体" w:cs="Times New Roman"/>
          <w:sz w:val="21"/>
          <w:szCs w:val="22"/>
        </w:rPr>
      </w:pPr>
      <w:bookmarkStart w:id="123" w:name="_Toc45723051"/>
      <w:bookmarkStart w:id="124" w:name="_Toc14854223"/>
      <w:bookmarkStart w:id="125" w:name="_Toc14521113"/>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工程占地</w:t>
      </w:r>
      <w:bookmarkEnd w:id="123"/>
      <w:bookmarkEnd w:id="124"/>
      <w:bookmarkEnd w:id="125"/>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主要为小型水利设施及田间道路的提质改造工程，没有新增工程建设用地，工程施工场临时地占地会引起对局部植被的破坏，但施工临时占地主要为荒地，对环境影响较小。场内临时交通道路主要包括施工区的施工进场道路、弃渣场道路和料场运输道路等，由于施工点分散，运输强度不大，工程场内交通道路主要以现有道路为主，工程区内路网较为密集，能够满足工程运输要求。工程施工物料临时堆放场地主要以乡村荒地及田间路边为主，工程施工周期短，随着工程施工的结束，不再有其他占地。</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26" w:name="_Toc45723052"/>
      <w:bookmarkStart w:id="127" w:name="_Toc14854224"/>
      <w:bookmarkStart w:id="128" w:name="_Toc14259711"/>
      <w:bookmarkStart w:id="129" w:name="_Toc14521114"/>
      <w:r>
        <w:rPr>
          <w:rFonts w:hint="eastAsia" w:ascii="黑体" w:hAnsi="黑体" w:eastAsia="黑体" w:cs="黑体"/>
          <w:b w:val="0"/>
          <w:bCs w:val="0"/>
          <w:color w:val="auto"/>
          <w:kern w:val="2"/>
          <w:sz w:val="28"/>
          <w:szCs w:val="28"/>
          <w:lang w:val="en-US" w:eastAsia="zh-CN" w:bidi="ar-SA"/>
        </w:rPr>
        <w:t>新增耕地</w:t>
      </w:r>
      <w:bookmarkEnd w:id="126"/>
      <w:bookmarkEnd w:id="127"/>
      <w:bookmarkEnd w:id="128"/>
      <w:bookmarkEnd w:id="129"/>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介绍新增耕地或提升耕地产能的具体地点、措施、结果等。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color w:val="auto"/>
          <w:sz w:val="28"/>
          <w:szCs w:val="28"/>
        </w:rPr>
        <w:sectPr>
          <w:headerReference r:id="rId25"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firstLine="0"/>
        <w:jc w:val="center"/>
        <w:textAlignment w:val="auto"/>
        <w:rPr>
          <w:rFonts w:hint="eastAsia" w:ascii="方正小标宋简体" w:hAnsi="方正小标宋简体" w:eastAsia="方正小标宋简体" w:cs="方正小标宋简体"/>
          <w:b w:val="0"/>
          <w:bCs w:val="0"/>
          <w:color w:val="auto"/>
          <w:sz w:val="36"/>
          <w:szCs w:val="36"/>
        </w:rPr>
      </w:pPr>
      <w:bookmarkStart w:id="130" w:name="_Toc14854225"/>
      <w:bookmarkStart w:id="131" w:name="_Toc45723053"/>
      <w:r>
        <w:rPr>
          <w:rFonts w:hint="eastAsia" w:ascii="方正小标宋简体" w:hAnsi="方正小标宋简体" w:eastAsia="方正小标宋简体" w:cs="方正小标宋简体"/>
          <w:b w:val="0"/>
          <w:bCs w:val="0"/>
          <w:color w:val="auto"/>
          <w:sz w:val="36"/>
          <w:szCs w:val="36"/>
        </w:rPr>
        <w:t>工程管理</w:t>
      </w:r>
      <w:bookmarkEnd w:id="130"/>
      <w:bookmarkEnd w:id="131"/>
    </w:p>
    <w:p>
      <w:pPr>
        <w:bidi w:val="0"/>
        <w:adjustRightInd/>
        <w:snapToGrid/>
        <w:spacing w:line="240" w:lineRule="auto"/>
        <w:ind w:firstLine="0" w:firstLineChars="0"/>
        <w:rPr>
          <w:rFonts w:hint="eastAsia" w:ascii="Times New Roman" w:hAnsi="Times New Roman" w:eastAsia="宋体" w:cs="Times New Roman"/>
          <w:sz w:val="21"/>
          <w:szCs w:val="22"/>
        </w:rPr>
      </w:pPr>
      <w:bookmarkStart w:id="132" w:name="_Toc45723054"/>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工程建设管理</w:t>
      </w:r>
      <w:bookmarkEnd w:id="132"/>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工程建设计划</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工程建设属于农田建设工程，主要受农业生产及沟渠、外河水位条件的影响，只能安排在农闲和枯水季节进行施工，施工期安排在202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年10月至202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年3月。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年9月主要完成工程建设前期准备工作；</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年10月～</w:t>
      </w:r>
      <w:r>
        <w:rPr>
          <w:rFonts w:hint="eastAsia" w:ascii="仿宋_GB2312" w:hAnsi="仿宋_GB2312" w:eastAsia="仿宋_GB2312" w:cs="仿宋_GB2312"/>
          <w:color w:val="auto"/>
          <w:sz w:val="28"/>
          <w:szCs w:val="28"/>
          <w:lang w:eastAsia="zh-CN"/>
        </w:rPr>
        <w:t>2023</w:t>
      </w:r>
      <w:r>
        <w:rPr>
          <w:rFonts w:hint="eastAsia" w:ascii="仿宋_GB2312" w:hAnsi="仿宋_GB2312" w:eastAsia="仿宋_GB2312" w:cs="仿宋_GB2312"/>
          <w:color w:val="auto"/>
          <w:sz w:val="28"/>
          <w:szCs w:val="28"/>
        </w:rPr>
        <w:t>年3月中上旬完成土地平整、土壤改良、堰塘整修、渠道衬砌改造、渠系建筑物建设、高效节水建设、农田防护与生态环境保护、田间道路工程、科技推广措施等工程建设内容；</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2023</w:t>
      </w:r>
      <w:r>
        <w:rPr>
          <w:rFonts w:hint="eastAsia" w:ascii="仿宋_GB2312" w:hAnsi="仿宋_GB2312" w:eastAsia="仿宋_GB2312" w:cs="仿宋_GB2312"/>
          <w:color w:val="auto"/>
          <w:sz w:val="28"/>
          <w:szCs w:val="28"/>
        </w:rPr>
        <w:t>年3月中下旬完成各项工程扫尾工作；</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2023</w:t>
      </w:r>
      <w:r>
        <w:rPr>
          <w:rFonts w:hint="eastAsia" w:ascii="仿宋_GB2312" w:hAnsi="仿宋_GB2312" w:eastAsia="仿宋_GB2312" w:cs="仿宋_GB2312"/>
          <w:color w:val="auto"/>
          <w:sz w:val="28"/>
          <w:szCs w:val="28"/>
        </w:rPr>
        <w:t>年4月底前完成相关验收工作。</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建设管理组织机构</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由XX县成立XX县高标准农田建设领导小组，领导小组由市县级领导任组长，XX县农业农村局、XX县财政局等相关部门及各乡镇等单位负责人为成员。领导小组下设农田建设服务中心，办公室设在XX县农业农村局，负责高标准农田建设工作具体事务和日常工作。</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落实工程项目建设管理各项制度，实行项目法人责任制、招标投标制、工程建设监理制和合同管理制，严格项目竣工验收制度，强化考核监管。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项目法人单位——具体负责该项目的实施，并接受项目决策机构的领导。</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项目法人单位拟成立工程部、财务部、技术服务部、采购供应部，其职能如下：</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工程部职能：负责项目各项工程初步设计及施工图设计、工程招投标、工程施工、工程监理及项目竣工验收等工作。</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财务部职能：负责项目资金管理、工程预算、竣工验收结算和决算以及固定资产移交等工作，设立专帐，实行专款专用的财务制度。</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技术服务部职能：负责项目实施过程中重大技术方案的制订、技术指导、技术培训、工程监管等；参与项目的竣工验收。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采购供应部职能：负责项目建设所需专用物资、设备、仪器的采购与供应等；参与项目的竣工验收。</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建设管理措施</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工程项目监督检查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切实强化工程建设监督检查工作，确保工程建设质量；严格按照招投标相关规定，规范组织项目各项工程的招投标工作。</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完善项目公示制度，全面准确地公示项目投资规模、建设内容、施工单位和监督单位、项目建设成效等。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严把竣工项目验收关，通过专项检查、竣工验收、综合检查、委托社会中介机构检查等方式，加大监督检查力度，确保项目工程建设质量。</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 xml:space="preserve">9.1.3.2 </w:t>
      </w:r>
      <w:r>
        <w:rPr>
          <w:rFonts w:hint="eastAsia" w:ascii="仿宋_GB2312" w:hAnsi="仿宋_GB2312" w:eastAsia="仿宋_GB2312" w:cs="仿宋_GB2312"/>
          <w:color w:val="auto"/>
          <w:sz w:val="28"/>
          <w:szCs w:val="28"/>
        </w:rPr>
        <w:t>工程质量控制措施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施工前管理部门要组织设计、监理、施工单位进行技术交底，监理单位要对设计图纸进行认真审查，并签出开工令。施工单位凭开工通知单才能开始施工，项目管理部门要指派专门的技术人员进行技术指导及质量监督。</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工程施工期间，管理单位要组织技术人员采取定期、不定期的工程质量及施工进度督查，并对隐蔽工程、阶段性工程进行质量把关与验收。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项目管理单位在施工中应严格按照规划设计及有关施工规范进行施工，项目管理单位和施工方不得擅自变更施工地点，降低工程质量标准。</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工程进度控制措施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管理单位应要求施工单位张贴施工总进度计划表，明确施工管理人员各自分管的分项工程施工时间要求，以施工总进度计划为依据，编制各施工期的年度、季度、月度施工计划，根据施工总进度和实施作业计划倒排工期。</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工程建设资金管理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工程建设资金应严格按照有关规定和资金管理制度进行监管，施工单位应建立会计制度，建立建设账户，做到专门设账，独立核算，专人负责，专项管理，专款专用，项目的建设严格按照批准的建设规模、建设内容和资金实施，不得随意调整工程建设资金金额、资金使用范围，不得挪用、拆借建设资金。</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（2）坚持项目资金区级财政报账制。将项目建设内容全部纳入报账范围根据项目方案设计的资金使用计划、任务完成情况和工程进度，按时拨付资金。</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坚持项目资金专项审计制度。区农业农村局协同财政、审计部门对项目资金进行跟踪管理和检查审计，严格控制资金投向和使用范围，严禁挤占挪用，保证资金按规定用途使用，提高资金使用效益。对违反规定造成资金使用不当的，一律要追究责任，并追回投资。</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鼓励项目区群众积极参与项目建设和管理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保证项目顺利实施，确保工程质量和数量，实现预期效益，市级管理部门要协调解决项目建设中出现的各类矛盾，做好与政府与群众之间的信息沟通，鼓励项目区群众积极参与项目建设和管理，优化建设环境，让老百姓真正起到主人翁作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充分借鉴外地先进经验，结合项目区实际，在征求项目区群众意见的基础上，健全运行机制，采取“以奖代补”的优惠政策，鼓励群众投工投劳，最大限度调动项目区农民群众的积极性，为加快项目建设步伐，完成建设任务创造条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33" w:name="_Toc45723055"/>
      <w:r>
        <w:rPr>
          <w:rFonts w:hint="eastAsia" w:ascii="黑体" w:hAnsi="黑体" w:eastAsia="黑体" w:cs="黑体"/>
          <w:b w:val="0"/>
          <w:bCs w:val="0"/>
          <w:color w:val="auto"/>
          <w:kern w:val="2"/>
          <w:sz w:val="28"/>
          <w:szCs w:val="28"/>
          <w:lang w:val="en-US" w:eastAsia="zh-CN" w:bidi="ar-SA"/>
        </w:rPr>
        <w:t>工程运行管理</w:t>
      </w:r>
      <w:bookmarkEnd w:id="133"/>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运行管理计划</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项目在建设完成经验收合格后，由区农业农村局移交给各乡镇，再由各乡镇移交给各受益行政村管理。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受益村接管工程后，要指定专门的管理机构，明确专人进行工程管理和维护，建立健全的管护制度，明确工程管理范围和保护范围，设立明显标志及宣传牌等设施，渠系配套设施的运行要严格遵守操作规程，汛期必须服从有关部门的统一调度指挥。只有这样才能保证渠道贯通无阻，渠系建筑物运行良好，工程长期发挥效益，移交程序可参照9.2-1执行。</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管护单位要落实管护人员和管护经费，积极推行用水户参与管理模式，多方筹集运行管护经费。在人员编制方面，管理总负责人1人，另在项目区内每个行政村指定1～2名工程技术人员。管护经费根据现行国家财会制度，并结合当地经济发展状况进行概算，管护经费主要有管理人员的</w:t>
      </w:r>
      <w:r>
        <w:rPr>
          <w:rFonts w:hint="eastAsia" w:ascii="仿宋_GB2312" w:hAnsi="仿宋_GB2312" w:eastAsia="仿宋_GB2312" w:cs="仿宋_GB2312"/>
          <w:color w:val="auto"/>
          <w:sz w:val="28"/>
          <w:szCs w:val="28"/>
          <w:lang w:eastAsia="zh-CN"/>
        </w:rPr>
        <w:t>补助</w:t>
      </w:r>
      <w:r>
        <w:rPr>
          <w:rFonts w:hint="eastAsia" w:ascii="仿宋_GB2312" w:hAnsi="仿宋_GB2312" w:eastAsia="仿宋_GB2312" w:cs="仿宋_GB2312"/>
          <w:color w:val="auto"/>
          <w:sz w:val="28"/>
          <w:szCs w:val="28"/>
        </w:rPr>
        <w:t>、材料费、工程维护费、管理费用及其它费用等，经费来源按照有关规定收取水费和财政进行适当补助。</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0"/>
          <w:sz w:val="28"/>
          <w:szCs w:val="28"/>
          <w:lang w:val="en-US" w:eastAsia="zh-CN" w:bidi="ar-SA"/>
        </w:rPr>
        <w:t>表9</w:t>
      </w:r>
      <w:r>
        <w:rPr>
          <w:rFonts w:hint="eastAsia" w:ascii="黑体" w:hAnsi="黑体" w:eastAsia="黑体" w:cs="黑体"/>
          <w:b w:val="0"/>
          <w:bCs/>
          <w:color w:val="auto"/>
          <w:kern w:val="32"/>
          <w:sz w:val="28"/>
          <w:szCs w:val="28"/>
          <w:lang w:val="en-US" w:eastAsia="zh-CN" w:bidi="ar-SA"/>
        </w:rPr>
        <w:t>.2</w:t>
      </w:r>
      <w:r>
        <w:rPr>
          <w:rFonts w:hint="eastAsia" w:ascii="黑体" w:hAnsi="黑体" w:eastAsia="黑体" w:cs="黑体"/>
          <w:b w:val="0"/>
          <w:bCs/>
          <w:color w:val="auto"/>
          <w:kern w:val="0"/>
          <w:sz w:val="28"/>
          <w:szCs w:val="28"/>
          <w:lang w:val="en-US" w:eastAsia="zh-CN" w:bidi="ar-SA"/>
        </w:rPr>
        <w:t>-1</w:t>
      </w:r>
      <w:r>
        <w:rPr>
          <w:rFonts w:hint="eastAsia" w:ascii="黑体" w:hAnsi="黑体" w:eastAsia="黑体" w:cs="黑体"/>
          <w:b w:val="0"/>
          <w:bCs/>
          <w:color w:val="auto"/>
          <w:kern w:val="32"/>
          <w:sz w:val="28"/>
          <w:szCs w:val="28"/>
          <w:lang w:val="en-US" w:eastAsia="zh-CN" w:bidi="ar-SA"/>
        </w:rPr>
        <w:t xml:space="preserve">  工程项目移交（认可）单</w:t>
      </w:r>
    </w:p>
    <w:tbl>
      <w:tblPr>
        <w:tblStyle w:val="14"/>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32"/>
        <w:gridCol w:w="1683"/>
        <w:gridCol w:w="783"/>
        <w:gridCol w:w="1556"/>
        <w:gridCol w:w="1732"/>
        <w:gridCol w:w="18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874"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建设单位</w:t>
            </w:r>
          </w:p>
        </w:tc>
        <w:tc>
          <w:tcPr>
            <w:tcW w:w="24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5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监理单位</w:t>
            </w:r>
          </w:p>
        </w:tc>
        <w:tc>
          <w:tcPr>
            <w:tcW w:w="362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移交单位</w:t>
            </w:r>
          </w:p>
        </w:tc>
        <w:tc>
          <w:tcPr>
            <w:tcW w:w="24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5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接收单位</w:t>
            </w:r>
          </w:p>
        </w:tc>
        <w:tc>
          <w:tcPr>
            <w:tcW w:w="362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移交项目</w:t>
            </w:r>
          </w:p>
        </w:tc>
        <w:tc>
          <w:tcPr>
            <w:tcW w:w="246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5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移交时间</w:t>
            </w:r>
          </w:p>
        </w:tc>
        <w:tc>
          <w:tcPr>
            <w:tcW w:w="362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移交内容及范围</w:t>
            </w:r>
          </w:p>
        </w:tc>
        <w:tc>
          <w:tcPr>
            <w:tcW w:w="7642"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工程项目移交验收意见</w:t>
            </w:r>
          </w:p>
        </w:tc>
        <w:tc>
          <w:tcPr>
            <w:tcW w:w="7642"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91" w:hRule="atLeast"/>
          <w:jc w:val="center"/>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移交单位</w:t>
            </w:r>
          </w:p>
        </w:tc>
        <w:tc>
          <w:tcPr>
            <w:tcW w:w="1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项目负责人：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年月日</w:t>
            </w:r>
          </w:p>
        </w:tc>
        <w:tc>
          <w:tcPr>
            <w:tcW w:w="7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接收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单位</w:t>
            </w:r>
          </w:p>
        </w:tc>
        <w:tc>
          <w:tcPr>
            <w:tcW w:w="15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项目负责人：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年月日</w:t>
            </w:r>
          </w:p>
        </w:tc>
        <w:tc>
          <w:tcPr>
            <w:tcW w:w="17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监理（建设）单位</w:t>
            </w:r>
          </w:p>
        </w:tc>
        <w:tc>
          <w:tcPr>
            <w:tcW w:w="188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建设单位负责人：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建设单位负责人：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年月日</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运行管理措施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竣工后明确所有权，落实管护主体，明确管护职责，以水系、渠系范围组建成立用水户协会；产权归其所有并进行管护。用水户协会可按实际情况及群众意见，根据农户受益面积的数量收取适量水费用于水利工程的更新与修复。</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堰塘管护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（1）实行专人值守制，每处堰塘派备专人值守；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（2）定期对堰塘现有设施进行检查，并做好相关记录，并统计维修记录及隐患记录，发现问题应及时上报，并马上采取应急措施；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（3）定期对堰塘周边进行检查，严禁在堰塘周边实施影响堰塘运行安全及污染水质的工程；</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（4）在保证防洪安全的前提下，制定用水计划，发挥综合效益。</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泵站管护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（1）各泵站实行24小时值守制度或进行定时巡视，遇特殊情况需要增加巡视次数和看守时间；</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（2）做好泵站设备的日常维护、保养和检查等工作，并做好相关运行记录，并统计维修记录及设备隐患记录，发现问题应及时上报，并马上采取故障应急措施；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（3）做好泵站的环境卫生工作，做到常用常新，保证室内外地面平整、整洁，过道通畅，备品备件堆放整齐；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（4）负责泵站安全工作，做好防火、防盗、防水、防电等安全问题，排除安全隐患并杜绝一切不安全行为；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（5）做好自检自查，严格控制运行成本，做好节能降耗工作；</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（6）管护人应熟练掌握设备设施操作方法，熟悉工艺流程，具备一定的专业技术，严格执行操作规程；</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（7）向上争取泵站的大修资金；</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（8）负责筹集除国家补助资金外的自筹资金和投工投劳。</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渠道管护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（1）制定用水计划，负责灌溉配水。</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（2）对管护的渠道进行日常巡查，及时清理渠道内影响过流的障碍物。加强雨后渠道的检查及闸门调控，避免不必要的水毁发生，保证工程管护范围内的交通安全。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（3）保证渠道设施的安全、有序运行。</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（4）协调用水矛盾和纷争。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（5）自觉执行农村水利工程养护和管理的有关规定，服从专业管理机构的指导，负责组织工程日常维护、清淤等。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（6）根据实际，分解辖区内水利设施的管护责任。</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（7）向上争取农田设施的大修资金。</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（8）负责筹集除国家补助资金外的自筹资金和投工投劳。</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高效节水灌溉管护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（1）制定用水计划，每年灌水前由受益村组对灌水管道、设备进行全面检查，根据用水情况确保供水时间及供水量。</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（2）灌溉系统由专人负责操作与管理，受益村组或合作社负责田间管网系统的回收及管网系统的维修。</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田间道路管护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（1）依法管理养护道路，定期进行养护、清扫，保障道路畅通、整洁。</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（2）筹集专门经费，保障道路管理养护正常化、规范化。</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（3）严禁超载超限车辆上路，违者交由有关部门处理。运载沙石等车辆必须遮盖严密，严禁抛洒。</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（4）严禁道路上打场晒粮，严禁堆放杂物。</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（5）每年汛期前，要组织人员疏通桥涵，保障桥涵排水畅通。</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（6）冬季要及时清理公路上的积雪和积冰，保障行人、车辆通行安全。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（7）保障路容路貌整洁，路面干净，清除乱堆乱放和乱搭建等非公路设施侵占公路现象。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（8）及时整修路肩边坡、铲除杂草，及时疏通边沟、清除杂物，保障排水畅通。</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（9）道路两边绿化树木不得随意砍伐，缺苗断档要及时补栽，保障成活率。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（10）发生的路面裂缝，断板等灾害要及时采取锻造补强、切割、灌缝等措施治理。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（11）将道路管理养护纳入目标管理，完成情况作为年终一项考核指标。对于完成养护任务，成绩突出的，给予奖励；对于管理不到位，完不成养护任务，导致道路严重损坏，影响恶劣的要追究相关人员责任。</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34" w:name="_Toc45723056"/>
      <w:r>
        <w:rPr>
          <w:rFonts w:hint="eastAsia" w:ascii="黑体" w:hAnsi="黑体" w:eastAsia="黑体" w:cs="黑体"/>
          <w:b w:val="0"/>
          <w:bCs w:val="0"/>
          <w:color w:val="auto"/>
          <w:kern w:val="2"/>
          <w:sz w:val="28"/>
          <w:szCs w:val="28"/>
          <w:lang w:val="en-US" w:eastAsia="zh-CN" w:bidi="ar-SA"/>
        </w:rPr>
        <w:t>管理范围与工程保护范围</w:t>
      </w:r>
      <w:bookmarkEnd w:id="134"/>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为了保障工程安全运行和正常维护，根据《灌溉与排水工程设计标准》（GB50288-2018）规定，确定各项工程管理范围及保护范围。</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（1）水源工程：枢纽建筑物向外延伸50m。</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（2）渠道：填方渠道至两边渠堤的背水侧坡脚，开挖渠道至开挖边线处。渠道经过山地的，渠堤外坡脚以外各十米至三十米为保护范围；渠道经过耕作区的，渠堤外坡脚以外各三米至五米为保护范围。</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（3）田间工程：机耕路路基底线外侧5～10m范围。</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（4）附属工程：包括观测、交通、通信设施、测量控制标点、标示标牌及其维护管理设施。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35" w:name="_Toc45723057"/>
      <w:r>
        <w:rPr>
          <w:rFonts w:hint="eastAsia" w:ascii="黑体" w:hAnsi="黑体" w:eastAsia="黑体" w:cs="黑体"/>
          <w:b w:val="0"/>
          <w:bCs w:val="0"/>
          <w:color w:val="auto"/>
          <w:kern w:val="2"/>
          <w:sz w:val="28"/>
          <w:szCs w:val="28"/>
          <w:lang w:val="en-US" w:eastAsia="zh-CN" w:bidi="ar-SA"/>
        </w:rPr>
        <w:t>管理设施</w:t>
      </w:r>
      <w:bookmarkEnd w:id="135"/>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工程观测</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工程运行期间应加强对水位、险情、维修、工程运行等项目的观测。水位观测主要是对堰塘、渠道设置水雨情观测系统；险情观测主要是记录出险原因，险情发生经过，出险时间、部位及尺度，抢护方法及用料情况；维修加固登记主要是对堰塘、泵站、渠道、涵闸的结构情况、施工情况等进行登记，建立档案；工程运行观测主要是观测堰塘、泵站、涵闸运行情况及渠道堤身沉降、位移情况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保证工程观测工作的正常进行，并获得可靠的观测资料，应配置必需的观测仪器及设备，常规的仪器设备可参照《泵站技术管理规程》（GB/T30948-2014）、《水闸设计规范》（SL265-2016）、《堤防工程管理设计规范》（SL171-1996）等规定的标准进行配置。</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交通和通信设施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管理交通系统包括对外交通和对内交通两部分，对外交通应根据工程管理和抢险的需要，沿建筑物或渠道修建与区域性水陆交通相连接的公路，保证对外交通顺畅。对内交通应利用现有交通道路连接各管理处所、附属建筑物、险工险段、土石料场、器材仓库等，满足各管理点之间的交通联系。另外管理单位应建立为工程的正常运行、维修管理、抗洪抢险等服务的专用通信网络。</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计量、防护管理设施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增加用水计量装置，提高群众节约用水意识，提高灌溉水源使用率；建立科学收费制度，对于水利设施维护所需费用，采取“谁使用谁受益谁付费”的原则，收费定价必须根据当地情况，广泛征求群众意见，科学定价。</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增加泵站防盗围栏、防盗门、防盗窗等防护设施。部分地区农民群众水法制意识淡薄，水利工程人为破坏现象较为严重：一些工程所处地理位置较为偏僻，一些人会故意的去破坏这些水利设施，例如，用刀割破供水管网，破坏或盗取提灌站的门窗，甚至盗取电缆、机泵，使正常的提灌功能受到严重影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36" w:name="_Toc45723058"/>
      <w:r>
        <w:rPr>
          <w:rFonts w:hint="eastAsia" w:ascii="黑体" w:hAnsi="黑体" w:eastAsia="黑体" w:cs="黑体"/>
          <w:b w:val="0"/>
          <w:bCs w:val="0"/>
          <w:color w:val="auto"/>
          <w:kern w:val="2"/>
          <w:sz w:val="28"/>
          <w:szCs w:val="28"/>
          <w:lang w:val="en-US" w:eastAsia="zh-CN" w:bidi="ar-SA"/>
        </w:rPr>
        <w:t>劳动安全与卫生</w:t>
      </w:r>
      <w:bookmarkEnd w:id="136"/>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主要危害因素分析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建设过程中主要危害因素可分为两类：</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（1）自然因素形成的危害和不利影响：一般包括地震、洪水、不良地质、雷击等因素。</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国地震动参数区划图》（GB18306-2015），工程区地震动峰值加速度小于0.05g，地震动反应谱特征周期为0.35s，相对应的地震基本烈度小于Ⅵ度，属相对稳定地区。发生地震危害的可能性较小。本工程施工期为枯水期，受洪水威胁较小。工程区不良物理地质现象主要为渠道的塌岸及边坡安全问题。</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（2）生产过程中产生的危害，包括有害尘毒、火灾爆炸事故、机械危害、噪声振动触电事故、坠落及碰撞、建筑物施工脚手架的安全问题等各种因素。</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工程施工期间需要在临时仓库中保存较多的木材、燃油和其它易燃、易爆材料，应注意安全管理。各类施工机械使用应严格按照规程操作，避免人为事故发生。</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运行过程中的主要危害：</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主要是渠道的边坡护砌存在不均匀沉陷的可能性。</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劳动安全措施</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防机械伤害</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工程的防机械伤害设计，应符合现行国家标准《机械安全防护装置固定式和活动式防护装置设计与制造一般要求》（GB/T8196-2003）、《生产设备安全卫生设计总则》（GB5083-1999）、《生产过程安全卫生要求总则》（GB/T12801-2008）、《水利水电起重机械安全规程》（SL425-2017）等有关规定。</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（2）机械上外露的开式齿轮、联轴器、传动轴、链条、传动带等易伤人的活动零部件，宜装设防护罩或设置安全运行区。</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防电气伤害</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（1）配电装置电气安全净距应符合现行业标准《水利水电工程高压配电装置设计规范》（SL311-2004）的有关规定。当配电装置电气设备外缘最低部位距地面小于2.5m（室内2.3m）时，应设置固定遮栏。</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（2）采用开敞式高压配电装置的独立开关站，其场地四周应设置高度不低于2.2m的围墙。</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（3）不同用途和不同电压的电气设备使用一个总接地网时，总接地电阻应符合其中最小值的要求。</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（4）电力设备外壳应接地或接零。在中性点直接接地的低压电力网中，电力设备的外壳宜采用接零保护。在潮湿场所或条件特别恶劣场所的供电网络中，电力设备的外壳应采用接零保护。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（5）对接地网的高电位可能引向地网外，或将地网外低电位引向地网内的设施或装置，应采取隔离措施。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（6）在中性点直接接地的低压电网中，零线应在电源处接地。</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（7）用于接零保护的零线上不得装设熔断器和断路器，只有当熔断器动作且同时切断相线时可装设断路器。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（8）安全电压供电电路和中的电源变压器，严禁采用自耦变压器。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（9）易发生爆炸、火灾造成人身伤亡的场所装设应急照明。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电气设备的外壳和钢构架在正常运行中的最高温升，应符合下列规定：运行人员经常触及的部位不应大于30K；运行人员不经常触及的部位不应大于40K；运行人员不触及部位不应大于65K，并应有明显的安全标志。</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防坠落伤害</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（1）工程的坑池、孔洞和坠落高度超过2m的平台周围，均应设置防护栏杆或盖板，平台应采取防滑措施。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（2）水工建筑物闸门的门槽、集水井、吊物孔、竖井等处，应在孔口位置设置盖板或防护拦杆。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（3）枢纽建筑物的掺气孔、通气孔、通风孔、调压井，应在其孔口设置防护栏杆或网孔盖板，网孔盖板应能防止人脚坠入。</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防洪、防淹</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（1）工程的防洪设计应符合国家现行标准《防洪标准》（GB50201-2014）、《水利水电工程等级划分及洪水标准》（SL252-2017）、《水利水电工程围堰设计规范》（SL645-2013）的有关规定。</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（2）防洪防淹设施应设置不少于2个独立电源供电，且任意一电源均应满足工作负荷要求。</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防火灾防爆炸伤害</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（1）工程的防火、防爆设计应符合国家现行标准《水利工程设计防火规范》（GB50987-2014）、《建筑设计防火规范》（GB50016-2014）的有关规定。</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防火、防爆：施工期间临时仓库保存较多的木材、燃油和其它易燃、易爆材料。因此，首先根据生产场所的性质，确定其火灾危险性类别和耐火等级，然后选定建筑物各构件的燃烧性能和耐火等级均不低于规程的规定值。</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（3）对所有工作场所，严禁采用明火取暖方式。</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防雷击伤害</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按三类防雷标准设计。防直击雷措施：在建筑顶部采用避雷带，其网格不大于20m×20m，接闪器的引下线与建筑物柱内的主钢筋和基础内的主钢筋焊接成整体，构成电气通路。引下线不少于2根，其间距不大于25m，冲击接地电阻小于30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防雷电波侵入措施：凡进入建筑物的埋地金属管道，电源通过一段金属管道引入，均在其入户处与防雷接地装置相连，屋面的处理相同。</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卫生措施</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防噪音及防振动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（1）防噪声</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产生噪声的源头主要为各种施工机械设备。防噪声设计主要从噪声声源、噪声传播和受声体3个方面进行噪声防治。主要防治措施：①对新设备在设计过程中要求制造厂降低设备地原始噪声，提供国家规定噪声标准的设备；②对噪声设备进行隔音处理；③采取一些个体防护措施如带耳机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（2）防振动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设备与管道采用柔性连接，设备基础采用减振基础或减振垫。</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防尘防污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配电装置室地面应采取不易起尘的硬质材料。</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机械通风系统进风口宜设置在室外空气比较洁净的地方。</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采光及照明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采光设计应充分利用天然采光，照明设计及各类工作场所的最低照度应符合《建筑照明设计标准》（GB50034-2013）标准。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正常照明熄灭后，下列场所应设置应急照明：需继续确保工作正常进行的场所，需确保潜在危险中人员安全的场所；需确保人员安全疏散的出口和通道。</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应急照明应选用快速点燃的光源。</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通风、温度和湿度控制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期机修、汽修厂、混凝土拌和站和钢筋木材加工厂及完工后的启闭机房、管理用房采用自然通风方式通风。本工程湿度调节主要以自然通风为主，辅以必要的人工加除湿措施。如有必要可装设空调，以调节室内湿度及温度。</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防水与防潮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工程设计环境卫生设计应符合国家现行有关工业企业设计卫生标准的规定。</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生产管理区、生活区、废渣场、生活污水排放点的选址，应在工程总体规划、总体布置中确定。生产管理区与生活区之间宜保持一定的安全、卫生防护距离，并应进行绿化。</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生活区、生产管理区应设置污水排放管沟，并应避免污水直接排至地面。污水及废水排放应按现行国家标准《室外排水设计规范（2016年版）》（GB50014-2006）的有关规定执行。</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关于新冠病毒疫情防护措施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因新冠病毒具有极强的感染性和病死率，国内经历了从爆发到控制再到防止外来输入几个三段，目前仍处于第三阶段，由于国外控制措施较差，导致新冠病毒疫情仍在持续扩散，未来仍然存在一定的风险性，所以必须在工程建设中提前采取必要的防护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开工时，需提报务工人员详细信息，现场防疫平面布置图，明确登记处、测温处、隔离区、生活区、办公区等位置，工人在场外居住的须提供确定集中居住点，并有符合要求的防控制度和保障措施，否则不予受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开工前，制定疫情防控企业级、项目级两级预案，并进行桌面推演，确保能用、好用、管用；对工地现场进行彻底打扫、消杀，不留卫生死角。每天对现场人员流动区域消杀不少于2次，对现场工人测温不少于2次，并形成记录备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（3）严格落实工人实名登记和进场测体温制度，疫情敏感区域人员应当慎重使用，疫情严重区域人员严禁招用，申请复工时须提供工人符合疫情防控要求的隔离记录。</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施工现场实行封闭管理，疫情期间不得随意进出，工人集中管理制度须持续至疫情结束后方可解除。工地所需生产资料，由专人采购、登记(包括购买的时间、地点、商户名称等信息)送至指定地点，严禁推销人员进场。建筑材料到场后，在入口外对车辆进行消杀，运送人员要有防护措施并不得下车，由工地安排专人负责装卸。</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工地食宿实行封闭管理，工地具备住宿条件的，由专人负责管理，不再安排集中就餐，饮食由专人送至宿舍。工人不得随意外出；工地不具备食宿条件的，由用人单位统一安排食宿，并安排专人专车按固定路线进行接送，工人到达宿舍后，由专人管理，不得外出，所需物品由专人定点采购。</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（6）在日报告和零报告的基础上，每日上报工地人员数量、进出等情况，疫情期间人员离场后不得再次进场，确需再次入场须经隔离观察并登记上报，确保安全。</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安全卫生管理</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安全卫生管理机构</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为了搞好项目运行后的安全卫生宣传工作，需建立一个劳动安全与工业卫生教育与管理机构。</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安全卫生机构由安全工程师负责，负责工程的安全与工业卫生工作。</w:t>
      </w:r>
    </w:p>
    <w:p>
      <w:pPr>
        <w:keepNext w:val="0"/>
        <w:keepLines w:val="0"/>
        <w:pageBreakBefore w:val="0"/>
        <w:widowControl w:val="0"/>
        <w:numPr>
          <w:ilvl w:val="3"/>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3"/>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安全设施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在有可能的坠落面设置固定式防护栏杆，防止工作人员意外坠落，尽可能避免运行人员的坠落伤害。合理布置噪声源，选用低噪声设备可降低噪声水平，将噪声危害降低到最低限度。</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室内不同场所采取不同的通风方式，将湿度高的空气排入大气，实现换气。对经常值班的场所安装空调器，有效降低空气的湿度和温度，并且通过机械通风，确保空气新鲜，保证运行人员的身体健康。</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其他安全设施主要有声级计、湿度计、温度计、万用表和有必要的宣传设备。宣传设备包括宣传用广播和宣传栏。</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color w:val="auto"/>
          <w:sz w:val="28"/>
          <w:szCs w:val="28"/>
        </w:rPr>
        <w:sectPr>
          <w:headerReference r:id="rId26"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firstLine="0"/>
        <w:jc w:val="center"/>
        <w:textAlignment w:val="auto"/>
        <w:rPr>
          <w:rFonts w:hint="eastAsia" w:ascii="方正小标宋简体" w:hAnsi="方正小标宋简体" w:eastAsia="方正小标宋简体" w:cs="方正小标宋简体"/>
          <w:b w:val="0"/>
          <w:bCs w:val="0"/>
          <w:color w:val="auto"/>
          <w:sz w:val="36"/>
          <w:szCs w:val="36"/>
        </w:rPr>
      </w:pPr>
      <w:bookmarkStart w:id="137" w:name="_Toc45723059"/>
      <w:bookmarkStart w:id="138" w:name="_Toc24376"/>
      <w:r>
        <w:rPr>
          <w:rFonts w:hint="eastAsia" w:ascii="方正小标宋简体" w:hAnsi="方正小标宋简体" w:eastAsia="方正小标宋简体" w:cs="方正小标宋简体"/>
          <w:b w:val="0"/>
          <w:bCs w:val="0"/>
          <w:color w:val="auto"/>
          <w:sz w:val="36"/>
          <w:szCs w:val="36"/>
        </w:rPr>
        <w:t>环境保护</w:t>
      </w:r>
      <w:bookmarkEnd w:id="137"/>
    </w:p>
    <w:p>
      <w:pPr>
        <w:bidi w:val="0"/>
        <w:adjustRightInd/>
        <w:snapToGrid/>
        <w:spacing w:line="240" w:lineRule="auto"/>
        <w:ind w:firstLine="0" w:firstLineChars="0"/>
        <w:rPr>
          <w:rFonts w:hint="eastAsia"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39" w:name="_Toc45723060"/>
      <w:bookmarkStart w:id="140" w:name="_Toc14344"/>
      <w:r>
        <w:rPr>
          <w:rFonts w:hint="eastAsia" w:ascii="黑体" w:hAnsi="黑体" w:eastAsia="黑体" w:cs="黑体"/>
          <w:b w:val="0"/>
          <w:bCs w:val="0"/>
          <w:color w:val="auto"/>
          <w:kern w:val="2"/>
          <w:sz w:val="28"/>
          <w:szCs w:val="28"/>
          <w:lang w:val="en-US" w:eastAsia="zh-CN" w:bidi="ar-SA"/>
        </w:rPr>
        <w:t>编制依据</w:t>
      </w:r>
      <w:bookmarkEnd w:id="139"/>
      <w:bookmarkEnd w:id="140"/>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有关环境保护的法律、法规、标准及规范等。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（1）《中华人民共和国环境保护法》2014年4月24日修订；</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（2）《中华人民共和国环境影响评价法》（2002.10）；</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（3）《建设项目环境保护管理条例》（国务院第682号令）；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（4）《中华人民共和国水土保持法》（2011.3）；</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（5）《中华人民共和国水污染防治法》（2008.2.28修订）；</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（6）《中华人民共和国固体废弃物污染环境防治法》（2005.4修订）；</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（7）《中华人民共和国大气污染防治法》（2015年修订，2016年1月1日修订）；</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（8）《中华人民共和国环境噪声污染防治法》（1997.3）；</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（9）《中华人民共和国土地管理法法》（2004.8修订）；</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（10）《中华人民共和国农业法》（2002年修订）（2003.3.1）；</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）环境空气质量标准（GB3095-2012）；</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）《建筑施工场界环境噪声排放标准》（GB12523-2011）；</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41" w:name="_Toc45723061"/>
      <w:bookmarkStart w:id="142" w:name="_Toc24922"/>
      <w:r>
        <w:rPr>
          <w:rFonts w:hint="eastAsia" w:ascii="黑体" w:hAnsi="黑体" w:eastAsia="黑体" w:cs="黑体"/>
          <w:b w:val="0"/>
          <w:bCs w:val="0"/>
          <w:color w:val="auto"/>
          <w:kern w:val="2"/>
          <w:sz w:val="28"/>
          <w:szCs w:val="28"/>
          <w:lang w:val="en-US" w:eastAsia="zh-CN" w:bidi="ar-SA"/>
        </w:rPr>
        <w:t>环境现状</w:t>
      </w:r>
      <w:bookmarkEnd w:id="141"/>
      <w:bookmarkEnd w:id="142"/>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1、场址及周边所在地的土壤、空气、水、噪声、生态及社会环境现状。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2、场址所在地的污染物排放标准。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43" w:name="_Toc45723062"/>
      <w:bookmarkStart w:id="144" w:name="_Toc24499"/>
      <w:r>
        <w:rPr>
          <w:rFonts w:hint="eastAsia" w:ascii="黑体" w:hAnsi="黑体" w:eastAsia="黑体" w:cs="黑体"/>
          <w:b w:val="0"/>
          <w:bCs w:val="0"/>
          <w:color w:val="auto"/>
          <w:kern w:val="2"/>
          <w:sz w:val="28"/>
          <w:szCs w:val="28"/>
          <w:lang w:val="en-US" w:eastAsia="zh-CN" w:bidi="ar-SA"/>
        </w:rPr>
        <w:t>环境影响</w:t>
      </w:r>
      <w:bookmarkEnd w:id="143"/>
      <w:bookmarkEnd w:id="144"/>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析拟建项目在工程建设和投入运营过程中对环境可能产生的破坏因素以及对环境的影响程度，包括废气、废水、固体废弃物、噪声、粉尘和其他废弃物的排放数量，水土流失情况，对地形、地貌、植被及整个流域和区域环境及生态系统的综合影响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1、项目建设对环境的影响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（1）对地形、地貌等自然环境的影响。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（2）对森林、草地植被的影响。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（3）对大气、地表水、地下水、土壤的影响。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（4）对社会环境、文物古迹、风景名胜区、水源保护区的影响。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2、项目产生的废弃物对环境的影响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（1）分析说明项目建成后运行过程中产生的污染物情况。应说明污染物名称、产生点、产生量及排放量、排放方式，特殊废弃物需说明组成、特性及排放特征等。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（2）分析污染物发生的位置、特性，计算强度值及其对周围环境的危害程度等。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45" w:name="_Toc45723063"/>
      <w:bookmarkStart w:id="146" w:name="_Toc7078"/>
      <w:r>
        <w:rPr>
          <w:rFonts w:hint="eastAsia" w:ascii="黑体" w:hAnsi="黑体" w:eastAsia="黑体" w:cs="黑体"/>
          <w:b w:val="0"/>
          <w:bCs w:val="0"/>
          <w:color w:val="auto"/>
          <w:kern w:val="2"/>
          <w:sz w:val="28"/>
          <w:szCs w:val="28"/>
          <w:lang w:val="en-US" w:eastAsia="zh-CN" w:bidi="ar-SA"/>
        </w:rPr>
        <w:t>污染物防治</w:t>
      </w:r>
      <w:bookmarkEnd w:id="145"/>
      <w:bookmarkEnd w:id="146"/>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1、废气、粉(烟)尘的防治</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（1）综合治理措施(包括生产工艺改进、生产设备更新、改进管理等)及末端处理技术、工艺说明。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（2）治理后预期达到的效果与国家或当地允许排放标准的对比以及区域大气环境质量变化情况。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2、废水处理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（1）末端处理技术及工艺说明。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（2）废水经处理后的相关水质指标。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（3）废水处理后的利用。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3、噪声控制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（1）说明噪声控制的主要措施，包括工艺、建筑、公用工程设计采用的降低噪声措施以及总平面设计结合功能分区的降噪措施。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（2）说明采取控制措施后噪声是否符合有关标准的要求。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4、固体废弃物的综合利用及处置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固体废弃物的种类、无害化处置方法、二次污染的防范措施。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5、农业面源污染的控制与防治</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减少面源污染的技术手段和工程措施，包括畜禽死尸等废弃物的无害化处置方法和畜禽粪污的综合循环利用，推广应用种、养业清洁生产模式、乡村清洁工程模式等。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6、其他污染的控制及防治</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如存在其他污染问题，则应根据生产过程的特点，说明污染来源、污染程度、污染的治理或防范措施，说明治理或采取的防范措施能否达到有关标准的要求。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7、绿化</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从大气、粉尘及噪声污染等保护环境角度对项目场区绿化的说明。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8、预期效果分析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论述经采取防治环境污染的主要措施后，污染物的排放是否符合环境保护部门对建设项目环境保护规定的有关要求。</w:t>
      </w:r>
    </w:p>
    <w:p>
      <w:pPr>
        <w:adjustRightInd/>
        <w:snapToGrid/>
        <w:spacing w:line="240" w:lineRule="auto"/>
        <w:ind w:firstLine="0" w:firstLineChars="0"/>
        <w:rPr>
          <w:rFonts w:hint="eastAsia" w:ascii="仿宋_GB2312" w:hAnsi="仿宋_GB2312" w:eastAsia="仿宋_GB2312" w:cs="仿宋_GB2312"/>
          <w:color w:val="auto"/>
          <w:sz w:val="28"/>
          <w:szCs w:val="28"/>
        </w:rPr>
      </w:pPr>
      <w:bookmarkStart w:id="147" w:name="_Toc45723064"/>
      <w:r>
        <w:rPr>
          <w:rFonts w:hint="eastAsia" w:ascii="仿宋_GB2312" w:hAnsi="仿宋_GB2312" w:eastAsia="仿宋_GB2312" w:cs="仿宋_GB2312"/>
          <w:color w:val="auto"/>
          <w:sz w:val="28"/>
          <w:szCs w:val="28"/>
        </w:rPr>
        <w:br w:type="page"/>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firstLine="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设计概算和资金筹措</w:t>
      </w:r>
      <w:bookmarkEnd w:id="138"/>
      <w:bookmarkEnd w:id="147"/>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outlineLvl w:val="1"/>
        <w:rPr>
          <w:rFonts w:hint="eastAsia" w:ascii="仿宋_GB2312" w:hAnsi="仿宋_GB2312" w:eastAsia="仿宋_GB2312" w:cs="仿宋_GB2312"/>
          <w:b/>
          <w:bCs/>
          <w:color w:val="auto"/>
          <w:kern w:val="2"/>
          <w:sz w:val="28"/>
          <w:szCs w:val="28"/>
          <w:lang w:val="en-US" w:eastAsia="zh-CN" w:bidi="ar-SA"/>
        </w:rPr>
      </w:pPr>
      <w:bookmarkStart w:id="148" w:name="_Toc45723065"/>
      <w:bookmarkStart w:id="149" w:name="_Toc3163"/>
      <w:bookmarkStart w:id="150" w:name="_Toc11250288"/>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概算依据</w:t>
      </w:r>
      <w:bookmarkEnd w:id="148"/>
      <w:bookmarkEnd w:id="149"/>
      <w:bookmarkEnd w:id="150"/>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概算依据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（1）《水利水电工程设计工程量计算规定》（SL328-2005）；</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）XX县建设工程造价管理站文件《关于发布XX县二〇一九年第六期建设工程材料价格的通知》；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）项目设计图纸、工程量清单和设计说明等。</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基础单价</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（1）人工单价：工长11.30元/工时、高级工10.36元/工时、中级工8.52元/工时、初级工6.13元/工时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（2）材料价格</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砂石、水泥等主要材料预算价格依据XX市建设工程造价管理站文件《关于发布二0二0年第二期建筑工程材料价格的通知》（常建价[2020]3号）确定；泵房设备、U型槽、成套闸门设备等采用市场询价或参考XX县以往实施项目价格。</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（3）水、电、风价格</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bookmarkStart w:id="151" w:name="_Toc11250289"/>
      <w:r>
        <w:rPr>
          <w:rFonts w:hint="eastAsia" w:ascii="仿宋_GB2312" w:hAnsi="仿宋_GB2312" w:eastAsia="仿宋_GB2312" w:cs="仿宋_GB2312"/>
          <w:color w:val="auto"/>
          <w:sz w:val="28"/>
          <w:szCs w:val="28"/>
          <w:lang w:val="en-GB"/>
        </w:rPr>
        <w:t>施工用电价格为</w:t>
      </w:r>
      <w:r>
        <w:rPr>
          <w:rFonts w:hint="eastAsia" w:ascii="仿宋_GB2312" w:hAnsi="仿宋_GB2312" w:eastAsia="仿宋_GB2312" w:cs="仿宋_GB2312"/>
          <w:color w:val="auto"/>
          <w:sz w:val="28"/>
          <w:szCs w:val="28"/>
        </w:rPr>
        <w:t>0.70元/（kw.h），施工用水价格为1.17元/m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，施工用风价格0.24元/m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52" w:name="_Toc45723066"/>
      <w:bookmarkStart w:id="153" w:name="_Toc18976"/>
      <w:r>
        <w:rPr>
          <w:rFonts w:hint="eastAsia" w:ascii="黑体" w:hAnsi="黑体" w:eastAsia="黑体" w:cs="黑体"/>
          <w:b w:val="0"/>
          <w:bCs w:val="0"/>
          <w:color w:val="auto"/>
          <w:kern w:val="2"/>
          <w:sz w:val="28"/>
          <w:szCs w:val="28"/>
          <w:lang w:val="en-US" w:eastAsia="zh-CN" w:bidi="ar-SA"/>
        </w:rPr>
        <w:t>项目总概算</w:t>
      </w:r>
      <w:bookmarkEnd w:id="151"/>
      <w:bookmarkEnd w:id="152"/>
      <w:bookmarkEnd w:id="153"/>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算总投资3456.00万元，其中：土地平整工程151.84万元，占总投资的4.4%；土壤改良工程费用163.65万元，占总投资的4.74%；灌溉与排水工程费用2201.46万元，占总投资的63.7%；高效节水灌溉工程费用41.63万元，占总投资的1.2%；田间道路工程费用626.61万元，占总投资的18.13%；农田防护与生态环境保护工程费用24.34万元，占总投资的0.7%；科技推广工程费用35.0万元，占总投资的1.01%；其他工作及措施费用211.48万元，占总投资的6.12%。</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color w:val="auto"/>
          <w:sz w:val="28"/>
          <w:szCs w:val="28"/>
          <w:lang w:val="en-GB"/>
        </w:rPr>
        <w:t>具体见表1</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GB"/>
        </w:rPr>
        <w:t>-</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GB"/>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textAlignment w:val="auto"/>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textAlignment w:val="auto"/>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表10-1     项目总投资费用结构表</w:t>
      </w:r>
    </w:p>
    <w:tbl>
      <w:tblPr>
        <w:tblStyle w:val="14"/>
        <w:tblW w:w="885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997"/>
        <w:gridCol w:w="1911"/>
        <w:gridCol w:w="1180"/>
        <w:gridCol w:w="1029"/>
        <w:gridCol w:w="882"/>
        <w:gridCol w:w="1095"/>
        <w:gridCol w:w="903"/>
        <w:gridCol w:w="8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序号</w:t>
            </w:r>
          </w:p>
        </w:tc>
        <w:tc>
          <w:tcPr>
            <w:tcW w:w="191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工程或费用名称</w:t>
            </w:r>
          </w:p>
        </w:tc>
        <w:tc>
          <w:tcPr>
            <w:tcW w:w="118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建安工程费</w:t>
            </w:r>
          </w:p>
        </w:tc>
        <w:tc>
          <w:tcPr>
            <w:tcW w:w="102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设备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购置费</w:t>
            </w:r>
          </w:p>
        </w:tc>
        <w:tc>
          <w:tcPr>
            <w:tcW w:w="88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独立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费用</w:t>
            </w:r>
          </w:p>
        </w:tc>
        <w:tc>
          <w:tcPr>
            <w:tcW w:w="10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投资合计</w:t>
            </w:r>
          </w:p>
        </w:tc>
        <w:tc>
          <w:tcPr>
            <w:tcW w:w="175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其中：</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财政资金</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自筹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资金</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Ⅰ</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总投资</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3456.00</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3456.00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第一部分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土地平整</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151.84</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151.84</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151.84</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一</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耕作田块修筑工程</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57.34</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57.34</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57.34</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二</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耕作层地利保持工程</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94.49</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94.49</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94.49</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第二部分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土壤改良</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163.65</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163.65</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163.65</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一</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XX镇</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74.35</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74.35</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74.35</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二</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XX镇</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26.66</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26.66</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26.66</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三</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XX镇</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62.64</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62.64</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62.64</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第三部分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灌溉排水</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2180.71</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20.76</w:t>
            </w: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2201.46</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2201.46</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一</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水源工程</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1136.60</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3.35</w:t>
            </w: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1139.96</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1139.96</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二</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输水工程</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508.63</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15.80</w:t>
            </w: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524.43</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524.43</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三</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排水工程</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535.48</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1.60</w:t>
            </w: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537.08</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537.08</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第四部分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高效节水灌溉</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41.63</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41.63</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41.63</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第五部分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田间道路</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626.61</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626.61</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626.61</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一</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道路工程</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626.61</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626.61</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626.61</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第六部分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农田防护与生态环境保护</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24.34</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24.34</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24.34</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一</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生态环境保护工程</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24.34</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24.34</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24.34</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第七部分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农田输配电</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第八部分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科技推广措施</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35.00</w:t>
            </w: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35.00</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35.00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第九部分</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其他工作及措施</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211.48</w:t>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211.48</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211.48</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一</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项目管理费</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64.56</w:t>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64.56</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64.56</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二</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工程建设监理费</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69.12</w:t>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69.12</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69.12</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三</w:t>
            </w:r>
          </w:p>
        </w:tc>
        <w:tc>
          <w:tcPr>
            <w:tcW w:w="1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勘测设计费</w:t>
            </w:r>
          </w:p>
        </w:tc>
        <w:tc>
          <w:tcPr>
            <w:tcW w:w="11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10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77.80</w:t>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77.80</w:t>
            </w:r>
          </w:p>
        </w:tc>
        <w:tc>
          <w:tcPr>
            <w:tcW w:w="9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77.80</w:t>
            </w:r>
          </w:p>
        </w:tc>
        <w:tc>
          <w:tcPr>
            <w:tcW w:w="8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2"/>
                <w:szCs w:val="22"/>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numPr>
          <w:ilvl w:val="1"/>
          <w:numId w:val="2"/>
        </w:numPr>
        <w:kinsoku/>
        <w:wordWrap/>
        <w:overflowPunct/>
        <w:topLinePunct w:val="0"/>
        <w:autoSpaceDE/>
        <w:autoSpaceDN/>
        <w:bidi w:val="0"/>
        <w:adjustRightInd w:val="0"/>
        <w:snapToGrid w:val="0"/>
        <w:spacing w:line="420" w:lineRule="exact"/>
        <w:ind w:left="0" w:leftChars="0" w:firstLine="562" w:firstLineChars="200"/>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54" w:name="_Toc45723067"/>
      <w:r>
        <w:rPr>
          <w:rFonts w:hint="eastAsia" w:ascii="仿宋_GB2312" w:hAnsi="仿宋_GB2312" w:eastAsia="仿宋_GB2312" w:cs="仿宋_GB2312"/>
          <w:b/>
          <w:bCs/>
          <w:color w:val="auto"/>
          <w:kern w:val="2"/>
          <w:sz w:val="28"/>
          <w:szCs w:val="28"/>
          <w:lang w:val="en-US" w:eastAsia="zh-CN" w:bidi="ar-SA"/>
        </w:rPr>
        <w:t>项目分村投资结构表</w:t>
      </w:r>
      <w:bookmarkEnd w:id="154"/>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项目分村投资结构表见表10-2</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仿宋_GB2312" w:hAnsi="仿宋_GB2312" w:eastAsia="仿宋_GB2312" w:cs="仿宋_GB2312"/>
          <w:b/>
          <w:color w:val="auto"/>
          <w:kern w:val="32"/>
          <w:sz w:val="28"/>
          <w:szCs w:val="28"/>
          <w:lang w:val="en-US" w:eastAsia="zh-CN" w:bidi="ar-SA"/>
        </w:rPr>
      </w:pPr>
      <w:r>
        <w:rPr>
          <w:rFonts w:hint="eastAsia" w:ascii="仿宋_GB2312" w:hAnsi="仿宋_GB2312" w:eastAsia="仿宋_GB2312" w:cs="仿宋_GB2312"/>
          <w:b/>
          <w:color w:val="auto"/>
          <w:kern w:val="32"/>
          <w:sz w:val="28"/>
          <w:szCs w:val="28"/>
          <w:lang w:val="en-US" w:eastAsia="zh-CN" w:bidi="ar-SA"/>
        </w:rPr>
        <w:t>表10-2     项目分村投资费用结构表</w:t>
      </w:r>
    </w:p>
    <w:tbl>
      <w:tblPr>
        <w:tblStyle w:val="14"/>
        <w:tblW w:w="9004" w:type="dxa"/>
        <w:jc w:val="center"/>
        <w:tblLayout w:type="fixed"/>
        <w:tblCellMar>
          <w:top w:w="0" w:type="dxa"/>
          <w:left w:w="108" w:type="dxa"/>
          <w:bottom w:w="0" w:type="dxa"/>
          <w:right w:w="108" w:type="dxa"/>
        </w:tblCellMar>
      </w:tblPr>
      <w:tblGrid>
        <w:gridCol w:w="1451"/>
        <w:gridCol w:w="974"/>
        <w:gridCol w:w="1082"/>
        <w:gridCol w:w="1082"/>
        <w:gridCol w:w="1082"/>
        <w:gridCol w:w="1082"/>
        <w:gridCol w:w="1082"/>
        <w:gridCol w:w="1169"/>
      </w:tblGrid>
      <w:tr>
        <w:tblPrEx>
          <w:tblCellMar>
            <w:top w:w="0" w:type="dxa"/>
            <w:left w:w="108" w:type="dxa"/>
            <w:bottom w:w="0" w:type="dxa"/>
            <w:right w:w="108" w:type="dxa"/>
          </w:tblCellMar>
        </w:tblPrEx>
        <w:trPr>
          <w:trHeight w:val="495" w:hRule="atLeast"/>
          <w:tblHeader/>
          <w:jc w:val="center"/>
        </w:trPr>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9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XX村</w:t>
            </w:r>
          </w:p>
        </w:tc>
        <w:tc>
          <w:tcPr>
            <w:tcW w:w="1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毛家岗村</w:t>
            </w:r>
          </w:p>
        </w:tc>
        <w:tc>
          <w:tcPr>
            <w:tcW w:w="1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清泉村</w:t>
            </w:r>
          </w:p>
        </w:tc>
        <w:tc>
          <w:tcPr>
            <w:tcW w:w="1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黄林堰村</w:t>
            </w:r>
          </w:p>
        </w:tc>
        <w:tc>
          <w:tcPr>
            <w:tcW w:w="1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金坪村</w:t>
            </w:r>
          </w:p>
        </w:tc>
        <w:tc>
          <w:tcPr>
            <w:tcW w:w="1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填平补齐</w:t>
            </w:r>
          </w:p>
        </w:tc>
        <w:tc>
          <w:tcPr>
            <w:tcW w:w="11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合计</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土地平整</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151.84</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151.84</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土壤改良</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21.78</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29.50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26.66</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23.07</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62.64</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163.65</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山塘</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33.45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201.58</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194.94</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190.70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272.40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236.33</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1129.40</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泵站</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0.00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10.55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0.00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0.00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10.55</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骨干灌渠</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74.18</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131.92</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51.26</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63.56</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203.52</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524.43</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骨干排渠</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11.35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281.18</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244.56</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537.08</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管道灌溉</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41.63</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41.63</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道路工程</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71.05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270.85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43.48</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29.53</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211.69</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626.61</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太阳灯</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5.25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5.25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7.00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3.50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14.00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35.00</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生态环境保护工程</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24.34</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24.34</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项目管理费</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4.32</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18.52</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6.43</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6.18</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24.41</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4.70</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64.56</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工程建设监理费</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4.62</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19.83</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6.89</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6.61</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26.13</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5.03</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69.12</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勘测设计费</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5.20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22.32</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7.75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7.44</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29.41</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5.67</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77.80</w:t>
            </w:r>
          </w:p>
        </w:tc>
      </w:tr>
      <w:tr>
        <w:tblPrEx>
          <w:tblCellMar>
            <w:top w:w="0" w:type="dxa"/>
            <w:left w:w="108" w:type="dxa"/>
            <w:bottom w:w="0" w:type="dxa"/>
            <w:right w:w="108" w:type="dxa"/>
          </w:tblCellMar>
        </w:tblPrEx>
        <w:trPr>
          <w:trHeight w:val="285" w:hRule="atLeast"/>
          <w:jc w:val="center"/>
        </w:trPr>
        <w:tc>
          <w:tcPr>
            <w:tcW w:w="14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合计</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231.20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991.50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344.41</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330.60</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1306.55</w:t>
            </w:r>
          </w:p>
        </w:tc>
        <w:tc>
          <w:tcPr>
            <w:tcW w:w="1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251.73</w:t>
            </w:r>
          </w:p>
        </w:tc>
        <w:tc>
          <w:tcPr>
            <w:tcW w:w="11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3456.00</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
          <w:color w:val="auto"/>
          <w:kern w:val="3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55" w:name="7.3资金筹措方案"/>
      <w:bookmarkEnd w:id="155"/>
      <w:bookmarkStart w:id="156" w:name="_Toc45723068"/>
      <w:bookmarkStart w:id="157" w:name="_Toc12984"/>
      <w:bookmarkStart w:id="158" w:name="_Toc11250290"/>
      <w:r>
        <w:rPr>
          <w:rFonts w:hint="eastAsia" w:ascii="黑体" w:hAnsi="黑体" w:eastAsia="黑体" w:cs="黑体"/>
          <w:b w:val="0"/>
          <w:bCs w:val="0"/>
          <w:color w:val="auto"/>
          <w:kern w:val="2"/>
          <w:sz w:val="28"/>
          <w:szCs w:val="28"/>
          <w:lang w:val="en-US" w:eastAsia="zh-CN" w:bidi="ar-SA"/>
        </w:rPr>
        <w:t>资金筹措方案</w:t>
      </w:r>
      <w:bookmarkEnd w:id="156"/>
      <w:bookmarkEnd w:id="157"/>
      <w:bookmarkEnd w:id="158"/>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概算总投资3456.00万元，其中XXX。</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资本金筹措</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说明项目资本金的出资人、出资方式、出资额度及认缴进度，计算占总投资的比例。项目资金一般包括中央财政资金、地方财政资金和自筹三部分。</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债务资金筹措</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说明项目债务资金的筹集渠道、筹集额度与成本、用途及占建设投资的比例等。</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融资方案分析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对融资方案进行分析，包括资金结构、融资风险和融资成本等。</w:t>
      </w:r>
    </w:p>
    <w:p>
      <w:pPr>
        <w:widowControl w:val="0"/>
        <w:ind w:firstLine="0" w:firstLineChars="0"/>
        <w:jc w:val="both"/>
        <w:outlineLvl w:val="1"/>
        <w:rPr>
          <w:rFonts w:hint="eastAsia" w:ascii="楷体" w:hAnsi="楷体" w:eastAsia="宋体" w:cs="楷体"/>
          <w:b/>
          <w:bCs/>
          <w:kern w:val="2"/>
          <w:sz w:val="30"/>
          <w:szCs w:val="30"/>
          <w:lang w:val="en-US" w:eastAsia="zh-CN" w:bidi="ar-SA"/>
        </w:rPr>
      </w:pPr>
    </w:p>
    <w:p>
      <w:pPr>
        <w:rPr>
          <w:rFonts w:hint="eastAsia"/>
        </w:rPr>
        <w:sectPr>
          <w:footerReference r:id="rId27"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jc w:val="center"/>
        <w:textAlignment w:val="auto"/>
        <w:rPr>
          <w:rFonts w:hint="eastAsia" w:ascii="方正小标宋简体" w:hAnsi="方正小标宋简体" w:eastAsia="方正小标宋简体" w:cs="方正小标宋简体"/>
          <w:b w:val="0"/>
          <w:bCs w:val="0"/>
          <w:color w:val="auto"/>
          <w:sz w:val="36"/>
          <w:szCs w:val="36"/>
        </w:rPr>
      </w:pPr>
      <w:bookmarkStart w:id="159" w:name="_Toc14854235"/>
      <w:bookmarkStart w:id="160" w:name="_Toc45723069"/>
      <w:r>
        <w:rPr>
          <w:rFonts w:hint="eastAsia" w:ascii="方正小标宋简体" w:hAnsi="方正小标宋简体" w:eastAsia="方正小标宋简体" w:cs="方正小标宋简体"/>
          <w:b w:val="0"/>
          <w:bCs w:val="0"/>
          <w:color w:val="auto"/>
          <w:sz w:val="36"/>
          <w:szCs w:val="36"/>
        </w:rPr>
        <w:t>绩效目标与综合评价</w:t>
      </w:r>
      <w:bookmarkEnd w:id="159"/>
      <w:bookmarkEnd w:id="160"/>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61" w:name="_Toc45723070"/>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经济效益分析</w:t>
      </w:r>
      <w:bookmarkEnd w:id="161"/>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新增固定资产价值</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XX县</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高标准农田建设项目，按照《高标准农田建设通则（GBT30600-2014）》的要求，科学合理地设计高标准农田建设内容，包括土壤改良工程、灌溉与排水工程、田间道路工程、农田防护与生态环境保持工程、监测工程等，实行土、水、路、技、管综合配套，新增建设总投资</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万元，按扣除其他工作及措施费用(共</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万元)计算，项目区新增固定资产价值为</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新增和改善灌溉面积</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通过加强项目区水源工程建设，配套改造和建设输配水渠（管）道和排水沟（管）道、泵站及渠系建筑物。因地制宜推广渠道防渗、管道输水、沟畦灌、水稻控制灌溉等节水灌溉技术。</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项目建成后，新增和改善灌溉面积16000亩。新增排涝面积5000亩，项目区灌溉设计保证率达到90%，排水设计暴雨重现期达到5～10年一遇，水田3d暴雨3d排至作物耐淹水深，旱地1d暴雨从作物受淹起1d排至田面无积水。</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改善劳动强度</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是通过该项目的实施，田间灌排系统完善、工程配套、利用充分，输、配、灌、排水及时高效；预计每年每亩可以节约农民用工1个工日以上。二是通过田间道路建设和维修，便于农业机械化，项目区耕种收综合机械化水平达到70%以上（比原来提高25%以上）。</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促进粮食增产和农民增收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（1）新增粮食产能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项目建成后，新增、改善项目区灌溉面积</w:t>
      </w:r>
      <w:r>
        <w:rPr>
          <w:rFonts w:hint="eastAsia" w:ascii="仿宋_GB2312" w:hAnsi="仿宋_GB2312" w:eastAsia="仿宋_GB2312" w:cs="仿宋_GB2312"/>
          <w:color w:val="auto"/>
          <w:sz w:val="28"/>
          <w:szCs w:val="28"/>
          <w:lang w:val="en-US" w:eastAsia="zh-CN"/>
        </w:rPr>
        <w:t>XXXX</w:t>
      </w:r>
      <w:r>
        <w:rPr>
          <w:rFonts w:hint="eastAsia" w:ascii="仿宋_GB2312" w:hAnsi="仿宋_GB2312" w:eastAsia="仿宋_GB2312" w:cs="仿宋_GB2312"/>
          <w:color w:val="auto"/>
          <w:sz w:val="28"/>
          <w:szCs w:val="28"/>
        </w:rPr>
        <w:t>亩，提高了土、水、肥资源利用率；通过土壤改良，培肥地力，新品种、新技术的推广使用和优质粮食高产示范带动，使项目区粮食综合生产能力平均提高30kg/亩。按项目区全部种植优质稻测算，项目区年增产粮食1300t，按</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元/t计算，项目区每年可新增粮食产值</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（2）成本费用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节约用工费：通过改善项目区灌溉与排水工程设施及推广节水灌溉，平均每亩高标准农田每年可以节约农民管水用工2个工日；通过提高耕种收综合机械化水平和农作物统防统治覆盖率，每年每亩可以节约农民用工1.5个工日以上；同时通过深耕深施、平衡施肥、绿肥种植等农田土壤改良措施，平均每亩高标准农田每年增加劳动用工2个；合计每年每亩减少人工个1.5工日，按100元/工日计算，项目区每年共减少人工费324万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2）节约肥料费：通过秸秆还田和平衡施肥等措施替代化肥使用，每亩节约成本20元以上，项目区每年共节约肥料费</w:t>
      </w:r>
      <w:r>
        <w:rPr>
          <w:rFonts w:hint="eastAsia" w:ascii="仿宋_GB2312" w:hAnsi="仿宋_GB2312" w:eastAsia="仿宋_GB2312" w:cs="仿宋_GB2312"/>
          <w:color w:val="auto"/>
          <w:sz w:val="28"/>
          <w:szCs w:val="28"/>
          <w:lang w:val="en-US" w:eastAsia="zh-CN"/>
        </w:rPr>
        <w:t>XXX</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3）增加生产成本费：项目区通过耕种收综合机械化水平和农作物统防统治覆盖率，按每亩年均增加生产成本费</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元计，项目区每年需增加生产成本</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项目区年节约运行成本费共110万元(节约用工费+节约肥料费-增加生产成本费)。</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（3）农民增收情况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通过高标准农田建设，项目区受益农民人数为</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从以上分析可知，项目区每年共新增粮食产值</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万元，年节约成本共</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万元，年新增纯收入共435万元。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农民人均增加纯收入=年新增纯收入/受益农民人数=357元。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62" w:name="_Toc45723071"/>
      <w:r>
        <w:rPr>
          <w:rFonts w:hint="eastAsia" w:ascii="黑体" w:hAnsi="黑体" w:eastAsia="黑体" w:cs="黑体"/>
          <w:b w:val="0"/>
          <w:bCs w:val="0"/>
          <w:color w:val="auto"/>
          <w:kern w:val="2"/>
          <w:sz w:val="28"/>
          <w:szCs w:val="28"/>
          <w:lang w:val="en-US" w:eastAsia="zh-CN" w:bidi="ar-SA"/>
        </w:rPr>
        <w:t>社会效益分析</w:t>
      </w:r>
      <w:bookmarkEnd w:id="162"/>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配套与完善项目区农田水利设施，培育基础地力，项目建设区中低产田使其达到高产稳产粮田标准，增强防灾抗灾能力和技术承载能力；同时在项目区推广是良种、良法等先进适用生产技术，并加强对项目区受益农民先进适用技术培训；其社会效益显著。</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（1）预计项目区年新增粮食综合生产能力1300t，将为国家粮食安全做出积极贡献。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（2）增加农民收入，减轻劳动强度，提高种粮效益和农民种粮积极性。据测算，项目区每年可新增效益435万元，每亩年新增效益200元；同时</w:t>
      </w:r>
      <w:r>
        <w:rPr>
          <w:rFonts w:hint="eastAsia" w:ascii="仿宋_GB2312" w:hAnsi="仿宋_GB2312" w:eastAsia="仿宋_GB2312" w:cs="仿宋_GB2312"/>
          <w:color w:val="auto"/>
          <w:sz w:val="28"/>
          <w:szCs w:val="28"/>
          <w:lang w:eastAsia="zh-CN"/>
        </w:rPr>
        <w:t>2022</w:t>
      </w:r>
      <w:r>
        <w:rPr>
          <w:rFonts w:hint="eastAsia" w:ascii="仿宋_GB2312" w:hAnsi="仿宋_GB2312" w:eastAsia="仿宋_GB2312" w:cs="仿宋_GB2312"/>
          <w:color w:val="auto"/>
          <w:sz w:val="28"/>
          <w:szCs w:val="28"/>
        </w:rPr>
        <w:t>年农田建设项目的实施需要部分当地农民参与建设，工程的建设本身又可以为当地农民带来就业机会、增加收入。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因地制宜推广渠道防渗技术、生态排水设施建造技术和低压管道输水灌溉等节水灌溉技术，并通过渠系建筑物配套完善和堰塘加固改造等，以提高灌溉的输配水利用率。项目区灌溉水利用系数由0.55提高到0.76，增加21个百分点。项目区每年可新增节水能力128.5万m</w:t>
      </w:r>
      <w:r>
        <w:rPr>
          <w:rFonts w:hint="eastAsia" w:ascii="仿宋_GB2312" w:hAnsi="仿宋_GB2312" w:eastAsia="仿宋_GB2312" w:cs="仿宋_GB2312"/>
          <w:color w:val="auto"/>
          <w:sz w:val="28"/>
          <w:szCs w:val="28"/>
          <w:vertAlign w:val="superscript"/>
        </w:rPr>
        <w:t>3</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通过高标准农田建设，让项目区农民真正体会到国家对农业的重视和对农民利益的保护，从而带动农民加大对农业的投入，对于巩固和完善农村经营承包责任制、促进土地流转和实行农业集约化经营创造了有利条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63" w:name="_Toc45723072"/>
      <w:r>
        <w:rPr>
          <w:rFonts w:hint="eastAsia" w:ascii="黑体" w:hAnsi="黑体" w:eastAsia="黑体" w:cs="黑体"/>
          <w:b w:val="0"/>
          <w:bCs w:val="0"/>
          <w:color w:val="auto"/>
          <w:kern w:val="2"/>
          <w:sz w:val="28"/>
          <w:szCs w:val="28"/>
          <w:lang w:val="en-US" w:eastAsia="zh-CN" w:bidi="ar-SA"/>
        </w:rPr>
        <w:t>生态效益分析</w:t>
      </w:r>
      <w:bookmarkEnd w:id="163"/>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（1）通过农田排灌渠系的配套与完善，机耕道的建设与维修，可显著增强农田保水能力，有效防治水土流失，改善生态环境和农业条件，增强项目区抵御洪涝、干旱等自然灾害的能力。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（2）实行配方施肥、增施有机肥和实施水旱轮作，减轻土壤次生潜育性，改良土壤理化性状，提高土地生产能力，减少化肥用量，可以防止土壤板结。</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（3）因地制宜地加强项目区农田防护林网建设，在主要道路、沟渠、河流两侧，适时适地适树进行植树造林；造林当年成活率达到95%以上，三年后保存率要达到90%以上。</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通过因地制宜推广渠道防渗、管道输水等节水灌溉技术，推广生态沟、生态塘、生态渠、生态坝等技术，推广水肥一体化及科学施肥，保持土壤养分平衡，科学合理施用复合肥、缓释肥、生物肥料；从而有效保护生态环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项目区排水配套设施改造建设中，通过加强稻田排水渠道硬化升级，因地制宜建设稻田尾水净化湿地，构建“衬砌渠道一稻田一生态沟一河道湿地”“低压管道一稻田一生态沟一经济湿地”“稻田一生态沟一湿地一泵站”等模式下的灌溉一排水一湿地协同运行的节水减排工程体系。</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64" w:name="_Toc45723073"/>
      <w:r>
        <w:rPr>
          <w:rFonts w:hint="eastAsia" w:ascii="黑体" w:hAnsi="黑体" w:eastAsia="黑体" w:cs="黑体"/>
          <w:b w:val="0"/>
          <w:bCs w:val="0"/>
          <w:color w:val="auto"/>
          <w:kern w:val="2"/>
          <w:sz w:val="28"/>
          <w:szCs w:val="28"/>
          <w:lang w:val="en-US" w:eastAsia="zh-CN" w:bidi="ar-SA"/>
        </w:rPr>
        <w:t>经济评价</w:t>
      </w:r>
      <w:bookmarkEnd w:id="164"/>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增量效益</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高标准农田建设项目完成后经济效益主要来源于种植结构调整和改造中低产田新增的净收入。项目增量效益分析以项目建设面积2.16万亩为分析对象，项目区耕地主要种植水稻、油菜等作物。按项目实施前后耕地面积不变，实施后双季稻种植面积，油料种植面积增加，预测项目实施后的增加量效益。</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高标准农田项目建设，通过土壤改良、水源工程改造、灌排水工程改造、田间道路新修，推广一系列农业措施和科技措施，农业生产条件得到提高，生产成本有所降低，项目区产业结构得到调整，耕地复种指数得到提高。预测项目区水稻单产可增加30公斤/亩，油菜籽单产可增加10公斤/亩。各项作物种植及产值情况见表11.4-1和表11.4-2。</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表11.1-1  项目区水稻种植受益表</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30"/>
        <w:gridCol w:w="935"/>
        <w:gridCol w:w="1116"/>
        <w:gridCol w:w="743"/>
        <w:gridCol w:w="930"/>
        <w:gridCol w:w="930"/>
        <w:gridCol w:w="930"/>
        <w:gridCol w:w="1425"/>
        <w:gridCol w:w="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5"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类型</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播种面积</w:t>
            </w:r>
          </w:p>
        </w:tc>
        <w:tc>
          <w:tcPr>
            <w:tcW w:w="7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单产</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单价</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毛收入</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成本</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总成本</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纯收入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865"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7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kg/亩</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元/kg</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元/亩</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9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水稻（现状）</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双季稻</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9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9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水稻（实施后）</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双季稻</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9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中稻</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939"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净增加值</w:t>
            </w:r>
          </w:p>
        </w:tc>
        <w:tc>
          <w:tcPr>
            <w:tcW w:w="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表11.1-2  项目区油菜种植受益表</w:t>
      </w:r>
    </w:p>
    <w:tbl>
      <w:tblPr>
        <w:tblStyle w:val="14"/>
        <w:tblW w:w="8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40"/>
        <w:gridCol w:w="1040"/>
        <w:gridCol w:w="1041"/>
        <w:gridCol w:w="1041"/>
        <w:gridCol w:w="1041"/>
        <w:gridCol w:w="1041"/>
        <w:gridCol w:w="1045"/>
        <w:gridCol w:w="1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类型</w:t>
            </w:r>
          </w:p>
        </w:tc>
        <w:tc>
          <w:tcPr>
            <w:tcW w:w="10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播种面积</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单产</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单价</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毛收入</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成本</w:t>
            </w:r>
          </w:p>
        </w:tc>
        <w:tc>
          <w:tcPr>
            <w:tcW w:w="10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总成本</w:t>
            </w:r>
          </w:p>
        </w:tc>
        <w:tc>
          <w:tcPr>
            <w:tcW w:w="15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纯收入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kg/亩</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元/kg</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元/亩</w:t>
            </w:r>
          </w:p>
        </w:tc>
        <w:tc>
          <w:tcPr>
            <w:tcW w:w="10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5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（现状）</w:t>
            </w:r>
          </w:p>
        </w:tc>
        <w:tc>
          <w:tcPr>
            <w:tcW w:w="10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5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10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油菜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（实施后）</w:t>
            </w:r>
          </w:p>
        </w:tc>
        <w:tc>
          <w:tcPr>
            <w:tcW w:w="10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5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7289"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净增加值</w:t>
            </w:r>
          </w:p>
        </w:tc>
        <w:tc>
          <w:tcPr>
            <w:tcW w:w="15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以上二项合计扣除生产成本和其它费用后可增加年产值567.11万元。</w:t>
      </w: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费用分析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1）工程维修费：包括大修理费及经常修理费，即日常年维护、修理、燃料动力费，按调整后投资的1.0%计算。</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2）工资及福利：工资及福利包括管理单位人员</w:t>
      </w:r>
      <w:r>
        <w:rPr>
          <w:rFonts w:hint="eastAsia" w:ascii="仿宋_GB2312" w:hAnsi="仿宋_GB2312" w:eastAsia="仿宋_GB2312" w:cs="仿宋_GB2312"/>
          <w:color w:val="auto"/>
          <w:sz w:val="28"/>
          <w:szCs w:val="28"/>
          <w:lang w:eastAsia="zh-CN"/>
        </w:rPr>
        <w:t>经费补助</w:t>
      </w:r>
      <w:r>
        <w:rPr>
          <w:rFonts w:hint="eastAsia" w:ascii="仿宋_GB2312" w:hAnsi="仿宋_GB2312" w:eastAsia="仿宋_GB2312" w:cs="仿宋_GB2312"/>
          <w:color w:val="auto"/>
          <w:sz w:val="28"/>
          <w:szCs w:val="28"/>
        </w:rPr>
        <w:t>。该项目管理人员2名，人</w:t>
      </w:r>
      <w:r>
        <w:rPr>
          <w:rFonts w:hint="eastAsia" w:ascii="仿宋_GB2312" w:hAnsi="仿宋_GB2312" w:eastAsia="仿宋_GB2312" w:cs="仿宋_GB2312"/>
          <w:color w:val="auto"/>
          <w:sz w:val="28"/>
          <w:szCs w:val="28"/>
          <w:lang w:eastAsia="zh-CN"/>
        </w:rPr>
        <w:t>均补助</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3）行政管理费：行政管理费包括办公费、差旅费、劳保福利费、科研教育费等经常支付费用，根据当地实际情况，按工资及福利总额的40%计。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4）其它费用：包括以上三项以外的杂费，按调整后投资的0.5%计。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2" w:firstLineChars="200"/>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65" w:name="_Toc45723074"/>
      <w:r>
        <w:rPr>
          <w:rFonts w:hint="eastAsia" w:ascii="仿宋_GB2312" w:hAnsi="仿宋_GB2312" w:eastAsia="仿宋_GB2312" w:cs="仿宋_GB2312"/>
          <w:b/>
          <w:bCs/>
          <w:color w:val="auto"/>
          <w:kern w:val="2"/>
          <w:sz w:val="28"/>
          <w:szCs w:val="28"/>
          <w:lang w:val="en-US" w:eastAsia="zh-CN" w:bidi="ar-SA"/>
        </w:rPr>
        <w:t>主要评价指标</w:t>
      </w:r>
      <w:bookmarkEnd w:id="165"/>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农田建设工程项目经济评价指标分别为：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（1）经济累计净现值大于0；</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（2）经济效益费用比大于1；</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（3）经济内部收益率大于行业基准财务收益率8%；</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本项目经济净现值计算过程见表11.4-1。</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从经济净现值计算表可以看出：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经济指标：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（1）累计净现值为416.37万元，大于0；</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（2）经济效益费用比为：1.1，大于1；</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（3）投资回收期为：8.09年（含建设期）；</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（4）经计算，经济内部收益率为10.19%，大于8%。因此该项目经济上可行。</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bCs/>
          <w:color w:val="auto"/>
          <w:sz w:val="28"/>
          <w:szCs w:val="28"/>
        </w:rPr>
        <w:sectPr>
          <w:headerReference r:id="rId28"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黑体" w:hAnsi="黑体" w:eastAsia="黑体" w:cs="黑体"/>
          <w:b w:val="0"/>
          <w:bCs/>
          <w:color w:val="auto"/>
          <w:kern w:val="32"/>
          <w:sz w:val="28"/>
          <w:szCs w:val="28"/>
          <w:lang w:val="en-US" w:eastAsia="zh-CN" w:bidi="ar-SA"/>
        </w:rPr>
      </w:pPr>
      <w:r>
        <w:rPr>
          <w:rFonts w:hint="eastAsia" w:ascii="黑体" w:hAnsi="黑体" w:eastAsia="黑体" w:cs="黑体"/>
          <w:b w:val="0"/>
          <w:bCs/>
          <w:color w:val="auto"/>
          <w:kern w:val="32"/>
          <w:sz w:val="28"/>
          <w:szCs w:val="28"/>
          <w:lang w:val="en-US" w:eastAsia="zh-CN" w:bidi="ar-SA"/>
        </w:rPr>
        <w:t>表11.4-1     财务分析现金流量表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黑体" w:hAnsi="黑体" w:eastAsia="黑体" w:cs="黑体"/>
          <w:b w:val="0"/>
          <w:bCs/>
          <w:color w:val="auto"/>
          <w:kern w:val="32"/>
          <w:sz w:val="28"/>
          <w:szCs w:val="28"/>
          <w:lang w:val="en-US" w:eastAsia="zh-CN" w:bidi="ar-SA"/>
        </w:rPr>
      </w:pPr>
    </w:p>
    <w:tbl>
      <w:tblPr>
        <w:tblStyle w:val="14"/>
        <w:tblW w:w="14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3"/>
        <w:gridCol w:w="2193"/>
        <w:gridCol w:w="1132"/>
        <w:gridCol w:w="1132"/>
        <w:gridCol w:w="1132"/>
        <w:gridCol w:w="1132"/>
        <w:gridCol w:w="1132"/>
        <w:gridCol w:w="1132"/>
        <w:gridCol w:w="1131"/>
        <w:gridCol w:w="1131"/>
        <w:gridCol w:w="1131"/>
        <w:gridCol w:w="1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2019</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2020</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2021</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2022</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2023</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2024</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2025</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2026</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2027</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年序</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增量效益流量</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综合效益</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回收固定资金</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回收流动资金</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增量费用流量</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固定资产投资</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流动资金</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年运行费</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增量净效益流量</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w:t>
            </w:r>
          </w:p>
        </w:tc>
        <w:tc>
          <w:tcPr>
            <w:tcW w:w="21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累计净效益流量</w:t>
            </w: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13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tabs>
          <w:tab w:val="left" w:pos="2205"/>
        </w:tabs>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numPr>
          <w:ilvl w:val="2"/>
          <w:numId w:val="1"/>
        </w:numPr>
        <w:kinsoku/>
        <w:wordWrap/>
        <w:overflowPunct/>
        <w:topLinePunct w:val="0"/>
        <w:autoSpaceDE/>
        <w:autoSpaceDN/>
        <w:bidi w:val="0"/>
        <w:adjustRightInd w:val="0"/>
        <w:snapToGrid w:val="0"/>
        <w:spacing w:before="0" w:after="0" w:line="420" w:lineRule="exact"/>
        <w:ind w:left="0" w:leftChars="0" w:firstLine="562" w:firstLineChars="200"/>
        <w:jc w:val="both"/>
        <w:textAlignment w:val="auto"/>
        <w:outlineLvl w:val="2"/>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农田建设工程项目绩效评价指标分别为：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绩效目标包括：新增高标准农田面积  万亩（含发改委渠道资金任务），新增高效节水灌溉面积  万亩，项目验收合格率≥95%，财政资金亩均补助标准≥   元，田间道路通达度平原区达到100%，丘陵区≥90%，收益群众满意率≥90%。具体见下表：</w:t>
      </w:r>
    </w:p>
    <w:tbl>
      <w:tblPr>
        <w:tblStyle w:val="14"/>
        <w:tblW w:w="9681" w:type="dxa"/>
        <w:jc w:val="center"/>
        <w:tblLayout w:type="fixed"/>
        <w:tblCellMar>
          <w:top w:w="0" w:type="dxa"/>
          <w:left w:w="108" w:type="dxa"/>
          <w:bottom w:w="0" w:type="dxa"/>
          <w:right w:w="108" w:type="dxa"/>
        </w:tblCellMar>
      </w:tblPr>
      <w:tblGrid>
        <w:gridCol w:w="524"/>
        <w:gridCol w:w="616"/>
        <w:gridCol w:w="1000"/>
        <w:gridCol w:w="1500"/>
        <w:gridCol w:w="854"/>
        <w:gridCol w:w="1605"/>
        <w:gridCol w:w="934"/>
        <w:gridCol w:w="1142"/>
        <w:gridCol w:w="1506"/>
      </w:tblGrid>
      <w:tr>
        <w:tblPrEx>
          <w:tblCellMar>
            <w:top w:w="0" w:type="dxa"/>
            <w:left w:w="108" w:type="dxa"/>
            <w:bottom w:w="0" w:type="dxa"/>
            <w:right w:w="108" w:type="dxa"/>
          </w:tblCellMar>
        </w:tblPrEx>
        <w:trPr>
          <w:trHeight w:val="480" w:hRule="atLeast"/>
          <w:jc w:val="center"/>
        </w:trPr>
        <w:tc>
          <w:tcPr>
            <w:tcW w:w="9681" w:type="dxa"/>
            <w:gridSpan w:val="9"/>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30"/>
                <w:szCs w:val="30"/>
              </w:rPr>
            </w:pPr>
            <w:r>
              <w:rPr>
                <w:rFonts w:hint="eastAsia" w:ascii="方正小标宋简体" w:hAnsi="方正小标宋简体" w:eastAsia="方正小标宋简体" w:cs="方正小标宋简体"/>
                <w:color w:val="auto"/>
                <w:sz w:val="30"/>
                <w:szCs w:val="30"/>
              </w:rPr>
              <w:t>项目建设绩效目标表</w:t>
            </w:r>
          </w:p>
        </w:tc>
      </w:tr>
      <w:tr>
        <w:tblPrEx>
          <w:tblCellMar>
            <w:top w:w="0" w:type="dxa"/>
            <w:left w:w="108" w:type="dxa"/>
            <w:bottom w:w="0" w:type="dxa"/>
            <w:right w:w="108" w:type="dxa"/>
          </w:tblCellMar>
        </w:tblPrEx>
        <w:trPr>
          <w:trHeight w:val="432" w:hRule="atLeast"/>
          <w:jc w:val="center"/>
        </w:trPr>
        <w:tc>
          <w:tcPr>
            <w:tcW w:w="9681" w:type="dxa"/>
            <w:gridSpan w:val="9"/>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（XX年度）</w:t>
            </w:r>
          </w:p>
        </w:tc>
      </w:tr>
      <w:tr>
        <w:tblPrEx>
          <w:tblCellMar>
            <w:top w:w="0" w:type="dxa"/>
            <w:left w:w="108" w:type="dxa"/>
            <w:bottom w:w="0" w:type="dxa"/>
            <w:right w:w="108" w:type="dxa"/>
          </w:tblCellMar>
        </w:tblPrEx>
        <w:trPr>
          <w:trHeight w:val="306" w:hRule="atLeast"/>
          <w:jc w:val="center"/>
        </w:trPr>
        <w:tc>
          <w:tcPr>
            <w:tcW w:w="2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转移支付（项目）名称</w:t>
            </w:r>
          </w:p>
        </w:tc>
        <w:tc>
          <w:tcPr>
            <w:tcW w:w="603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农田建设补助资金</w:t>
            </w:r>
          </w:p>
        </w:tc>
        <w:tc>
          <w:tcPr>
            <w:tcW w:w="15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备注</w:t>
            </w:r>
          </w:p>
        </w:tc>
      </w:tr>
      <w:tr>
        <w:tblPrEx>
          <w:tblCellMar>
            <w:top w:w="0" w:type="dxa"/>
            <w:left w:w="108" w:type="dxa"/>
            <w:bottom w:w="0" w:type="dxa"/>
            <w:right w:w="108" w:type="dxa"/>
          </w:tblCellMar>
        </w:tblPrEx>
        <w:trPr>
          <w:trHeight w:val="306" w:hRule="atLeast"/>
          <w:jc w:val="center"/>
        </w:trPr>
        <w:tc>
          <w:tcPr>
            <w:tcW w:w="2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中央主管部门</w:t>
            </w:r>
          </w:p>
        </w:tc>
        <w:tc>
          <w:tcPr>
            <w:tcW w:w="603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农业农村部</w:t>
            </w:r>
          </w:p>
        </w:tc>
        <w:tc>
          <w:tcPr>
            <w:tcW w:w="15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2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地方主管部门</w:t>
            </w:r>
          </w:p>
        </w:tc>
        <w:tc>
          <w:tcPr>
            <w:tcW w:w="489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eastAsia="zh-CN"/>
              </w:rPr>
              <w:t>XX</w:t>
            </w:r>
            <w:r>
              <w:rPr>
                <w:rFonts w:hint="eastAsia" w:ascii="仿宋_GB2312" w:hAnsi="仿宋_GB2312" w:eastAsia="仿宋_GB2312" w:cs="仿宋_GB2312"/>
                <w:color w:val="auto"/>
                <w:sz w:val="16"/>
                <w:szCs w:val="16"/>
              </w:rPr>
              <w:t>省农业农村厅</w:t>
            </w:r>
          </w:p>
        </w:tc>
        <w:tc>
          <w:tcPr>
            <w:tcW w:w="11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实施单位</w:t>
            </w:r>
          </w:p>
        </w:tc>
        <w:tc>
          <w:tcPr>
            <w:tcW w:w="15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21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项目资金（万元）</w:t>
            </w:r>
          </w:p>
        </w:tc>
        <w:tc>
          <w:tcPr>
            <w:tcW w:w="1500"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854"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年初预算数</w:t>
            </w:r>
          </w:p>
        </w:tc>
        <w:tc>
          <w:tcPr>
            <w:tcW w:w="1605"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全年预算数（A）</w:t>
            </w:r>
          </w:p>
        </w:tc>
        <w:tc>
          <w:tcPr>
            <w:tcW w:w="934"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全年执行数（B）</w:t>
            </w:r>
          </w:p>
        </w:tc>
        <w:tc>
          <w:tcPr>
            <w:tcW w:w="1142"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执行率（B/A)</w:t>
            </w:r>
          </w:p>
        </w:tc>
        <w:tc>
          <w:tcPr>
            <w:tcW w:w="15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r>
      <w:tr>
        <w:tblPrEx>
          <w:tblCellMar>
            <w:top w:w="0" w:type="dxa"/>
            <w:left w:w="108" w:type="dxa"/>
            <w:bottom w:w="0" w:type="dxa"/>
            <w:right w:w="108" w:type="dxa"/>
          </w:tblCellMar>
        </w:tblPrEx>
        <w:trPr>
          <w:trHeight w:val="306"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5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年度资金总额：</w:t>
            </w:r>
          </w:p>
        </w:tc>
        <w:tc>
          <w:tcPr>
            <w:tcW w:w="85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6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9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5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xml:space="preserve"> 其中：中央补助</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6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5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xml:space="preserve">      地方资金</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6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5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xml:space="preserve">      其他资金</w:t>
            </w:r>
          </w:p>
        </w:tc>
        <w:tc>
          <w:tcPr>
            <w:tcW w:w="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6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934"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年度总体目标</w:t>
            </w:r>
          </w:p>
        </w:tc>
        <w:tc>
          <w:tcPr>
            <w:tcW w:w="3970"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年初设定目标</w:t>
            </w:r>
          </w:p>
        </w:tc>
        <w:tc>
          <w:tcPr>
            <w:tcW w:w="2539" w:type="dxa"/>
            <w:gridSpan w:val="2"/>
            <w:tcBorders>
              <w:top w:val="single" w:color="auto" w:sz="4" w:space="0"/>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截止XX年底完成情况</w:t>
            </w:r>
          </w:p>
        </w:tc>
        <w:tc>
          <w:tcPr>
            <w:tcW w:w="11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3970"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2539" w:type="dxa"/>
            <w:gridSpan w:val="2"/>
            <w:tcBorders>
              <w:top w:val="single" w:color="auto" w:sz="4" w:space="0"/>
              <w:left w:val="nil"/>
              <w:bottom w:val="single" w:color="auto"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绩效指标</w:t>
            </w:r>
          </w:p>
        </w:tc>
        <w:tc>
          <w:tcPr>
            <w:tcW w:w="6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一级</w:t>
            </w:r>
            <w:r>
              <w:rPr>
                <w:rFonts w:hint="eastAsia" w:ascii="仿宋_GB2312" w:hAnsi="仿宋_GB2312" w:eastAsia="仿宋_GB2312" w:cs="仿宋_GB2312"/>
                <w:color w:val="auto"/>
                <w:sz w:val="16"/>
                <w:szCs w:val="16"/>
              </w:rPr>
              <w:br w:type="textWrapping"/>
            </w:r>
            <w:r>
              <w:rPr>
                <w:rFonts w:hint="eastAsia" w:ascii="仿宋_GB2312" w:hAnsi="仿宋_GB2312" w:eastAsia="仿宋_GB2312" w:cs="仿宋_GB2312"/>
                <w:color w:val="auto"/>
                <w:sz w:val="16"/>
                <w:szCs w:val="16"/>
              </w:rPr>
              <w:t>指标</w:t>
            </w:r>
          </w:p>
        </w:tc>
        <w:tc>
          <w:tcPr>
            <w:tcW w:w="10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二级指标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三级指标</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年度指标值</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全年完成值</w:t>
            </w:r>
          </w:p>
        </w:tc>
        <w:tc>
          <w:tcPr>
            <w:tcW w:w="114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未完成原因和改进措施</w:t>
            </w:r>
          </w:p>
        </w:tc>
        <w:tc>
          <w:tcPr>
            <w:tcW w:w="1506" w:type="dxa"/>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6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产</w:t>
            </w:r>
            <w:r>
              <w:rPr>
                <w:rFonts w:hint="eastAsia" w:ascii="仿宋_GB2312" w:hAnsi="仿宋_GB2312" w:eastAsia="仿宋_GB2312" w:cs="仿宋_GB2312"/>
                <w:color w:val="auto"/>
                <w:sz w:val="16"/>
                <w:szCs w:val="16"/>
              </w:rPr>
              <w:br w:type="textWrapping"/>
            </w:r>
            <w:r>
              <w:rPr>
                <w:rFonts w:hint="eastAsia" w:ascii="仿宋_GB2312" w:hAnsi="仿宋_GB2312" w:eastAsia="仿宋_GB2312" w:cs="仿宋_GB2312"/>
                <w:color w:val="auto"/>
                <w:sz w:val="16"/>
                <w:szCs w:val="16"/>
              </w:rPr>
              <w:t>出</w:t>
            </w:r>
            <w:r>
              <w:rPr>
                <w:rFonts w:hint="eastAsia" w:ascii="仿宋_GB2312" w:hAnsi="仿宋_GB2312" w:eastAsia="仿宋_GB2312" w:cs="仿宋_GB2312"/>
                <w:color w:val="auto"/>
                <w:sz w:val="16"/>
                <w:szCs w:val="16"/>
              </w:rPr>
              <w:br w:type="textWrapping"/>
            </w:r>
            <w:r>
              <w:rPr>
                <w:rFonts w:hint="eastAsia" w:ascii="仿宋_GB2312" w:hAnsi="仿宋_GB2312" w:eastAsia="仿宋_GB2312" w:cs="仿宋_GB2312"/>
                <w:color w:val="auto"/>
                <w:sz w:val="16"/>
                <w:szCs w:val="16"/>
              </w:rPr>
              <w:t>指</w:t>
            </w:r>
            <w:r>
              <w:rPr>
                <w:rFonts w:hint="eastAsia" w:ascii="仿宋_GB2312" w:hAnsi="仿宋_GB2312" w:eastAsia="仿宋_GB2312" w:cs="仿宋_GB2312"/>
                <w:color w:val="auto"/>
                <w:sz w:val="16"/>
                <w:szCs w:val="16"/>
              </w:rPr>
              <w:br w:type="textWrapping"/>
            </w:r>
            <w:r>
              <w:rPr>
                <w:rFonts w:hint="eastAsia" w:ascii="仿宋_GB2312" w:hAnsi="仿宋_GB2312" w:eastAsia="仿宋_GB2312" w:cs="仿宋_GB2312"/>
                <w:color w:val="auto"/>
                <w:sz w:val="16"/>
                <w:szCs w:val="16"/>
              </w:rPr>
              <w:t>标（50分）</w:t>
            </w:r>
          </w:p>
        </w:tc>
        <w:tc>
          <w:tcPr>
            <w:tcW w:w="1000" w:type="dxa"/>
            <w:vMerge w:val="restart"/>
            <w:tcBorders>
              <w:top w:val="nil"/>
              <w:left w:val="single" w:color="auto" w:sz="4" w:space="0"/>
              <w:bottom w:val="nil"/>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数量指标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指标1：新增高标准农田面（万亩）</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请根据已完工或验收项目情况填报</w:t>
            </w: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000" w:type="dxa"/>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指标2：新增高效节水灌溉面积（万亩）</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请根据已完工或验收项目情况填报</w:t>
            </w: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质量指标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项目验收合格率</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≥95%</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请根据已完工或验收项目情况填报</w:t>
            </w: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时效指标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任务完成及时性</w:t>
            </w:r>
          </w:p>
        </w:tc>
        <w:tc>
          <w:tcPr>
            <w:tcW w:w="16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1-2年</w:t>
            </w:r>
          </w:p>
        </w:tc>
        <w:tc>
          <w:tcPr>
            <w:tcW w:w="9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142" w:type="dxa"/>
            <w:tcBorders>
              <w:top w:val="single" w:color="auto" w:sz="4" w:space="0"/>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请根据已完工或验收项目情况填报</w:t>
            </w: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0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成本指标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财政亩均补助标准</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6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效</w:t>
            </w:r>
            <w:r>
              <w:rPr>
                <w:rFonts w:hint="eastAsia" w:ascii="仿宋_GB2312" w:hAnsi="仿宋_GB2312" w:eastAsia="仿宋_GB2312" w:cs="仿宋_GB2312"/>
                <w:color w:val="auto"/>
                <w:sz w:val="16"/>
                <w:szCs w:val="16"/>
              </w:rPr>
              <w:br w:type="textWrapping"/>
            </w:r>
            <w:r>
              <w:rPr>
                <w:rFonts w:hint="eastAsia" w:ascii="仿宋_GB2312" w:hAnsi="仿宋_GB2312" w:eastAsia="仿宋_GB2312" w:cs="仿宋_GB2312"/>
                <w:color w:val="auto"/>
                <w:sz w:val="16"/>
                <w:szCs w:val="16"/>
              </w:rPr>
              <w:t>益</w:t>
            </w:r>
            <w:r>
              <w:rPr>
                <w:rFonts w:hint="eastAsia" w:ascii="仿宋_GB2312" w:hAnsi="仿宋_GB2312" w:eastAsia="仿宋_GB2312" w:cs="仿宋_GB2312"/>
                <w:color w:val="auto"/>
                <w:sz w:val="16"/>
                <w:szCs w:val="16"/>
              </w:rPr>
              <w:br w:type="textWrapping"/>
            </w:r>
            <w:r>
              <w:rPr>
                <w:rFonts w:hint="eastAsia" w:ascii="仿宋_GB2312" w:hAnsi="仿宋_GB2312" w:eastAsia="仿宋_GB2312" w:cs="仿宋_GB2312"/>
                <w:color w:val="auto"/>
                <w:sz w:val="16"/>
                <w:szCs w:val="16"/>
              </w:rPr>
              <w:t>指</w:t>
            </w:r>
            <w:r>
              <w:rPr>
                <w:rFonts w:hint="eastAsia" w:ascii="仿宋_GB2312" w:hAnsi="仿宋_GB2312" w:eastAsia="仿宋_GB2312" w:cs="仿宋_GB2312"/>
                <w:color w:val="auto"/>
                <w:sz w:val="16"/>
                <w:szCs w:val="16"/>
              </w:rPr>
              <w:br w:type="textWrapping"/>
            </w:r>
            <w:r>
              <w:rPr>
                <w:rFonts w:hint="eastAsia" w:ascii="仿宋_GB2312" w:hAnsi="仿宋_GB2312" w:eastAsia="仿宋_GB2312" w:cs="仿宋_GB2312"/>
                <w:color w:val="auto"/>
                <w:sz w:val="16"/>
                <w:szCs w:val="16"/>
              </w:rPr>
              <w:t>标（30分）</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社会效益指标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指标1：粮食综合生产能力</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明显提升</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p>
        </w:tc>
        <w:tc>
          <w:tcPr>
            <w:tcW w:w="150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请根据已完工或验收项目情况填报</w:t>
            </w: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指标2：田间道路通达率</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平原区达到100%，丘陵区≥90%</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生态效益指标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指标1：耕地质量</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逐步提升</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指标2：水资源利用率</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逐步提升</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6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10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可持续影响指标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农业种植结构</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进一步优化</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c>
          <w:tcPr>
            <w:tcW w:w="6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满意度指标（10分）</w:t>
            </w:r>
          </w:p>
        </w:tc>
        <w:tc>
          <w:tcPr>
            <w:tcW w:w="10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服务对象满意度指标</w:t>
            </w:r>
          </w:p>
        </w:tc>
        <w:tc>
          <w:tcPr>
            <w:tcW w:w="2354"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受益群众满意度</w:t>
            </w:r>
          </w:p>
        </w:tc>
        <w:tc>
          <w:tcPr>
            <w:tcW w:w="16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≥90%</w:t>
            </w:r>
          </w:p>
        </w:tc>
        <w:tc>
          <w:tcPr>
            <w:tcW w:w="9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142" w:type="dxa"/>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c>
          <w:tcPr>
            <w:tcW w:w="15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p>
        </w:tc>
      </w:tr>
      <w:tr>
        <w:tblPrEx>
          <w:tblCellMar>
            <w:top w:w="0" w:type="dxa"/>
            <w:left w:w="108" w:type="dxa"/>
            <w:bottom w:w="0" w:type="dxa"/>
            <w:right w:w="108" w:type="dxa"/>
          </w:tblCellMar>
        </w:tblPrEx>
        <w:trPr>
          <w:trHeight w:val="306"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说明</w:t>
            </w:r>
          </w:p>
        </w:tc>
        <w:tc>
          <w:tcPr>
            <w:tcW w:w="7651"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（请在此处简要说明中央巡视、各级审计和财政监督中发现的问题及其所涉及的金额，如没有请填无。）</w:t>
            </w:r>
          </w:p>
        </w:tc>
        <w:tc>
          <w:tcPr>
            <w:tcW w:w="15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rPr>
              <w:t>　</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color w:val="auto"/>
          <w:sz w:val="28"/>
          <w:szCs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黑体" w:hAnsi="黑体" w:eastAsia="黑体" w:cs="黑体"/>
          <w:b w:val="0"/>
          <w:bCs w:val="0"/>
          <w:color w:val="auto"/>
          <w:kern w:val="2"/>
          <w:sz w:val="28"/>
          <w:szCs w:val="28"/>
          <w:lang w:val="en-US" w:eastAsia="zh-CN" w:bidi="ar-SA"/>
        </w:rPr>
      </w:pPr>
      <w:bookmarkStart w:id="166" w:name="_Toc45723075"/>
      <w:bookmarkStart w:id="167" w:name="_Toc14854240"/>
      <w:r>
        <w:rPr>
          <w:rFonts w:hint="eastAsia" w:ascii="黑体" w:hAnsi="黑体" w:eastAsia="黑体" w:cs="黑体"/>
          <w:b w:val="0"/>
          <w:bCs w:val="0"/>
          <w:color w:val="auto"/>
          <w:kern w:val="2"/>
          <w:sz w:val="28"/>
          <w:szCs w:val="28"/>
          <w:lang w:val="en-US" w:eastAsia="zh-CN" w:bidi="ar-SA"/>
        </w:rPr>
        <w:t>耕地质量评价</w:t>
      </w:r>
      <w:bookmarkEnd w:id="166"/>
      <w:bookmarkEnd w:id="167"/>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通过采用工程、农艺、生物综合措施，对田间基础设施配套建设后的耕地，进行土壤改良、地力培肥等。项目区实施土壤改良工程达1.96万亩，通过施用农家肥、秸秆还田、种植绿肥等措施，提升土壤有机质含量。实施测土配方施肥，促进土壤养分平衡；推广保护性耕作，治理酸化土壤，改善耕作层土壤理化性状；推广水旱轮作，均衡利用土壤养分，调节土壤肥力，并能有效降低土壤镉等重金属含量。建成后的高标准农田质量有所提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（2）通过加强项目区耕地质量监测，利用田间监测点、定位监测设施开展耕地质量评定及动态监测。建成后，高标准农田的耕地质量有所提升，相应措施面积覆盖率必须达90%以上。</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经改良和培肥后的农田，枯水期地下水位埋深，水田和水浇地大于60cm，旱地大于80cm；土壤有机质含量，水田达到25g/kg以上，水浇地达到20g/kg以上，旱地达到15g/kg以上；土壤pH值保持在5.5～7.5之间，镉含量低于0.3mg/kg土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（一）附表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附表1  农田建设项目概要表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附表2  农田建设项目投资和任务情况表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附表3  农田建设项目预期效益表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附表4  设计水平年水资源供需平衡表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1"/>
        <w:rPr>
          <w:rFonts w:hint="eastAsia" w:ascii="楷体_GB2312" w:hAnsi="楷体_GB2312" w:eastAsia="楷体_GB2312" w:cs="楷体_GB2312"/>
          <w:b w:val="0"/>
          <w:bCs w:val="0"/>
          <w:color w:val="auto"/>
          <w:sz w:val="28"/>
          <w:szCs w:val="28"/>
        </w:rPr>
      </w:pPr>
      <w:bookmarkStart w:id="168" w:name="_Toc45723076"/>
      <w:bookmarkStart w:id="169" w:name="_Toc10817"/>
      <w:r>
        <w:rPr>
          <w:rFonts w:hint="eastAsia" w:ascii="楷体_GB2312" w:hAnsi="楷体_GB2312" w:eastAsia="楷体_GB2312" w:cs="楷体_GB2312"/>
          <w:b w:val="0"/>
          <w:bCs w:val="0"/>
          <w:color w:val="auto"/>
          <w:sz w:val="28"/>
          <w:szCs w:val="28"/>
        </w:rPr>
        <w:t>（三）附图：</w:t>
      </w:r>
      <w:bookmarkEnd w:id="168"/>
      <w:bookmarkEnd w:id="169"/>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2"/>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附图1.地理位置示意图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2"/>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附图2.土地利用现状图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2"/>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附图3.工程总平面布置图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0" w:firstLineChars="200"/>
        <w:jc w:val="both"/>
        <w:textAlignment w:val="auto"/>
        <w:outlineLvl w:val="2"/>
        <w:rPr>
          <w:rFonts w:hint="eastAsia" w:ascii="仿宋_GB2312" w:hAnsi="仿宋_GB2312" w:eastAsia="仿宋_GB2312" w:cs="仿宋_GB2312"/>
          <w:b w:val="0"/>
          <w:bCs w:val="0"/>
          <w:color w:val="auto"/>
          <w:sz w:val="28"/>
          <w:szCs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b w:val="0"/>
          <w:bCs w:val="0"/>
          <w:color w:val="auto"/>
          <w:sz w:val="28"/>
          <w:szCs w:val="28"/>
        </w:rPr>
        <w:t>附图4.其它附图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0" w:firstLineChars="0"/>
        <w:jc w:val="both"/>
        <w:outlineLvl w:val="1"/>
        <w:rPr>
          <w:rFonts w:hint="eastAsia" w:ascii="黑体" w:hAnsi="黑体" w:eastAsia="黑体" w:cs="黑体"/>
          <w:b w:val="0"/>
          <w:bCs w:val="0"/>
          <w:color w:val="auto"/>
          <w:kern w:val="2"/>
          <w:sz w:val="28"/>
          <w:szCs w:val="28"/>
          <w:lang w:val="en-US" w:eastAsia="zh-CN" w:bidi="ar-SA"/>
        </w:rPr>
      </w:pPr>
      <w:bookmarkStart w:id="170" w:name="_Toc45723077"/>
      <w:r>
        <w:rPr>
          <w:rFonts w:hint="eastAsia" w:ascii="黑体" w:hAnsi="黑体" w:eastAsia="黑体" w:cs="黑体"/>
          <w:b w:val="0"/>
          <w:bCs w:val="0"/>
          <w:color w:val="auto"/>
          <w:kern w:val="2"/>
          <w:sz w:val="28"/>
          <w:szCs w:val="28"/>
          <w:lang w:val="en-US" w:eastAsia="zh-CN" w:bidi="ar-SA"/>
        </w:rPr>
        <w:t>附表1</w:t>
      </w:r>
      <w:bookmarkEnd w:id="170"/>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农田建设项目概要表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编制单位：                           项目名称：</w:t>
      </w:r>
    </w:p>
    <w:tbl>
      <w:tblPr>
        <w:tblStyle w:val="14"/>
        <w:tblW w:w="8833" w:type="dxa"/>
        <w:jc w:val="center"/>
        <w:tblLayout w:type="fixed"/>
        <w:tblCellMar>
          <w:top w:w="0" w:type="dxa"/>
          <w:left w:w="108" w:type="dxa"/>
          <w:bottom w:w="0" w:type="dxa"/>
          <w:right w:w="108" w:type="dxa"/>
        </w:tblCellMar>
      </w:tblPr>
      <w:tblGrid>
        <w:gridCol w:w="1134"/>
        <w:gridCol w:w="2976"/>
        <w:gridCol w:w="1716"/>
        <w:gridCol w:w="1404"/>
        <w:gridCol w:w="1603"/>
      </w:tblGrid>
      <w:tr>
        <w:tblPrEx>
          <w:tblCellMar>
            <w:top w:w="0" w:type="dxa"/>
            <w:left w:w="108" w:type="dxa"/>
            <w:bottom w:w="0" w:type="dxa"/>
            <w:right w:w="108" w:type="dxa"/>
          </w:tblCellMar>
        </w:tblPrEx>
        <w:trPr>
          <w:cantSplit/>
          <w:trHeight w:val="363" w:hRule="atLeast"/>
          <w:tblHeader/>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29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color w:val="auto"/>
                <w:sz w:val="22"/>
                <w:szCs w:val="22"/>
              </w:rPr>
            </w:pPr>
            <w:r>
              <w:rPr>
                <w:rFonts w:hint="eastAsia" w:ascii="黑体" w:hAnsi="黑体" w:eastAsia="黑体" w:cs="黑体"/>
                <w:color w:val="auto"/>
                <w:sz w:val="22"/>
                <w:szCs w:val="22"/>
              </w:rPr>
              <w:t>名称</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color w:val="auto"/>
                <w:sz w:val="22"/>
                <w:szCs w:val="22"/>
              </w:rPr>
            </w:pPr>
            <w:r>
              <w:rPr>
                <w:rFonts w:hint="eastAsia" w:ascii="黑体" w:hAnsi="黑体" w:eastAsia="黑体" w:cs="黑体"/>
                <w:color w:val="auto"/>
                <w:sz w:val="22"/>
                <w:szCs w:val="22"/>
              </w:rPr>
              <w:t>单 位</w:t>
            </w:r>
          </w:p>
        </w:tc>
        <w:tc>
          <w:tcPr>
            <w:tcW w:w="14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color w:val="auto"/>
                <w:sz w:val="22"/>
                <w:szCs w:val="22"/>
              </w:rPr>
            </w:pPr>
            <w:r>
              <w:rPr>
                <w:rFonts w:hint="eastAsia" w:ascii="黑体" w:hAnsi="黑体" w:eastAsia="黑体" w:cs="黑体"/>
                <w:color w:val="auto"/>
                <w:sz w:val="22"/>
                <w:szCs w:val="22"/>
              </w:rPr>
              <w:t>数  量</w:t>
            </w:r>
          </w:p>
        </w:tc>
        <w:tc>
          <w:tcPr>
            <w:tcW w:w="16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color w:val="auto"/>
                <w:sz w:val="22"/>
                <w:szCs w:val="22"/>
              </w:rPr>
            </w:pPr>
            <w:r>
              <w:rPr>
                <w:rFonts w:hint="eastAsia" w:ascii="黑体" w:hAnsi="黑体" w:eastAsia="黑体" w:cs="黑体"/>
                <w:color w:val="auto"/>
                <w:sz w:val="22"/>
                <w:szCs w:val="22"/>
              </w:rPr>
              <w:t>备  注</w:t>
            </w: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项目区基本情况</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涉及乡（镇）</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涉及行政村</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总人口</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万人</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农业人口</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万人</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农业劳动力</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万个</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土地总面积</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（七）</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耕地面积</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（八）</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其他用地</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（九）</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未利用地</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（十）</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粮食总产</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万公斤</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（十一）</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农民人均年纯收入</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项目区资源条件</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现有中低产田面积</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水资源总量</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万立方米/年</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现有水利工程可供水量</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万立方米/年</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项目区现状</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骨干水利工程完好率</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田间工程配套率</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灌溉保证率</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渠系水利用系数</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有效灌溉面积</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除涝面积</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（七）</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防洪保证率</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（八）</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林木覆盖率</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农田建设任务</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投资及资金筹措</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总投资</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中央财政资金</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省级财政资金</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市州（县市区）财政资金</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自筹资金</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现金</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投工量</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万工日</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投劳折资</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其他资金</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经济评价</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经济内部收益率</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经济净现值</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经济效益费用比</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cantSplit/>
          <w:trHeight w:val="363" w:hRule="atLeast"/>
          <w:jc w:val="center"/>
        </w:trPr>
        <w:tc>
          <w:tcPr>
            <w:tcW w:w="113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w:t>
            </w:r>
          </w:p>
        </w:tc>
        <w:tc>
          <w:tcPr>
            <w:tcW w:w="29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投资回收期</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年</w:t>
            </w:r>
          </w:p>
        </w:tc>
        <w:tc>
          <w:tcPr>
            <w:tcW w:w="14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c>
          <w:tcPr>
            <w:tcW w:w="16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color w:val="auto"/>
          <w:sz w:val="28"/>
          <w:szCs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0" w:firstLineChars="0"/>
        <w:jc w:val="both"/>
        <w:outlineLvl w:val="1"/>
        <w:rPr>
          <w:rFonts w:hint="eastAsia" w:ascii="黑体" w:hAnsi="黑体" w:eastAsia="黑体" w:cs="黑体"/>
          <w:b w:val="0"/>
          <w:bCs w:val="0"/>
          <w:color w:val="auto"/>
          <w:kern w:val="2"/>
          <w:sz w:val="28"/>
          <w:szCs w:val="28"/>
          <w:lang w:val="en-US" w:eastAsia="zh-CN" w:bidi="ar-SA"/>
        </w:rPr>
      </w:pPr>
      <w:bookmarkStart w:id="171" w:name="_Toc45723078"/>
      <w:r>
        <w:rPr>
          <w:rFonts w:hint="eastAsia" w:ascii="黑体" w:hAnsi="黑体" w:eastAsia="黑体" w:cs="黑体"/>
          <w:b w:val="0"/>
          <w:bCs w:val="0"/>
          <w:color w:val="auto"/>
          <w:kern w:val="2"/>
          <w:sz w:val="28"/>
          <w:szCs w:val="28"/>
          <w:lang w:val="en-US" w:eastAsia="zh-CN" w:bidi="ar-SA"/>
        </w:rPr>
        <w:t>附表2</w:t>
      </w:r>
      <w:bookmarkEnd w:id="171"/>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农田建设项目投资和任务情况表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编制单位：                                               项目名称：</w:t>
      </w:r>
    </w:p>
    <w:tbl>
      <w:tblPr>
        <w:tblStyle w:val="14"/>
        <w:tblW w:w="14557" w:type="dxa"/>
        <w:jc w:val="center"/>
        <w:tblLayout w:type="fixed"/>
        <w:tblCellMar>
          <w:top w:w="0" w:type="dxa"/>
          <w:left w:w="108" w:type="dxa"/>
          <w:bottom w:w="0" w:type="dxa"/>
          <w:right w:w="108" w:type="dxa"/>
        </w:tblCellMar>
      </w:tblPr>
      <w:tblGrid>
        <w:gridCol w:w="3009"/>
        <w:gridCol w:w="931"/>
        <w:gridCol w:w="740"/>
        <w:gridCol w:w="759"/>
        <w:gridCol w:w="759"/>
        <w:gridCol w:w="759"/>
        <w:gridCol w:w="759"/>
        <w:gridCol w:w="759"/>
        <w:gridCol w:w="759"/>
        <w:gridCol w:w="759"/>
        <w:gridCol w:w="764"/>
        <w:gridCol w:w="759"/>
        <w:gridCol w:w="759"/>
        <w:gridCol w:w="761"/>
        <w:gridCol w:w="537"/>
        <w:gridCol w:w="984"/>
      </w:tblGrid>
      <w:tr>
        <w:tblPrEx>
          <w:tblCellMar>
            <w:top w:w="0" w:type="dxa"/>
            <w:left w:w="108" w:type="dxa"/>
            <w:bottom w:w="0" w:type="dxa"/>
            <w:right w:w="108" w:type="dxa"/>
          </w:tblCellMar>
        </w:tblPrEx>
        <w:trPr>
          <w:trHeight w:val="306" w:hRule="atLeast"/>
          <w:tblHeader/>
          <w:jc w:val="center"/>
        </w:trPr>
        <w:tc>
          <w:tcPr>
            <w:tcW w:w="3009"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项目</w:t>
            </w:r>
          </w:p>
        </w:tc>
        <w:tc>
          <w:tcPr>
            <w:tcW w:w="931"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单位</w:t>
            </w:r>
          </w:p>
        </w:tc>
        <w:tc>
          <w:tcPr>
            <w:tcW w:w="74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行号</w:t>
            </w:r>
          </w:p>
        </w:tc>
        <w:tc>
          <w:tcPr>
            <w:tcW w:w="759"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量</w:t>
            </w:r>
          </w:p>
        </w:tc>
        <w:tc>
          <w:tcPr>
            <w:tcW w:w="9118" w:type="dxa"/>
            <w:gridSpan w:val="1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投资（万元）</w:t>
            </w:r>
          </w:p>
        </w:tc>
      </w:tr>
      <w:tr>
        <w:tblPrEx>
          <w:tblCellMar>
            <w:top w:w="0" w:type="dxa"/>
            <w:left w:w="108" w:type="dxa"/>
            <w:bottom w:w="0" w:type="dxa"/>
            <w:right w:w="108" w:type="dxa"/>
          </w:tblCellMar>
        </w:tblPrEx>
        <w:trPr>
          <w:trHeight w:val="306" w:hRule="atLeast"/>
          <w:tblHeader/>
          <w:jc w:val="center"/>
        </w:trPr>
        <w:tc>
          <w:tcPr>
            <w:tcW w:w="300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93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投资总额</w:t>
            </w:r>
          </w:p>
        </w:tc>
        <w:tc>
          <w:tcPr>
            <w:tcW w:w="4559"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财政资金</w:t>
            </w:r>
          </w:p>
        </w:tc>
        <w:tc>
          <w:tcPr>
            <w:tcW w:w="2279"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自筹资金</w:t>
            </w:r>
          </w:p>
        </w:tc>
        <w:tc>
          <w:tcPr>
            <w:tcW w:w="152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其他资金</w:t>
            </w:r>
          </w:p>
        </w:tc>
      </w:tr>
      <w:tr>
        <w:tblPrEx>
          <w:tblCellMar>
            <w:top w:w="0" w:type="dxa"/>
            <w:left w:w="108" w:type="dxa"/>
            <w:bottom w:w="0" w:type="dxa"/>
            <w:right w:w="108" w:type="dxa"/>
          </w:tblCellMar>
        </w:tblPrEx>
        <w:trPr>
          <w:trHeight w:val="306" w:hRule="atLeast"/>
          <w:tblHeader/>
          <w:jc w:val="center"/>
        </w:trPr>
        <w:tc>
          <w:tcPr>
            <w:tcW w:w="300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93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合计</w:t>
            </w:r>
          </w:p>
        </w:tc>
        <w:tc>
          <w:tcPr>
            <w:tcW w:w="75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中央财政资金</w:t>
            </w:r>
          </w:p>
        </w:tc>
        <w:tc>
          <w:tcPr>
            <w:tcW w:w="3041"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地方财政资金</w:t>
            </w:r>
          </w:p>
        </w:tc>
        <w:tc>
          <w:tcPr>
            <w:tcW w:w="75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小计</w:t>
            </w:r>
          </w:p>
        </w:tc>
        <w:tc>
          <w:tcPr>
            <w:tcW w:w="15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其中：投工投劳</w:t>
            </w:r>
          </w:p>
        </w:tc>
        <w:tc>
          <w:tcPr>
            <w:tcW w:w="152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r>
      <w:tr>
        <w:tblPrEx>
          <w:tblCellMar>
            <w:top w:w="0" w:type="dxa"/>
            <w:left w:w="108" w:type="dxa"/>
            <w:bottom w:w="0" w:type="dxa"/>
            <w:right w:w="108" w:type="dxa"/>
          </w:tblCellMar>
        </w:tblPrEx>
        <w:trPr>
          <w:trHeight w:val="306" w:hRule="atLeast"/>
          <w:tblHeader/>
          <w:jc w:val="center"/>
        </w:trPr>
        <w:tc>
          <w:tcPr>
            <w:tcW w:w="300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93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小计</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省级</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地级</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县级</w:t>
            </w:r>
          </w:p>
        </w:tc>
        <w:tc>
          <w:tcPr>
            <w:tcW w:w="75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折资</w:t>
            </w: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数量(万工日)</w:t>
            </w:r>
          </w:p>
        </w:tc>
        <w:tc>
          <w:tcPr>
            <w:tcW w:w="537"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小计</w:t>
            </w:r>
          </w:p>
        </w:tc>
        <w:tc>
          <w:tcPr>
            <w:tcW w:w="9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0"/>
                <w:szCs w:val="20"/>
              </w:rPr>
            </w:pPr>
            <w:r>
              <w:rPr>
                <w:rFonts w:hint="eastAsia" w:ascii="黑体" w:hAnsi="黑体" w:eastAsia="黑体" w:cs="黑体"/>
                <w:color w:val="auto"/>
                <w:sz w:val="20"/>
                <w:szCs w:val="20"/>
              </w:rPr>
              <w:t>其中:银行贷款</w:t>
            </w: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栏次</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高标准农田建设项目</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（一）土地平整</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1.田块修筑</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2.耕作层剥离和回填</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3.细部平整</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（二）土壤改良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1.沙（黏）质土壤治理</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2.酸化土壤治理</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3.盐碱土壤治理</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4.污染土壤修复</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100</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5.地力培肥</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（三）灌溉与排水</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1.塘堰（坝）</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座</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2.小型拦河坝</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座</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3.农用井</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座</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4.小型集雨设施</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座</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5.泵站</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座</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6.疏浚沟渠</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7.衬砌明渠（沟）</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8.排水暗渠（管）</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9.渠系建筑物</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其中：水闸</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个</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渡槽</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个</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倒虹吸</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个</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农桥</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个</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涵洞</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个</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跌水</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个</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27</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其它</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个</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10.其他水利措施</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29</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（四）高效节水灌溉</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1.管灌</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31</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2.喷灌</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3.微灌</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亩</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33</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（五）田间道路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1.机耕路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其中：硬化道路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36</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2.生产路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37</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3.其他田间道路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38</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（六）农田防护与生态环境保护</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39</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1.农田林网工程</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米</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40</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2.岸坡防护工程</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米</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41</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3.沟道治理工程</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米</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42</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4.坡面防护工程</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米</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43</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（七）农田输配电</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1.10kv以下的高压输电线路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45</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2.低压输电线路</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公里</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46</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3.变压器</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台</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47</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4.配电箱（屏）</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处</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48</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（八）科技推广措施</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49</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1.技术培训</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人次</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2.仪器设备</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台、件</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51</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3.耕地质量监测</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处</w:t>
            </w: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52</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（九）其他工作及措施</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53</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1.项目管理费</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2.工程监理费</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55</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06" w:hRule="atLeast"/>
          <w:jc w:val="center"/>
        </w:trPr>
        <w:tc>
          <w:tcPr>
            <w:tcW w:w="300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 勘测设计费</w:t>
            </w:r>
          </w:p>
        </w:tc>
        <w:tc>
          <w:tcPr>
            <w:tcW w:w="93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7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5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c>
          <w:tcPr>
            <w:tcW w:w="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color w:val="auto"/>
          <w:sz w:val="22"/>
          <w:szCs w:val="22"/>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sz w:val="22"/>
          <w:szCs w:val="22"/>
        </w:rPr>
        <w:t>注：此为样表，按当年度项目编制要求设置。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0" w:firstLineChars="0"/>
        <w:jc w:val="both"/>
        <w:outlineLvl w:val="1"/>
        <w:rPr>
          <w:rFonts w:hint="eastAsia" w:ascii="黑体" w:hAnsi="黑体" w:eastAsia="黑体" w:cs="黑体"/>
          <w:b w:val="0"/>
          <w:bCs w:val="0"/>
          <w:color w:val="auto"/>
          <w:kern w:val="2"/>
          <w:sz w:val="28"/>
          <w:szCs w:val="28"/>
          <w:lang w:val="en-US" w:eastAsia="zh-CN" w:bidi="ar-SA"/>
        </w:rPr>
      </w:pPr>
      <w:bookmarkStart w:id="172" w:name="_Toc45723079"/>
      <w:r>
        <w:rPr>
          <w:rFonts w:hint="eastAsia" w:ascii="黑体" w:hAnsi="黑体" w:eastAsia="黑体" w:cs="黑体"/>
          <w:b w:val="0"/>
          <w:bCs w:val="0"/>
          <w:color w:val="auto"/>
          <w:kern w:val="2"/>
          <w:sz w:val="28"/>
          <w:szCs w:val="28"/>
          <w:lang w:val="en-US" w:eastAsia="zh-CN" w:bidi="ar-SA"/>
        </w:rPr>
        <w:t>附表3</w:t>
      </w:r>
      <w:bookmarkEnd w:id="172"/>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农田建设项目预期效益表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编制单位：                            项目名称：</w:t>
      </w:r>
    </w:p>
    <w:tbl>
      <w:tblPr>
        <w:tblStyle w:val="14"/>
        <w:tblW w:w="8968" w:type="dxa"/>
        <w:jc w:val="center"/>
        <w:tblLayout w:type="fixed"/>
        <w:tblCellMar>
          <w:top w:w="0" w:type="dxa"/>
          <w:left w:w="108" w:type="dxa"/>
          <w:bottom w:w="0" w:type="dxa"/>
          <w:right w:w="108" w:type="dxa"/>
        </w:tblCellMar>
      </w:tblPr>
      <w:tblGrid>
        <w:gridCol w:w="4556"/>
        <w:gridCol w:w="1356"/>
        <w:gridCol w:w="1107"/>
        <w:gridCol w:w="1949"/>
      </w:tblGrid>
      <w:tr>
        <w:tblPrEx>
          <w:tblCellMar>
            <w:top w:w="0" w:type="dxa"/>
            <w:left w:w="108" w:type="dxa"/>
            <w:bottom w:w="0" w:type="dxa"/>
            <w:right w:w="108" w:type="dxa"/>
          </w:tblCellMar>
        </w:tblPrEx>
        <w:trPr>
          <w:trHeight w:val="435" w:hRule="atLeast"/>
          <w:tblHeader/>
          <w:jc w:val="center"/>
        </w:trPr>
        <w:tc>
          <w:tcPr>
            <w:tcW w:w="4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项目名称</w:t>
            </w:r>
          </w:p>
        </w:tc>
        <w:tc>
          <w:tcPr>
            <w:tcW w:w="1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单位</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行次</w:t>
            </w:r>
          </w:p>
        </w:tc>
        <w:tc>
          <w:tcPr>
            <w:tcW w:w="194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数值</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(一)农业生产条件及生态环境改善</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1.新增耕地面积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其中：新增水田面积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新增耕地平均增加等级</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级</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2.新增和改善灌溉达标面积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3.新增和改善排水达标面积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4.新增节水灌溉面积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其中：高效节水灌溉面积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5.年节约水量</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万立方米</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6.灌溉水利用率提高</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百分比</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7.增加农田林网防护面积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8.增加机耕面积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9.农业综合机械化提高值</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百分比</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10.道路通达率</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百分比</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11.蓄水池容量</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万立方米</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(二)年新增主要农产品生产能力</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16</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1.粮食</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万公斤</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17</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2.棉花</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万公斤</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18</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3.油料</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万公斤</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4.糖料</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万公斤</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20</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5.其他农产品</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万公斤</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21</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(三)项目区经济效益和社会效益</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22</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1.项目区年直接受益农户数量</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23</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2.项目区年直接受益农业人口数</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人</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24</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3.项目区直接受益农民年纯收入增加总额</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万元</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25</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4.项目区公众满意度</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百分比</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26</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（四）其他效益</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27</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1.扩大良种种植面积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28</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2.治理盐碱化土地面积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29</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3.治理酸化土地面积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4.治理沙化土地面积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31</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5.控制水土流失面积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32</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6.项目区土地流转面积</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万亩</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33</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7.项目区引进新型农业经营主体个数</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34</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其中:农业龙头企业个数</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35</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农民合作组织个数</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家庭农场个数</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37</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CellMar>
            <w:top w:w="0" w:type="dxa"/>
            <w:left w:w="108" w:type="dxa"/>
            <w:bottom w:w="0" w:type="dxa"/>
            <w:right w:w="108" w:type="dxa"/>
          </w:tblCellMar>
        </w:tblPrEx>
        <w:trPr>
          <w:trHeight w:val="402" w:hRule="atLeast"/>
          <w:jc w:val="center"/>
        </w:trPr>
        <w:tc>
          <w:tcPr>
            <w:tcW w:w="455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种粮大户个数</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个</w:t>
            </w:r>
          </w:p>
        </w:tc>
        <w:tc>
          <w:tcPr>
            <w:tcW w:w="11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38</w:t>
            </w:r>
          </w:p>
        </w:tc>
        <w:tc>
          <w:tcPr>
            <w:tcW w:w="194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ascii="仿宋_GB2312" w:hAnsi="仿宋_GB2312" w:eastAsia="仿宋_GB2312" w:cs="仿宋_GB2312"/>
          <w:color w:val="auto"/>
          <w:sz w:val="28"/>
          <w:szCs w:val="28"/>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0" w:firstLineChars="0"/>
        <w:jc w:val="both"/>
        <w:outlineLvl w:val="1"/>
        <w:rPr>
          <w:rFonts w:hint="eastAsia" w:ascii="黑体" w:hAnsi="黑体" w:eastAsia="黑体" w:cs="黑体"/>
          <w:b w:val="0"/>
          <w:bCs w:val="0"/>
          <w:color w:val="auto"/>
          <w:kern w:val="2"/>
          <w:sz w:val="28"/>
          <w:szCs w:val="28"/>
          <w:lang w:val="en-US" w:eastAsia="zh-CN" w:bidi="ar-SA"/>
        </w:rPr>
      </w:pPr>
      <w:bookmarkStart w:id="173" w:name="_Toc45723080"/>
      <w:r>
        <w:rPr>
          <w:rFonts w:hint="eastAsia" w:ascii="黑体" w:hAnsi="黑体" w:eastAsia="黑体" w:cs="黑体"/>
          <w:b w:val="0"/>
          <w:bCs w:val="0"/>
          <w:color w:val="auto"/>
          <w:kern w:val="2"/>
          <w:sz w:val="28"/>
          <w:szCs w:val="28"/>
          <w:lang w:val="en-US" w:eastAsia="zh-CN" w:bidi="ar-SA"/>
        </w:rPr>
        <w:t>附表4</w:t>
      </w:r>
      <w:bookmarkEnd w:id="173"/>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设计水平年水资源供需平衡表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编制单位：                         项目名称：                                            单位：万m3  </w:t>
      </w:r>
    </w:p>
    <w:tbl>
      <w:tblPr>
        <w:tblStyle w:val="14"/>
        <w:tblW w:w="13770" w:type="dxa"/>
        <w:jc w:val="center"/>
        <w:tblLayout w:type="fixed"/>
        <w:tblCellMar>
          <w:top w:w="0" w:type="dxa"/>
          <w:left w:w="108" w:type="dxa"/>
          <w:bottom w:w="0" w:type="dxa"/>
          <w:right w:w="108" w:type="dxa"/>
        </w:tblCellMar>
      </w:tblPr>
      <w:tblGrid>
        <w:gridCol w:w="602"/>
        <w:gridCol w:w="876"/>
        <w:gridCol w:w="876"/>
        <w:gridCol w:w="1098"/>
        <w:gridCol w:w="602"/>
        <w:gridCol w:w="876"/>
        <w:gridCol w:w="876"/>
        <w:gridCol w:w="880"/>
        <w:gridCol w:w="602"/>
        <w:gridCol w:w="602"/>
        <w:gridCol w:w="602"/>
        <w:gridCol w:w="888"/>
        <w:gridCol w:w="850"/>
        <w:gridCol w:w="709"/>
        <w:gridCol w:w="882"/>
        <w:gridCol w:w="936"/>
        <w:gridCol w:w="1013"/>
      </w:tblGrid>
      <w:tr>
        <w:tblPrEx>
          <w:tblCellMar>
            <w:top w:w="0" w:type="dxa"/>
            <w:left w:w="108" w:type="dxa"/>
            <w:bottom w:w="0" w:type="dxa"/>
            <w:right w:w="108" w:type="dxa"/>
          </w:tblCellMar>
        </w:tblPrEx>
        <w:trPr>
          <w:trHeight w:val="405" w:hRule="atLeast"/>
          <w:jc w:val="center"/>
        </w:trPr>
        <w:tc>
          <w:tcPr>
            <w:tcW w:w="345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水资源总量</w:t>
            </w:r>
          </w:p>
        </w:tc>
        <w:tc>
          <w:tcPr>
            <w:tcW w:w="3234"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可供水量</w:t>
            </w:r>
          </w:p>
        </w:tc>
        <w:tc>
          <w:tcPr>
            <w:tcW w:w="354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需水量</w:t>
            </w:r>
          </w:p>
        </w:tc>
        <w:tc>
          <w:tcPr>
            <w:tcW w:w="354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余缺水量（+、－）</w:t>
            </w:r>
          </w:p>
        </w:tc>
      </w:tr>
      <w:tr>
        <w:tblPrEx>
          <w:tblCellMar>
            <w:top w:w="0" w:type="dxa"/>
            <w:left w:w="108" w:type="dxa"/>
            <w:bottom w:w="0" w:type="dxa"/>
            <w:right w:w="108" w:type="dxa"/>
          </w:tblCellMar>
        </w:tblPrEx>
        <w:trPr>
          <w:trHeight w:val="435"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合计</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地表水</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地下水</w:t>
            </w: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过境水</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合计</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地表水</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地下水</w:t>
            </w: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过境水</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合计</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农业</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工业</w:t>
            </w: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城镇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生活</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农村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生活</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合计</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地表水</w:t>
            </w: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地下水</w:t>
            </w: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过境水</w:t>
            </w:r>
          </w:p>
        </w:tc>
      </w:tr>
      <w:tr>
        <w:tblPrEx>
          <w:tblCellMar>
            <w:top w:w="0" w:type="dxa"/>
            <w:left w:w="108" w:type="dxa"/>
            <w:bottom w:w="0" w:type="dxa"/>
            <w:right w:w="108" w:type="dxa"/>
          </w:tblCellMar>
        </w:tblPrEx>
        <w:trPr>
          <w:trHeight w:val="480" w:hRule="atLeast"/>
          <w:jc w:val="center"/>
        </w:trPr>
        <w:tc>
          <w:tcPr>
            <w:tcW w:w="6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48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c>
          <w:tcPr>
            <w:tcW w:w="10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jc w:val="both"/>
        <w:rPr>
          <w:rFonts w:hint="eastAsia"/>
          <w:lang w:val="en-US" w:eastAsia="zh-CN"/>
        </w:rPr>
        <w:sectPr>
          <w:headerReference r:id="rId29" w:type="default"/>
          <w:footerReference r:id="rId30" w:type="default"/>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sz w:val="22"/>
          <w:szCs w:val="22"/>
        </w:rPr>
        <w:t xml:space="preserve">注：1．需水量计算指标：农业灌溉定额   </w:t>
      </w:r>
      <w:r>
        <w:rPr>
          <w:rFonts w:hint="eastAsia" w:ascii="仿宋_GB2312" w:hAnsi="仿宋_GB2312" w:eastAsia="仿宋_GB2312" w:cs="仿宋_GB2312"/>
          <w:bCs/>
          <w:color w:val="auto"/>
          <w:sz w:val="22"/>
          <w:szCs w:val="22"/>
        </w:rPr>
        <w:t>m</w:t>
      </w:r>
      <w:r>
        <w:rPr>
          <w:rFonts w:hint="eastAsia" w:ascii="仿宋_GB2312" w:hAnsi="仿宋_GB2312" w:eastAsia="仿宋_GB2312" w:cs="仿宋_GB2312"/>
          <w:bCs/>
          <w:color w:val="auto"/>
          <w:sz w:val="22"/>
          <w:szCs w:val="22"/>
          <w:vertAlign w:val="superscript"/>
        </w:rPr>
        <w:t>3</w:t>
      </w:r>
      <w:r>
        <w:rPr>
          <w:rFonts w:hint="eastAsia" w:ascii="仿宋_GB2312" w:hAnsi="仿宋_GB2312" w:eastAsia="仿宋_GB2312" w:cs="仿宋_GB2312"/>
          <w:color w:val="auto"/>
          <w:sz w:val="22"/>
          <w:szCs w:val="22"/>
        </w:rPr>
        <w:t xml:space="preserve">/亩，工业用水定额   </w:t>
      </w:r>
      <w:r>
        <w:rPr>
          <w:rFonts w:hint="eastAsia" w:ascii="仿宋_GB2312" w:hAnsi="仿宋_GB2312" w:eastAsia="仿宋_GB2312" w:cs="仿宋_GB2312"/>
          <w:bCs/>
          <w:color w:val="auto"/>
          <w:sz w:val="22"/>
          <w:szCs w:val="22"/>
        </w:rPr>
        <w:t>m</w:t>
      </w:r>
      <w:r>
        <w:rPr>
          <w:rFonts w:hint="eastAsia" w:ascii="仿宋_GB2312" w:hAnsi="仿宋_GB2312" w:eastAsia="仿宋_GB2312" w:cs="仿宋_GB2312"/>
          <w:bCs/>
          <w:color w:val="auto"/>
          <w:sz w:val="22"/>
          <w:szCs w:val="22"/>
          <w:vertAlign w:val="superscript"/>
        </w:rPr>
        <w:t>3</w:t>
      </w:r>
      <w:r>
        <w:rPr>
          <w:rFonts w:hint="eastAsia" w:ascii="仿宋_GB2312" w:hAnsi="仿宋_GB2312" w:eastAsia="仿宋_GB2312" w:cs="仿宋_GB2312"/>
          <w:color w:val="auto"/>
          <w:sz w:val="22"/>
          <w:szCs w:val="22"/>
        </w:rPr>
        <w:t xml:space="preserve">/万元，城镇生活人均日耗水   </w:t>
      </w:r>
      <w:r>
        <w:rPr>
          <w:rFonts w:hint="eastAsia" w:ascii="仿宋_GB2312" w:hAnsi="仿宋_GB2312" w:eastAsia="仿宋_GB2312" w:cs="仿宋_GB2312"/>
          <w:bCs/>
          <w:color w:val="auto"/>
          <w:sz w:val="22"/>
          <w:szCs w:val="22"/>
        </w:rPr>
        <w:t>m</w:t>
      </w:r>
      <w:r>
        <w:rPr>
          <w:rFonts w:hint="eastAsia" w:ascii="仿宋_GB2312" w:hAnsi="仿宋_GB2312" w:eastAsia="仿宋_GB2312" w:cs="仿宋_GB2312"/>
          <w:bCs/>
          <w:color w:val="auto"/>
          <w:sz w:val="22"/>
          <w:szCs w:val="22"/>
          <w:vertAlign w:val="superscript"/>
        </w:rPr>
        <w:t>3</w:t>
      </w:r>
      <w:r>
        <w:rPr>
          <w:rFonts w:hint="eastAsia" w:ascii="仿宋_GB2312" w:hAnsi="仿宋_GB2312" w:eastAsia="仿宋_GB2312" w:cs="仿宋_GB2312"/>
          <w:color w:val="auto"/>
          <w:sz w:val="22"/>
          <w:szCs w:val="22"/>
        </w:rPr>
        <w:t xml:space="preserve">/人日，农村生活人均日耗水   </w:t>
      </w:r>
      <w:r>
        <w:rPr>
          <w:rFonts w:hint="eastAsia" w:ascii="仿宋_GB2312" w:hAnsi="仿宋_GB2312" w:eastAsia="仿宋_GB2312" w:cs="仿宋_GB2312"/>
          <w:bCs/>
          <w:color w:val="auto"/>
          <w:sz w:val="22"/>
          <w:szCs w:val="22"/>
        </w:rPr>
        <w:t>m</w:t>
      </w:r>
      <w:r>
        <w:rPr>
          <w:rFonts w:hint="eastAsia" w:ascii="仿宋_GB2312" w:hAnsi="仿宋_GB2312" w:eastAsia="仿宋_GB2312" w:cs="仿宋_GB2312"/>
          <w:bCs/>
          <w:color w:val="auto"/>
          <w:sz w:val="22"/>
          <w:szCs w:val="22"/>
          <w:vertAlign w:val="superscript"/>
        </w:rPr>
        <w:t>3</w:t>
      </w:r>
      <w:r>
        <w:rPr>
          <w:rFonts w:hint="eastAsia" w:ascii="仿宋_GB2312" w:hAnsi="仿宋_GB2312" w:eastAsia="仿宋_GB2312" w:cs="仿宋_GB2312"/>
          <w:color w:val="auto"/>
          <w:sz w:val="22"/>
          <w:szCs w:val="22"/>
        </w:rPr>
        <w:t>/人日。</w:t>
      </w:r>
    </w:p>
    <w:p>
      <w:pPr>
        <w:pStyle w:val="7"/>
        <w:bidi w:val="0"/>
        <w:rPr>
          <w:rFonts w:hint="default"/>
          <w:lang w:val="en-US" w:eastAsia="zh-CN"/>
        </w:rPr>
      </w:pPr>
      <w:r>
        <w:rPr>
          <w:rFonts w:hint="eastAsia"/>
          <w:lang w:val="en-US" w:eastAsia="zh-CN"/>
        </w:rPr>
        <w:t>附件6-2</w:t>
      </w: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广东省农业农村厅现代种业提升建设工程项目</w:t>
      </w: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申报书模板</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p>
      <w:pPr>
        <w:widowControl/>
        <w:spacing w:line="360" w:lineRule="auto"/>
        <w:ind w:left="492" w:firstLine="600" w:firstLineChars="200"/>
        <w:jc w:val="left"/>
        <w:rPr>
          <w:rFonts w:ascii="仿宋_GB2312" w:hAnsi="宋体" w:eastAsia="仿宋_GB2312" w:cs="Times New Roman"/>
          <w:color w:val="000000"/>
          <w:kern w:val="0"/>
          <w:sz w:val="30"/>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tbl>
      <w:tblPr>
        <w:tblStyle w:val="14"/>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项</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目</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名</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称：</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jc w:val="left"/>
              <w:textAlignment w:val="bottom"/>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单 位：</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项目</w:t>
            </w:r>
            <w:r>
              <w:rPr>
                <w:rFonts w:hint="eastAsia" w:ascii="黑体" w:hAnsi="Times New Roman" w:eastAsia="黑体" w:cs="Times New Roman"/>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黑体" w:hAnsi="宋体" w:eastAsia="黑体" w:cs="Times New Roman"/>
                <w:color w:val="auto"/>
                <w:sz w:val="28"/>
                <w:szCs w:val="28"/>
              </w:rPr>
            </w:pPr>
          </w:p>
        </w:tc>
      </w:tr>
      <w:t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主 管 单 位</w:t>
            </w:r>
            <w:r>
              <w:rPr>
                <w:rFonts w:hint="eastAsia" w:ascii="黑体" w:hAnsi="Times New Roman" w:eastAsia="黑体" w:cs="Times New Roman"/>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日 期：</w:t>
            </w:r>
          </w:p>
        </w:tc>
        <w:tc>
          <w:tcPr>
            <w:tcW w:w="5840"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616" w:firstLineChars="0"/>
              <w:textAlignment w:val="bottom"/>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  </w:t>
            </w:r>
            <w:r>
              <w:rPr>
                <w:rFonts w:ascii="Times New Roman" w:hAnsi="Times New Roman" w:eastAsia="宋体" w:cs="Times New Roman"/>
                <w:color w:val="auto"/>
                <w:sz w:val="28"/>
                <w:szCs w:val="28"/>
              </w:rPr>
              <w:t xml:space="preserve">  </w:t>
            </w:r>
            <w:r>
              <w:rPr>
                <w:rFonts w:hint="eastAsia" w:ascii="Times New Roman" w:hAnsi="Times New Roman" w:eastAsia="宋体" w:cs="Times New Roman"/>
                <w:color w:val="auto"/>
                <w:sz w:val="28"/>
                <w:szCs w:val="28"/>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黑体" w:hAnsi="Times New Roman" w:eastAsia="黑体" w:cs="Times New Roman"/>
                <w:color w:val="auto"/>
                <w:sz w:val="28"/>
                <w:szCs w:val="28"/>
              </w:rPr>
            </w:pP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616" w:firstLineChars="0"/>
              <w:textAlignment w:val="bottom"/>
              <w:rPr>
                <w:rFonts w:hint="eastAsia" w:ascii="Times New Roman" w:hAnsi="Times New Roman" w:eastAsia="宋体" w:cs="Times New Roman"/>
                <w:color w:val="auto"/>
                <w:sz w:val="28"/>
                <w:szCs w:val="28"/>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bottom"/>
        <w:outlineLvl w:val="1"/>
        <w:rPr>
          <w:rFonts w:ascii="宋体" w:hAnsi="宋体" w:eastAsia="宋体" w:cs="楷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ascii="Times New Roman" w:hAnsi="Times New Roman" w:eastAsia="宋体" w:cs="Times New Roman"/>
          <w:color w:val="auto"/>
          <w:sz w:val="28"/>
          <w:szCs w:val="28"/>
        </w:rPr>
      </w:pPr>
    </w:p>
    <w:p>
      <w:pPr>
        <w:widowControl w:val="0"/>
        <w:ind w:firstLine="0" w:firstLineChars="0"/>
        <w:jc w:val="both"/>
        <w:outlineLvl w:val="1"/>
        <w:rPr>
          <w:rFonts w:ascii="楷体" w:hAnsi="楷体" w:eastAsia="宋体" w:cs="楷体"/>
          <w:b/>
          <w:bCs/>
          <w:color w:val="auto"/>
          <w:kern w:val="2"/>
          <w:sz w:val="28"/>
          <w:szCs w:val="28"/>
          <w:lang w:val="en-US" w:eastAsia="zh-CN" w:bidi="ar-SA"/>
        </w:rPr>
      </w:pPr>
    </w:p>
    <w:p>
      <w:pPr>
        <w:adjustRightInd/>
        <w:snapToGrid/>
        <w:spacing w:line="240" w:lineRule="auto"/>
        <w:ind w:firstLine="0" w:firstLineChars="0"/>
        <w:rPr>
          <w:rFonts w:ascii="Times New Roman" w:hAnsi="Times New Roman" w:eastAsia="宋体" w:cs="Times New Roman"/>
          <w:color w:val="auto"/>
          <w:sz w:val="28"/>
          <w:szCs w:val="28"/>
        </w:rPr>
      </w:pPr>
    </w:p>
    <w:p>
      <w:pPr>
        <w:widowControl w:val="0"/>
        <w:ind w:firstLine="0" w:firstLineChars="0"/>
        <w:jc w:val="both"/>
        <w:outlineLvl w:val="1"/>
        <w:rPr>
          <w:rFonts w:ascii="楷体" w:hAnsi="楷体" w:eastAsia="宋体" w:cs="楷体"/>
          <w:b/>
          <w:bCs/>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w:t>
      </w: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b/>
          <w:bCs w:val="0"/>
          <w:color w:val="auto"/>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both"/>
        <w:textAlignment w:val="bottom"/>
        <w:outlineLvl w:val="0"/>
        <w:rPr>
          <w:rFonts w:hint="eastAsia" w:ascii="黑体" w:hAnsi="黑体" w:eastAsia="黑体" w:cs="黑体"/>
          <w:color w:val="auto"/>
          <w:sz w:val="28"/>
          <w:szCs w:val="28"/>
        </w:rPr>
      </w:pPr>
      <w:r>
        <w:rPr>
          <w:rFonts w:hint="eastAsia" w:ascii="黑体" w:hAnsi="黑体" w:eastAsia="黑体" w:cs="黑体"/>
          <w:color w:val="auto"/>
          <w:sz w:val="28"/>
          <w:szCs w:val="28"/>
        </w:rPr>
        <w:t>一、概论</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（一）项目名称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项目的全称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（二）主管部门</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项目主管部门的全称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（三）建设单位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建设单位的全称、所在地址及法定代表人</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（四）建设功能</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1、功能定位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突出项目强化农业种质资源保护、提升自主创新能力及种业综合生产能力。</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2、项目具体实现目标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根据项目类别提出相对应的具体实现目标，包括</w:t>
      </w:r>
      <w:r>
        <w:rPr>
          <w:rFonts w:hint="eastAsia" w:ascii="仿宋_GB2312" w:hAnsi="仿宋_GB2312" w:eastAsia="仿宋_GB2312" w:cs="仿宋_GB2312"/>
          <w:color w:val="auto"/>
          <w:sz w:val="28"/>
          <w:szCs w:val="28"/>
        </w:rPr>
        <w:t>品种创新选育</w:t>
      </w:r>
      <w:r>
        <w:rPr>
          <w:rFonts w:hint="eastAsia" w:ascii="仿宋_GB2312" w:hAnsi="仿宋_GB2312" w:eastAsia="仿宋_GB2312" w:cs="仿宋_GB2312"/>
          <w:color w:val="auto"/>
          <w:sz w:val="28"/>
          <w:szCs w:val="28"/>
          <w:lang w:eastAsia="zh-CN"/>
        </w:rPr>
        <w:t>具体</w:t>
      </w:r>
      <w:r>
        <w:rPr>
          <w:rFonts w:hint="eastAsia" w:ascii="仿宋_GB2312" w:hAnsi="仿宋_GB2312" w:eastAsia="仿宋_GB2312" w:cs="仿宋_GB2312"/>
          <w:color w:val="auto"/>
          <w:sz w:val="28"/>
          <w:szCs w:val="28"/>
        </w:rPr>
        <w:t>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种子繁育</w:t>
      </w:r>
      <w:r>
        <w:rPr>
          <w:rFonts w:hint="eastAsia" w:ascii="仿宋_GB2312" w:hAnsi="仿宋_GB2312" w:eastAsia="仿宋_GB2312" w:cs="仿宋_GB2312"/>
          <w:color w:val="auto"/>
          <w:sz w:val="28"/>
          <w:szCs w:val="28"/>
          <w:lang w:eastAsia="zh-CN"/>
        </w:rPr>
        <w:t>具体</w:t>
      </w:r>
      <w:r>
        <w:rPr>
          <w:rFonts w:hint="eastAsia" w:ascii="仿宋_GB2312" w:hAnsi="仿宋_GB2312" w:eastAsia="仿宋_GB2312" w:cs="仿宋_GB2312"/>
          <w:color w:val="auto"/>
          <w:sz w:val="28"/>
          <w:szCs w:val="28"/>
        </w:rPr>
        <w:t>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种子加工仓储</w:t>
      </w:r>
      <w:r>
        <w:rPr>
          <w:rFonts w:hint="eastAsia" w:ascii="仿宋_GB2312" w:hAnsi="仿宋_GB2312" w:eastAsia="仿宋_GB2312" w:cs="仿宋_GB2312"/>
          <w:color w:val="auto"/>
          <w:sz w:val="28"/>
          <w:szCs w:val="28"/>
          <w:lang w:eastAsia="zh-CN"/>
        </w:rPr>
        <w:t>具体</w:t>
      </w:r>
      <w:r>
        <w:rPr>
          <w:rFonts w:hint="eastAsia" w:ascii="仿宋_GB2312" w:hAnsi="仿宋_GB2312" w:eastAsia="仿宋_GB2312" w:cs="仿宋_GB2312"/>
          <w:color w:val="auto"/>
          <w:sz w:val="28"/>
          <w:szCs w:val="28"/>
        </w:rPr>
        <w:t>目标</w:t>
      </w:r>
      <w:r>
        <w:rPr>
          <w:rFonts w:hint="eastAsia" w:ascii="仿宋_GB2312" w:hAnsi="仿宋_GB2312" w:eastAsia="仿宋_GB2312" w:cs="仿宋_GB2312"/>
          <w:color w:val="auto"/>
          <w:sz w:val="28"/>
          <w:szCs w:val="28"/>
          <w:lang w:eastAsia="zh-CN"/>
        </w:rPr>
        <w:t>、种子资源保护利用能力具体目标、种质资源场核心群规模具体目标、畜禽繁育能力提升的具体目标等。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（五）建设内容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项目建设</w:t>
      </w:r>
      <w:r>
        <w:rPr>
          <w:rFonts w:hint="eastAsia" w:ascii="仿宋_GB2312" w:hAnsi="仿宋_GB2312" w:eastAsia="仿宋_GB2312" w:cs="仿宋_GB2312"/>
          <w:color w:val="auto"/>
          <w:sz w:val="28"/>
          <w:szCs w:val="28"/>
          <w:lang w:eastAsia="zh-CN"/>
        </w:rPr>
        <w:t>规模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农作物种植类项目包括种植面积、作物种类、产量、季节安排等。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畜禽养殖类项目包括养殖种类，畜禽舍面积、畜禽存栏数、出栏数及畜产品产量等；水产养殖类项目包括水产养殖面积、种类、产量、季节安排等。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建设内容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建设内容含建筑工程、田间工程及仪器设备</w:t>
      </w:r>
      <w:r>
        <w:rPr>
          <w:rFonts w:hint="eastAsia" w:ascii="仿宋_GB2312" w:hAnsi="仿宋_GB2312" w:eastAsia="仿宋_GB2312" w:cs="仿宋_GB2312"/>
          <w:color w:val="auto"/>
          <w:sz w:val="28"/>
          <w:szCs w:val="28"/>
          <w:lang w:eastAsia="zh-CN"/>
        </w:rPr>
        <w:t>等建设工程及数量</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改扩建</w:t>
      </w:r>
      <w:r>
        <w:rPr>
          <w:rFonts w:hint="eastAsia" w:ascii="仿宋_GB2312" w:hAnsi="仿宋_GB2312" w:eastAsia="仿宋_GB2312" w:cs="仿宋_GB2312"/>
          <w:color w:val="auto"/>
          <w:sz w:val="28"/>
          <w:szCs w:val="28"/>
          <w:lang w:eastAsia="zh-CN"/>
        </w:rPr>
        <w:t>国家种质</w:t>
      </w:r>
      <w:r>
        <w:rPr>
          <w:rFonts w:hint="eastAsia" w:ascii="仿宋_GB2312" w:hAnsi="仿宋_GB2312" w:eastAsia="仿宋_GB2312" w:cs="仿宋_GB2312"/>
          <w:color w:val="auto"/>
          <w:sz w:val="28"/>
          <w:szCs w:val="28"/>
        </w:rPr>
        <w:t>资源</w:t>
      </w:r>
      <w:r>
        <w:rPr>
          <w:rFonts w:hint="eastAsia" w:ascii="仿宋_GB2312" w:hAnsi="仿宋_GB2312" w:eastAsia="仿宋_GB2312" w:cs="仿宋_GB2312"/>
          <w:color w:val="auto"/>
          <w:sz w:val="28"/>
          <w:szCs w:val="28"/>
          <w:lang w:eastAsia="zh-CN"/>
        </w:rPr>
        <w:t>中间</w:t>
      </w:r>
      <w:r>
        <w:rPr>
          <w:rFonts w:hint="eastAsia" w:ascii="仿宋_GB2312" w:hAnsi="仿宋_GB2312" w:eastAsia="仿宋_GB2312" w:cs="仿宋_GB2312"/>
          <w:color w:val="auto"/>
          <w:sz w:val="28"/>
          <w:szCs w:val="28"/>
        </w:rPr>
        <w:t>库建设按照填平补齐原则，根据扩增保存种质资源的数量等实际需求，补充建设田间工程、购置仪器设备和物联网数据获取与处理系统等。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建资源圃建设内容主要包括：保存、隔离、鉴定评价等圃地建设，日光温室、资源鉴定及田间测定设备、监控设备、相适宜的农机具和物联网数据获取与处理系统等。改扩建资源圃按照填平补齐原则，根据扩增保存种质资源的数量等实际需求，补充建设田间工程、购置仪器设备和物联网数据获取与处理系统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农业野生植物原生境保护区</w:t>
      </w:r>
      <w:r>
        <w:rPr>
          <w:rFonts w:hint="eastAsia" w:ascii="仿宋_GB2312" w:hAnsi="仿宋_GB2312" w:eastAsia="仿宋_GB2312" w:cs="仿宋_GB2312"/>
          <w:color w:val="auto"/>
          <w:sz w:val="28"/>
          <w:szCs w:val="28"/>
        </w:rPr>
        <w:t>重点建设隔离设施、警示设施、看护设施、防火排灌设施、温室、网室及必要的供电供水设施等，购置数据采集分析设备、通讯巡逻设备、环境监测设备、标本陈列设备、资源监测与管护监控设备等。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改扩建分子育种创新服务平台重点对现有实验室升级改造，购置相关仪器设备，进行种质资源鉴定及基因资源发掘，创建基础性、跨学科和建成分子育种与资源创新科研实验平台。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农作物育繁推一体化示范项目</w:t>
      </w:r>
      <w:r>
        <w:rPr>
          <w:rFonts w:hint="eastAsia" w:ascii="仿宋_GB2312" w:hAnsi="仿宋_GB2312" w:eastAsia="仿宋_GB2312" w:cs="仿宋_GB2312"/>
          <w:color w:val="auto"/>
          <w:sz w:val="28"/>
          <w:szCs w:val="28"/>
        </w:rPr>
        <w:t>申报项目企业根据育种科研方向和科研技术路线及育繁推一体化发展要求，着力改善科研基础设施，兼顾种子生产加工等条件。重点建设内容包括库房（含低温种子库）、检验室、农机具库等土建工程，温室、大棚、晒场、试验地田间工程，以及实验分析设备、农机具、仪器设备购置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畜禽种质资源保护利用能力提升依托国家级畜禽保种场、保护库和基因库，收集保存畜禽优秀个体，组件和扩大保种群。重点改造提升畜禽圈舍、购置种质鉴定及性能测定仪器设备等。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畜禽育繁推一体化示范项目</w:t>
      </w:r>
      <w:r>
        <w:rPr>
          <w:rFonts w:hint="eastAsia" w:ascii="仿宋_GB2312" w:hAnsi="仿宋_GB2312" w:eastAsia="仿宋_GB2312" w:cs="仿宋_GB2312"/>
          <w:color w:val="auto"/>
          <w:sz w:val="28"/>
          <w:szCs w:val="28"/>
        </w:rPr>
        <w:t>建设标准化畜禽棚舍、育种实验室等土建工程，配套性能测定、疫病监测净化、胚胎移植等仪器设备，购置母畜、胚胎、冻精等育种材料（引种费不超过总投资的20%，中央投资不用于此项）等。择优支持部分大型育繁推一体化畜禽企业，完善育种创新、标准化繁种、科技推广等方面设施装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种公畜站围绕不同畜禽品种生产区域分布，以保障优良畜禽供应为目标，重点开展种公畜站改扩建，提升畜禽生产能力和生产质量。项目建成后，种公畜站供精能力提升20%以上。建设标准化畜禽圈舍、青贮池等设施及配套养殖设备、良种登记信息系统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地方品种测定站重点建设</w:t>
      </w:r>
      <w:r>
        <w:rPr>
          <w:rFonts w:hint="eastAsia" w:ascii="仿宋_GB2312" w:hAnsi="仿宋_GB2312" w:eastAsia="仿宋_GB2312" w:cs="仿宋_GB2312"/>
          <w:color w:val="auto"/>
          <w:sz w:val="28"/>
          <w:szCs w:val="28"/>
        </w:rPr>
        <w:t>畜禽性能检验室、测定舍、隔离舍、饲草料库、污水处理池及其他场区工程等建设，配备饲喂自动供给测量系统、生产性能测定软件系统、检验检测仪器设备、病死畜禽无害化处理设备、配种防疫设备和冻精保存运输器械，建立信息处理平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水产种质资源场</w:t>
      </w:r>
      <w:r>
        <w:rPr>
          <w:rFonts w:hint="eastAsia" w:ascii="仿宋_GB2312" w:hAnsi="仿宋_GB2312" w:eastAsia="仿宋_GB2312" w:cs="仿宋_GB2312"/>
          <w:color w:val="auto"/>
          <w:sz w:val="28"/>
          <w:szCs w:val="28"/>
        </w:rPr>
        <w:t>主要建设内容包括催产和孵化车间、亲本池、苗种培育池等生产设施，配套进排水、电力、道路等工程，购置常规生物学仪器、水处理系统、养殖设施等。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水产种业育繁推一体化示范项目主要建设内容包括核心群体保存池、备份基地、催产和孵化车间、隔离检疫池等种质搜集保存设施，以及育种实验室、培育池、遗传性能对比测试设施，配套水处理系统、育种管理数据库，购置实验室仪器、标记设备、在线监测设备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（六）项目投资</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项目总投资</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程总投资包含工程建设费（田间工程费、建筑工程费、设备购置安装费）、工程建设其他费（可研报告编制费、建设单位管理费、工程设计费、工程监理费、工程招投标费等）、预备费、铺地流动资金及建设期利息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资金来源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项目总投资</w:t>
      </w:r>
      <w:r>
        <w:rPr>
          <w:rFonts w:hint="eastAsia" w:ascii="仿宋_GB2312" w:hAnsi="仿宋_GB2312" w:eastAsia="仿宋_GB2312" w:cs="仿宋_GB2312"/>
          <w:color w:val="auto"/>
          <w:sz w:val="28"/>
          <w:szCs w:val="28"/>
          <w:lang w:eastAsia="zh-CN"/>
        </w:rPr>
        <w:t>来源为</w:t>
      </w:r>
      <w:r>
        <w:rPr>
          <w:rFonts w:hint="eastAsia" w:ascii="仿宋_GB2312" w:hAnsi="仿宋_GB2312" w:eastAsia="仿宋_GB2312" w:cs="仿宋_GB2312"/>
          <w:color w:val="auto"/>
          <w:sz w:val="28"/>
          <w:szCs w:val="28"/>
        </w:rPr>
        <w:t>申请中央资金</w:t>
      </w:r>
      <w:r>
        <w:rPr>
          <w:rFonts w:hint="eastAsia" w:ascii="仿宋_GB2312" w:hAnsi="仿宋_GB2312" w:eastAsia="仿宋_GB2312" w:cs="仿宋_GB2312"/>
          <w:color w:val="auto"/>
          <w:sz w:val="28"/>
          <w:szCs w:val="28"/>
          <w:lang w:eastAsia="zh-CN"/>
        </w:rPr>
        <w:t>和企业自筹资金等，其中中央投资规模如下：</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农作物种质资源保护利用提升能力提升项目</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农作物改扩建分子育种创新服务平台项目</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农作物育繁推一体化示范项目</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畜禽种质资源保护利用能力提升项目</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畜禽育种育繁推一体化示范项目提升</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畜禽品种性能测定能力项目提升</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畜禽制（繁）种能力提升项目</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水产种质资源场项目</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水产育繁推一体化示范项目</w:t>
      </w:r>
      <w:r>
        <w:rPr>
          <w:rFonts w:hint="eastAsia" w:ascii="仿宋_GB2312" w:hAnsi="仿宋_GB2312" w:eastAsia="仿宋_GB2312" w:cs="仿宋_GB2312"/>
          <w:color w:val="auto"/>
          <w:sz w:val="28"/>
          <w:szCs w:val="28"/>
        </w:rPr>
        <w:t>中央投资规模按照项目投资总规模的</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%的比例安排中央投资，且中央投资规模不低于</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万元。</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（七）建设期限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根据项目建设规模、内容、投资金额、资金筹措及到位情况，经分析确定项目项目建设需要的时间周期</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eastAsia="zh-CN"/>
        </w:rPr>
        <w:t>（八）</w:t>
      </w:r>
      <w:r>
        <w:rPr>
          <w:rFonts w:hint="eastAsia" w:ascii="楷体_GB2312" w:hAnsi="楷体_GB2312" w:eastAsia="楷体_GB2312" w:cs="楷体_GB2312"/>
          <w:color w:val="auto"/>
          <w:sz w:val="28"/>
          <w:szCs w:val="28"/>
        </w:rPr>
        <w:t>项目效益</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包括经济效益、社会效益、生态效益。</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经济效益：简要列出项目预期的营业(销售)收入、利润、税金，以及投资回收期、财务净现值、财务内部收益率等。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社会效益：概述对当地主导产业发展、产业结构调整带来的影响，突出带动农户的方式、数量、农户增收等情况。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生态效益：项目对当地生态环境的影响及改善情况等。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both"/>
        <w:textAlignment w:val="bottom"/>
        <w:outlineLvl w:val="0"/>
        <w:rPr>
          <w:rFonts w:hint="eastAsia" w:ascii="黑体" w:hAnsi="黑体" w:eastAsia="黑体" w:cs="黑体"/>
          <w:color w:val="auto"/>
          <w:sz w:val="28"/>
          <w:szCs w:val="28"/>
        </w:rPr>
      </w:pPr>
      <w:r>
        <w:rPr>
          <w:rFonts w:hint="eastAsia" w:ascii="黑体" w:hAnsi="黑体" w:eastAsia="黑体" w:cs="黑体"/>
          <w:color w:val="auto"/>
          <w:sz w:val="28"/>
          <w:szCs w:val="28"/>
        </w:rPr>
        <w:t>二、项目背景与建设必要性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（一）政策背景</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1、政策和文件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说明支撑项目的有关国民经济、社会、产业发展宏观政策和文件情况。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2、规划情况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说明与项目区有关的农业及相关行业或区域发展规划、建设规划等的基本情况和要求。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（二）区域背景</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1、区域经济、社会和农业现状与存在问题</w:t>
      </w:r>
    </w:p>
    <w:p>
      <w:pPr>
        <w:keepNext w:val="0"/>
        <w:keepLines w:val="0"/>
        <w:pageBreakBefore w:val="0"/>
        <w:widowControl w:val="0"/>
        <w:kinsoku/>
        <w:wordWrap/>
        <w:overflowPunct/>
        <w:topLinePunct w:val="0"/>
        <w:autoSpaceDE/>
        <w:autoSpaceDN/>
        <w:bidi w:val="0"/>
        <w:adjustRightInd/>
        <w:snapToGrid w:val="0"/>
        <w:spacing w:line="420" w:lineRule="exact"/>
        <w:ind w:firstLine="544" w:firstLineChars="200"/>
        <w:textAlignment w:val="bottom"/>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（1）说明与项目有关的区域经济状况及存在的主要问题。</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（2）项目是否符合地区或区域经济与农业发展的需要。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（3）区域的自然条件、资源状况是否满足项目建设的需要。</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2、其他</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根据需要，简要说明社会、文化、历史、人文、宗教信仰等方面相关情况。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（三）项目由来</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简述项目提出的过程。</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（四）建设单位基本情况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1、业务职责</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单位的性质、基本职责、业务范围和内容，应附建设单位法人资格证书影印件。</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2、人员构成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单位人员组成情况，包括职工总人数、技术人员数、管理人员数、技术人员中各级专业技术人员数及承担本项目主要技术人员的基本情况。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3、能力水平</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说明与项目有关的主要技术成果与转化能力、专利技术及其获奖情况，包括优势学科领域、承担课题的能力、技术推广转化能力等。通常应附成果鉴定、专利、获奖证书影印件等。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说明与项目有关的主要产品规格、水平、产能、销量等情况。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4、基础条件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（1）现有基础设施和技术条件情况，包括土地、房产、主要农业科研仪器与农业机械设备、配套设施条件等。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（2）技术储备、项目储备、成果储备情况等。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（3）近5年已建同类项目的完成和运行情况，说明可在项目中发挥作用的设施、设备情况。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5、资产与财务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包括单位经费或收人来源、年总收入与总支出及盈余或利润、税金、固定资产总值、净资产总值等。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盈利性项目应附近期资产负债表、完税证明和损益表。</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6、影响因素</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从政策、法规、社会、经济、资源、环境、单位能力等方面归纳影响项目建设的主要因素。</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（1）有利条件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归纳对项目建设和运行管理形成支撑的主要条件。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（2）不利因素</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说明制约项目建设和运行管理的主要问题。</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（五）项目建设必要性</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（1）从国家宏观经济发展方针、农业产业政策、行业及区域规划、技术政策等方面简述项目建设的依据和理由。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（2）地方区域的经济发展政策、农业产业发展规划、技术发展方向等方面简述项目建设的依据和理由。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2、社会经济发展必要性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w:t>根据</w:t>
      </w:r>
      <w:r>
        <w:rPr>
          <w:rFonts w:hint="eastAsia" w:ascii="仿宋_GB2312" w:hAnsi="仿宋_GB2312" w:eastAsia="仿宋_GB2312" w:cs="仿宋_GB2312"/>
          <w:color w:val="auto"/>
          <w:spacing w:val="-4"/>
          <w:sz w:val="28"/>
          <w:szCs w:val="28"/>
        </w:rPr>
        <w:t>地方经济、社会现状和发展需要，从项目新增产出品(公共服务)、投资效益角度简要说明项目建设的依据和理由。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3、可持续发展必要性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从国家及地方环境保护、合理配置和有效利用资源、项目新增生态效益等方面简述项目建设的依据和理由。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4、建设单位的发展需要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根据建设单位的现状和发展要求，从项目新增经济效益和社会效益角度简述项目建设的依据和理由。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hint="eastAsia" w:ascii="黑体" w:hAnsi="黑体" w:eastAsia="黑体" w:cs="黑体"/>
          <w:color w:val="auto"/>
          <w:sz w:val="28"/>
          <w:szCs w:val="28"/>
        </w:rPr>
      </w:pPr>
      <w:r>
        <w:rPr>
          <w:rFonts w:hint="eastAsia" w:ascii="黑体" w:hAnsi="黑体" w:eastAsia="黑体" w:cs="黑体"/>
          <w:color w:val="auto"/>
          <w:sz w:val="28"/>
          <w:szCs w:val="28"/>
        </w:rPr>
        <w:t>三、项目选址</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（一）选址要求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从用地、交通、安全、场区布置、保护环境和生态等方面概述项目建设对选址的原则性要求。选址地点与位置应符合城镇发展规划，满足工程建设和生产工艺要求，并与周边环境相适应。</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（二）选址现状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说明项目选址的现状情况，分地点建设的应分别说明。</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1、地点与位置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说明项目选址地点的具体位置，并提供地理位置图。</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（1）建设地点在城镇的，应说明所在地街道门牌号。</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（2）建设地点在乡村的，应说明所在乡镇或村队及具体地块位置。规模化的种植业生产项目，应说明所在农田的具体位置。</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2、土地性质及规划</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（1）说明建设范围、占地面积及周边情况。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（2）说明场址所在地土地权属和用地解决方案，按照自有土地、已征(租)地、拟征(租)地等情况分别详细说明，并提供相关证明文件作为附件。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（3）分别说明土地利用规划、城乡建设规划对该地块的具体要求，并提供当地土地管理部门、规划管理部门的审查意见作为附件。</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3、土地利用</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pacing w:val="-4"/>
          <w:sz w:val="28"/>
          <w:szCs w:val="28"/>
        </w:rPr>
        <w:t>1）说明选址地块现使用状况，包括地表(下)建(构)筑物、农业田间工程及设施、农作物种植及其他开发利用等情况。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（2）改扩建项目选址应详细说明场地现有建(构)筑物、各项设施等的基本情况。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（3）新增用地的项目应详细说明项目用地情况，并提出节约用地措施。对占用耕地的设施农业用地建设项目，应说明耕地占用与补充落实的情况。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hint="eastAsia" w:ascii="黑体" w:hAnsi="黑体" w:eastAsia="黑体" w:cs="黑体"/>
          <w:color w:val="auto"/>
          <w:sz w:val="28"/>
          <w:szCs w:val="28"/>
        </w:rPr>
      </w:pPr>
      <w:r>
        <w:rPr>
          <w:rFonts w:hint="eastAsia" w:ascii="黑体" w:hAnsi="黑体" w:eastAsia="黑体" w:cs="黑体"/>
          <w:color w:val="auto"/>
          <w:sz w:val="28"/>
          <w:szCs w:val="28"/>
        </w:rPr>
        <w:t>四、技术方案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（一）选择原则和要求</w:t>
      </w:r>
    </w:p>
    <w:p>
      <w:pPr>
        <w:keepNext w:val="0"/>
        <w:keepLines w:val="0"/>
        <w:pageBreakBefore w:val="0"/>
        <w:widowControl w:val="0"/>
        <w:kinsoku/>
        <w:wordWrap/>
        <w:overflowPunct/>
        <w:topLinePunct w:val="0"/>
        <w:autoSpaceDE/>
        <w:autoSpaceDN/>
        <w:bidi w:val="0"/>
        <w:adjustRightInd/>
        <w:snapToGrid w:val="0"/>
        <w:spacing w:line="420" w:lineRule="exact"/>
        <w:ind w:firstLine="544" w:firstLineChars="200"/>
        <w:textAlignment w:val="bottom"/>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1、技术方案应满足成熟、适用、可靠和经济合理的要求。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2、包含多个单项工程的项目，应分别说明各单项工程的技术方案。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bookmarkStart w:id="174" w:name="_Toc30259209"/>
      <w:r>
        <w:rPr>
          <w:rFonts w:hint="eastAsia" w:ascii="楷体_GB2312" w:hAnsi="楷体_GB2312" w:eastAsia="楷体_GB2312" w:cs="楷体_GB2312"/>
          <w:color w:val="auto"/>
          <w:sz w:val="28"/>
          <w:szCs w:val="28"/>
          <w:lang w:eastAsia="zh-CN"/>
        </w:rPr>
        <w:t>（二）生产方法</w:t>
      </w:r>
      <w:bookmarkEnd w:id="174"/>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1、生产方法包括品种选育、栽培种植、养殖、加工、储运、检验检测、试验与研究等方法。</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2、说明生产方法的优缺点及发展趋势，分析其与原材料供应的适应性、技术来源的可得性，是否符合节能和清洁生产的要求。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常规生产方法可简化叙述。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bookmarkStart w:id="175" w:name="_Toc30259210"/>
      <w:r>
        <w:rPr>
          <w:rFonts w:hint="eastAsia" w:ascii="楷体_GB2312" w:hAnsi="楷体_GB2312" w:eastAsia="楷体_GB2312" w:cs="楷体_GB2312"/>
          <w:color w:val="auto"/>
          <w:sz w:val="28"/>
          <w:szCs w:val="28"/>
          <w:lang w:eastAsia="zh-CN"/>
        </w:rPr>
        <w:t>（三）工艺流程</w:t>
      </w:r>
      <w:bookmarkEnd w:id="175"/>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有多个关联的单项工程、工艺复杂的项目需编制总体生产工艺。</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（四）建设方案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设备方案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w:t>
      </w:r>
      <w:r>
        <w:rPr>
          <w:rFonts w:hint="eastAsia" w:ascii="仿宋_GB2312" w:hAnsi="仿宋_GB2312" w:eastAsia="仿宋_GB2312" w:cs="仿宋_GB2312"/>
          <w:color w:val="auto"/>
          <w:sz w:val="28"/>
          <w:szCs w:val="28"/>
          <w:lang w:eastAsia="zh-CN"/>
        </w:rPr>
        <w:t>科研</w:t>
      </w:r>
      <w:r>
        <w:rPr>
          <w:rFonts w:hint="eastAsia" w:ascii="仿宋_GB2312" w:hAnsi="仿宋_GB2312" w:eastAsia="仿宋_GB2312" w:cs="仿宋_GB2312"/>
          <w:color w:val="auto"/>
          <w:sz w:val="28"/>
          <w:szCs w:val="28"/>
        </w:rPr>
        <w:t>、加工、灌溉、饲养等生产设备、辅助设备、管理设备等，结合技术流程和规模，说明设备的类型、规格型号、数量、先进性等。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建筑方案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主体工程</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包括项目所涉及到的交易设施、加工车间、田间工程、各类圈舍等生产性建筑（构筑物）的面积（数量）、结构类型等。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改建、扩建、迁建项目应说明现有建筑（构筑物）情况及与项目衔接或可能的利用情况。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辅助及其它配套工程</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包括管理用房、生活福利用房等建筑物（构筑物）面积（数量）、结构类型等；水、电、气、道路、绿化等工程。</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改建、扩建、迁建项目应说明现有辅助工程情况及与项目衔接或可能的利用情况。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hint="eastAsia" w:ascii="黑体" w:hAnsi="黑体" w:eastAsia="黑体" w:cs="黑体"/>
          <w:color w:val="auto"/>
          <w:sz w:val="28"/>
          <w:szCs w:val="28"/>
        </w:rPr>
      </w:pPr>
      <w:r>
        <w:rPr>
          <w:rFonts w:hint="eastAsia" w:ascii="黑体" w:hAnsi="黑体" w:eastAsia="黑体" w:cs="黑体"/>
          <w:color w:val="auto"/>
          <w:sz w:val="28"/>
          <w:szCs w:val="28"/>
        </w:rPr>
        <w:t>五、环境保护</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（一）编制依据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有关环境保护的法律、法规、标准及规范等。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（二）环境现状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1、场址及周边所在地的土壤、空气、水、噪声、生态及社会环境现状。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2、场址所在地的污染物排放标准。</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（三）环境影响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析拟建项目在工程建设和投人运营过程中对环境可能产生的破坏因素以及对环境的影响程度，包括废气、废水、固体废弃物、噪声、粉尘和其他废弃物的排放数量，水土流失情况，对地形、地貌、植被及整个流域和区域环境及生态系统的综合影响等。</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1、项目建设对环境的影响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（1）对地形、地貌等自然环境的影响。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（2）对森林、草地植被的影响。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（3）对大气、地表水、地下水、土壤的影响。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（4）对社会环境、文物古迹、风景名胜区、水源保护区的影响。</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2、项目产生的废弃物对环境的影响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（1）分析说明项目建成后运行过程中产生的污染物情况。应说明污染物名称、产生点、产生量及排放量、排放方式，特殊废弃物需说明组成、特性及排放特征等。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（2）分析污染物发生的位置、特性，计算强度值及其对周围环境的危害程度等。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（四）污染物防治</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1、废气、粉(烟)尘的防治</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（1）综合治理措施(包括生产工艺改进、生产设备更新、改进管理等)及末端处理技术、工艺说明。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（2）治理后预期达到的效果与国家或当地允许排放标准的对比以及区域大气环境质量变化情况。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2、废水处理</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（1）末端处理技术及工艺说明。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（2）废水经处理后的相关水质指标。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（3）废水处理后的利用。</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3、噪声控制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（1）说明噪声控制的主要措施，包括工艺、建筑、公用工程设计采用的降低噪声措施以及总平面设计结合功能分区的降噪措施。</w:t>
      </w:r>
    </w:p>
    <w:p>
      <w:pPr>
        <w:keepNext w:val="0"/>
        <w:keepLines w:val="0"/>
        <w:pageBreakBefore w:val="0"/>
        <w:widowControl w:val="0"/>
        <w:kinsoku/>
        <w:wordWrap/>
        <w:overflowPunct/>
        <w:topLinePunct w:val="0"/>
        <w:autoSpaceDE/>
        <w:autoSpaceDN/>
        <w:bidi w:val="0"/>
        <w:adjustRightInd/>
        <w:snapToGrid w:val="0"/>
        <w:spacing w:line="420" w:lineRule="exact"/>
        <w:ind w:firstLine="544" w:firstLineChars="200"/>
        <w:textAlignment w:val="bottom"/>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（2）说明采取控制措施后噪声是否符合有关标准的要求。</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4、固体废弃物的综合利用及处置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固体废弃物的种类、无害化处置方法、二次污染的防范措施。</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5、农业面源污染的控制与防治</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减少面源污染的技术手段和工程措施，包括畜禽死尸等废弃物的无害化处置方法和畜禽粪污的综合循环利用，推广应用种、养业清洁生产模式、乡村清洁工程模式等。</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6、其他污染的控制及防治</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如存在其他污染问题，则应根据生产过程的特点，说明污染来源、污染程度、污染的治理或防范措施，说明治理或采取的防范措施能否达到有关标准的要求。</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7、绿化</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从大气、粉尘及噪声污染等保护环境角度对项目场区绿化的说明。</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8、预期效果分析</w:t>
      </w:r>
    </w:p>
    <w:p>
      <w:pPr>
        <w:keepNext w:val="0"/>
        <w:keepLines w:val="0"/>
        <w:pageBreakBefore w:val="0"/>
        <w:widowControl w:val="0"/>
        <w:kinsoku/>
        <w:wordWrap/>
        <w:overflowPunct/>
        <w:topLinePunct w:val="0"/>
        <w:autoSpaceDE/>
        <w:autoSpaceDN/>
        <w:bidi w:val="0"/>
        <w:adjustRightInd/>
        <w:snapToGrid w:val="0"/>
        <w:spacing w:line="420" w:lineRule="exact"/>
        <w:ind w:firstLine="544" w:firstLineChars="200"/>
        <w:textAlignment w:val="bottom"/>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论述经采取防治环境污染的主要措施后，污染物的排放是否符合环境保护部门对建设项目环境保护规定的有关要求。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hint="eastAsia" w:ascii="黑体" w:hAnsi="黑体" w:eastAsia="黑体" w:cs="黑体"/>
          <w:color w:val="auto"/>
          <w:sz w:val="28"/>
          <w:szCs w:val="28"/>
        </w:rPr>
      </w:pPr>
      <w:r>
        <w:rPr>
          <w:rFonts w:hint="eastAsia" w:ascii="黑体" w:hAnsi="黑体" w:eastAsia="黑体" w:cs="黑体"/>
          <w:color w:val="auto"/>
          <w:sz w:val="28"/>
          <w:szCs w:val="28"/>
        </w:rPr>
        <w:t>六、投资估算和融资方案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（一）投资估算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1、投资估算编制说明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（1）编制范围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总投资包括工程建设费、工程建设其他费用、预备费及铺底流动资金。</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（2）编制依据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1 \* GB3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①</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《农业建设项目投资估算内容和方法》(NY/ T 1716-2009)</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2 \* GB3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②</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农机具及仪器设备费按国内生产厂家发布价及市场价格，适当调整进行估算；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3 \* GB3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③</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工程建设其它费用按国家及</w:t>
      </w:r>
      <w:r>
        <w:rPr>
          <w:rFonts w:hint="eastAsia" w:ascii="仿宋_GB2312" w:hAnsi="仿宋_GB2312" w:eastAsia="仿宋_GB2312" w:cs="仿宋_GB2312"/>
          <w:color w:val="auto"/>
          <w:sz w:val="28"/>
          <w:szCs w:val="28"/>
          <w:lang w:val="en-US" w:eastAsia="zh-CN"/>
        </w:rPr>
        <w:t>广东</w:t>
      </w:r>
      <w:r>
        <w:rPr>
          <w:rFonts w:hint="eastAsia" w:ascii="仿宋_GB2312" w:hAnsi="仿宋_GB2312" w:eastAsia="仿宋_GB2312" w:cs="仿宋_GB2312"/>
          <w:color w:val="auto"/>
          <w:sz w:val="28"/>
          <w:szCs w:val="28"/>
        </w:rPr>
        <w:t>省有关规定估算；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4 \* GB3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④</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预备费只计算基本预备费，按土建及田间工程费和设备费的5%估算，不计涨价预备费。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2、投资估算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程总投资包含工程建设费（田间工程费、建筑工程费、设备购置安装费）、工程建设其他费（可研报告编制费、建设单位管理费、工程设计费、工程监理费、工程招投标费等）、预备费、铺地流动资金及建设期利息等。</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outlineLvl w:val="3"/>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sz w:val="28"/>
          <w:szCs w:val="28"/>
        </w:rPr>
        <w:t>表</w:t>
      </w:r>
      <w:r>
        <w:rPr>
          <w:rFonts w:hint="eastAsia" w:ascii="黑体" w:hAnsi="黑体" w:eastAsia="黑体" w:cs="黑体"/>
          <w:b w:val="0"/>
          <w:bCs w:val="0"/>
          <w:color w:val="auto"/>
          <w:sz w:val="28"/>
          <w:szCs w:val="28"/>
          <w:lang w:val="en-US" w:eastAsia="zh-CN"/>
        </w:rPr>
        <w:t>1</w:t>
      </w:r>
      <w:r>
        <w:rPr>
          <w:rFonts w:hint="eastAsia" w:ascii="黑体" w:hAnsi="黑体" w:eastAsia="黑体" w:cs="黑体"/>
          <w:b w:val="0"/>
          <w:bCs w:val="0"/>
          <w:color w:val="auto"/>
          <w:sz w:val="28"/>
          <w:szCs w:val="28"/>
        </w:rPr>
        <w:t xml:space="preserve">       </w:t>
      </w:r>
      <w:r>
        <w:rPr>
          <w:rFonts w:hint="eastAsia" w:ascii="黑体" w:hAnsi="黑体" w:eastAsia="黑体" w:cs="黑体"/>
          <w:b w:val="0"/>
          <w:bCs w:val="0"/>
          <w:i w:val="0"/>
          <w:color w:val="auto"/>
          <w:kern w:val="0"/>
          <w:sz w:val="28"/>
          <w:szCs w:val="28"/>
          <w:u w:val="single"/>
          <w:lang w:val="en-US" w:eastAsia="zh-CN" w:bidi="ar"/>
        </w:rPr>
        <w:t xml:space="preserve"> xx项目  </w:t>
      </w:r>
      <w:r>
        <w:rPr>
          <w:rFonts w:hint="eastAsia" w:ascii="黑体" w:hAnsi="黑体" w:eastAsia="黑体" w:cs="黑体"/>
          <w:b w:val="0"/>
          <w:bCs w:val="0"/>
          <w:color w:val="auto"/>
          <w:kern w:val="0"/>
          <w:sz w:val="28"/>
          <w:szCs w:val="28"/>
          <w:lang w:val="en-US" w:eastAsia="zh-CN"/>
        </w:rPr>
        <w:t>总投资估算总表</w:t>
      </w:r>
    </w:p>
    <w:tbl>
      <w:tblPr>
        <w:tblStyle w:val="14"/>
        <w:tblW w:w="940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307"/>
        <w:gridCol w:w="907"/>
        <w:gridCol w:w="766"/>
        <w:gridCol w:w="1600"/>
        <w:gridCol w:w="1132"/>
        <w:gridCol w:w="971"/>
        <w:gridCol w:w="9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73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序号</w:t>
            </w:r>
          </w:p>
        </w:tc>
        <w:tc>
          <w:tcPr>
            <w:tcW w:w="2307"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工程和费用名称</w:t>
            </w:r>
          </w:p>
        </w:tc>
        <w:tc>
          <w:tcPr>
            <w:tcW w:w="3273" w:type="dxa"/>
            <w:gridSpan w:val="3"/>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技术经济指标</w:t>
            </w:r>
          </w:p>
        </w:tc>
        <w:tc>
          <w:tcPr>
            <w:tcW w:w="1132"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估算价值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（万元）</w:t>
            </w:r>
          </w:p>
        </w:tc>
        <w:tc>
          <w:tcPr>
            <w:tcW w:w="97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占总投资比例（%）</w:t>
            </w:r>
          </w:p>
        </w:tc>
        <w:tc>
          <w:tcPr>
            <w:tcW w:w="983"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73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2307"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单位</w:t>
            </w: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数量</w:t>
            </w: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单位价值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（万元）</w:t>
            </w:r>
          </w:p>
        </w:tc>
        <w:tc>
          <w:tcPr>
            <w:tcW w:w="1132"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一、</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工程建设费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lang w:val="en-US" w:eastAsia="zh-CN"/>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3</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lang w:val="en-US" w:eastAsia="zh-CN"/>
              </w:rPr>
            </w:pP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23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lang w:val="en-US" w:eastAsia="zh-CN"/>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二、</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工程建设其他费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建设管理费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工程建设监理费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勘察设计费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9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n</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三、</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预备费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基本预备费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涨价预备费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四、</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铺底流动资金</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五、</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建设期利息</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3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六、</w:t>
            </w:r>
          </w:p>
        </w:tc>
        <w:tc>
          <w:tcPr>
            <w:tcW w:w="23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总估算</w:t>
            </w:r>
          </w:p>
        </w:tc>
        <w:tc>
          <w:tcPr>
            <w:tcW w:w="90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left"/>
        <w:textAlignment w:val="bottom"/>
        <w:outlineLvl w:val="1"/>
        <w:rPr>
          <w:rFonts w:hint="eastAsia" w:ascii="楷体_GB2312" w:hAnsi="楷体_GB2312" w:eastAsia="楷体_GB2312" w:cs="楷体_GB2312"/>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left"/>
        <w:textAlignment w:val="bottom"/>
        <w:outlineLvl w:val="1"/>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（二）融资方案</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1、资本金筹措</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说明项目资本金的出资人、出资方式、出资额度及认缴进度，计算占总投资的比例。项目资金一般包括中央财政资金、地方财政资金和单位自筹三部分。</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2、债务资金筹措</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说明项目债务资金的筹集渠道、筹集额度与成本、用途及占建设投资的比例等。</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3、融资方案分析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sectPr>
          <w:footerReference r:id="rId31"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sz w:val="28"/>
          <w:szCs w:val="28"/>
        </w:rPr>
        <w:t>必要时对融资方案进行分析，包括资金结构、融资风险和融资成本等。</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附表</w:t>
      </w:r>
    </w:p>
    <w:p>
      <w:pPr>
        <w:widowControl w:val="0"/>
        <w:ind w:firstLine="0" w:firstLineChars="0"/>
        <w:jc w:val="both"/>
        <w:outlineLvl w:val="1"/>
        <w:rPr>
          <w:rFonts w:hint="eastAsia" w:ascii="楷体" w:hAnsi="楷体" w:eastAsia="宋体" w:cs="楷体"/>
          <w:b/>
          <w:bCs/>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firstLine="720" w:firstLineChars="200"/>
        <w:jc w:val="center"/>
        <w:textAlignment w:val="bottom"/>
        <w:outlineLvl w:val="3"/>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中央预算内投资农业建设项目库储备项目汇总表</w:t>
      </w:r>
    </w:p>
    <w:p>
      <w:pPr>
        <w:keepNext w:val="0"/>
        <w:keepLines w:val="0"/>
        <w:pageBreakBefore w:val="0"/>
        <w:widowControl w:val="0"/>
        <w:kinsoku/>
        <w:wordWrap/>
        <w:overflowPunct/>
        <w:topLinePunct w:val="0"/>
        <w:autoSpaceDE/>
        <w:autoSpaceDN/>
        <w:bidi w:val="0"/>
        <w:adjustRightInd/>
        <w:snapToGrid w:val="0"/>
        <w:spacing w:line="240" w:lineRule="auto"/>
        <w:ind w:firstLine="720" w:firstLineChars="200"/>
        <w:jc w:val="center"/>
        <w:textAlignment w:val="bottom"/>
        <w:outlineLvl w:val="3"/>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（现代种业提升工程项</w:t>
      </w:r>
      <w:r>
        <w:rPr>
          <w:rFonts w:hint="eastAsia" w:ascii="方正小标宋简体" w:hAnsi="方正小标宋简体" w:eastAsia="方正小标宋简体" w:cs="方正小标宋简体"/>
          <w:b/>
          <w:color w:val="auto"/>
          <w:sz w:val="36"/>
          <w:szCs w:val="36"/>
          <w:lang w:val="en-US" w:eastAsia="zh-CN"/>
        </w:rPr>
        <w:t>目）</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hint="eastAsia" w:ascii="黑体" w:hAnsi="黑体" w:eastAsia="黑体" w:cs="黑体"/>
          <w:b w:val="0"/>
          <w:bCs w:val="0"/>
          <w:color w:val="auto"/>
          <w:sz w:val="28"/>
          <w:szCs w:val="28"/>
          <w:lang w:val="en-US" w:eastAsia="zh-CN"/>
        </w:rPr>
      </w:pPr>
    </w:p>
    <w:tbl>
      <w:tblPr>
        <w:tblStyle w:val="14"/>
        <w:tblW w:w="13991" w:type="dxa"/>
        <w:jc w:val="center"/>
        <w:tblLayout w:type="fixed"/>
        <w:tblCellMar>
          <w:top w:w="0" w:type="dxa"/>
          <w:left w:w="0" w:type="dxa"/>
          <w:bottom w:w="0" w:type="dxa"/>
          <w:right w:w="0" w:type="dxa"/>
        </w:tblCellMar>
      </w:tblPr>
      <w:tblGrid>
        <w:gridCol w:w="563"/>
        <w:gridCol w:w="1111"/>
        <w:gridCol w:w="565"/>
        <w:gridCol w:w="565"/>
        <w:gridCol w:w="1715"/>
        <w:gridCol w:w="1494"/>
        <w:gridCol w:w="1152"/>
        <w:gridCol w:w="882"/>
        <w:gridCol w:w="1385"/>
        <w:gridCol w:w="649"/>
        <w:gridCol w:w="990"/>
        <w:gridCol w:w="630"/>
        <w:gridCol w:w="594"/>
        <w:gridCol w:w="576"/>
        <w:gridCol w:w="555"/>
        <w:gridCol w:w="565"/>
      </w:tblGrid>
      <w:tr>
        <w:tblPrEx>
          <w:tblCellMar>
            <w:top w:w="0" w:type="dxa"/>
            <w:left w:w="0" w:type="dxa"/>
            <w:bottom w:w="0" w:type="dxa"/>
            <w:right w:w="0" w:type="dxa"/>
          </w:tblCellMar>
        </w:tblPrEx>
        <w:trPr>
          <w:trHeight w:val="1429"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序号</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申报单位</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项目代码</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项目名称</w:t>
            </w: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项目类型</w:t>
            </w: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建设单位</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建设性质</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建设规模</w:t>
            </w: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建设内容</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建设地点</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拟开工时间</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建设年限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总投资</w:t>
            </w:r>
            <w:r>
              <w:rPr>
                <w:rFonts w:hint="eastAsia" w:ascii="黑体" w:hAnsi="黑体" w:eastAsia="黑体" w:cs="黑体"/>
                <w:i w:val="0"/>
                <w:color w:val="auto"/>
                <w:kern w:val="0"/>
                <w:sz w:val="22"/>
                <w:szCs w:val="22"/>
                <w:u w:val="none"/>
                <w:lang w:val="en-US" w:eastAsia="zh-CN" w:bidi="ar"/>
              </w:rPr>
              <w:br w:type="textWrapping"/>
            </w:r>
            <w:r>
              <w:rPr>
                <w:rFonts w:hint="eastAsia" w:ascii="黑体" w:hAnsi="黑体" w:eastAsia="黑体" w:cs="黑体"/>
                <w:i w:val="0"/>
                <w:color w:val="auto"/>
                <w:kern w:val="0"/>
                <w:sz w:val="22"/>
                <w:szCs w:val="22"/>
                <w:u w:val="none"/>
                <w:lang w:val="en-US" w:eastAsia="zh-CN" w:bidi="ar"/>
              </w:rPr>
              <w:t>（万元）</w:t>
            </w: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财政资金（万元）</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自筹资金（万元）</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1079"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xx县xx镇xx村</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改建/新建/扩建</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xx县xx镇xx村</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hint="eastAsia" w:ascii="仿宋_GB2312" w:hAnsi="仿宋_GB2312" w:eastAsia="仿宋_GB2312" w:cs="仿宋_GB2312"/>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both"/>
        <w:textAlignment w:val="bottom"/>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附件：</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附件1.</w:t>
      </w:r>
      <w:r>
        <w:rPr>
          <w:rFonts w:hint="eastAsia" w:ascii="仿宋_GB2312" w:hAnsi="仿宋_GB2312" w:eastAsia="仿宋_GB2312" w:cs="仿宋_GB2312"/>
          <w:b w:val="0"/>
          <w:bCs/>
          <w:color w:val="auto"/>
          <w:sz w:val="28"/>
          <w:szCs w:val="28"/>
          <w:lang w:val="en-US" w:eastAsia="zh-CN"/>
        </w:rPr>
        <w:t>项目单位营业执照副本复印件</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附件</w:t>
      </w: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项目单位近两年财务审计报表</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附件</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企业信用等级证明和荣誉证书</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附件</w:t>
      </w:r>
      <w:r>
        <w:rPr>
          <w:rFonts w:hint="eastAsia" w:ascii="仿宋_GB2312" w:hAnsi="仿宋_GB2312" w:eastAsia="仿宋_GB2312" w:cs="仿宋_GB2312"/>
          <w:b w:val="0"/>
          <w:bCs/>
          <w:color w:val="auto"/>
          <w:sz w:val="28"/>
          <w:szCs w:val="28"/>
          <w:lang w:val="en-US" w:eastAsia="zh-CN"/>
        </w:rPr>
        <w:t>4</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新技术，新工艺等科技证明材料</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附件</w:t>
      </w:r>
      <w:r>
        <w:rPr>
          <w:rFonts w:hint="eastAsia" w:ascii="仿宋_GB2312" w:hAnsi="仿宋_GB2312" w:eastAsia="仿宋_GB2312" w:cs="仿宋_GB2312"/>
          <w:b w:val="0"/>
          <w:bCs/>
          <w:color w:val="auto"/>
          <w:sz w:val="28"/>
          <w:szCs w:val="28"/>
          <w:lang w:val="en-US" w:eastAsia="zh-CN"/>
        </w:rPr>
        <w:t>5</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建筑工程土地使用证明材料</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附件</w:t>
      </w:r>
      <w:r>
        <w:rPr>
          <w:rFonts w:hint="eastAsia" w:ascii="仿宋_GB2312" w:hAnsi="仿宋_GB2312" w:eastAsia="仿宋_GB2312" w:cs="仿宋_GB2312"/>
          <w:b w:val="0"/>
          <w:bCs/>
          <w:color w:val="auto"/>
          <w:sz w:val="28"/>
          <w:szCs w:val="28"/>
          <w:lang w:val="en-US" w:eastAsia="zh-CN"/>
        </w:rPr>
        <w:t>6</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其他证明材料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both"/>
        <w:textAlignment w:val="bottom"/>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附图：</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1.地理位置示意图</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val="en-US" w:eastAsia="zh-CN"/>
        </w:rPr>
        <w:t>工程</w:t>
      </w:r>
      <w:r>
        <w:rPr>
          <w:rFonts w:hint="eastAsia" w:ascii="仿宋_GB2312" w:hAnsi="仿宋_GB2312" w:eastAsia="仿宋_GB2312" w:cs="仿宋_GB2312"/>
          <w:b w:val="0"/>
          <w:bCs/>
          <w:color w:val="auto"/>
          <w:sz w:val="28"/>
          <w:szCs w:val="28"/>
        </w:rPr>
        <w:t>总平面布置图</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.其它附图</w:t>
      </w:r>
    </w:p>
    <w:p>
      <w:pPr>
        <w:ind w:left="0" w:leftChars="0" w:firstLine="0" w:firstLineChars="0"/>
        <w:rPr>
          <w:rFonts w:hint="default"/>
          <w:lang w:val="en-US" w:eastAsia="zh-CN"/>
        </w:rPr>
      </w:pPr>
      <w:r>
        <w:rPr>
          <w:rFonts w:hint="default"/>
          <w:lang w:val="en-US" w:eastAsia="zh-CN"/>
        </w:rPr>
        <w:br w:type="page"/>
      </w:r>
      <w:r>
        <w:rPr>
          <w:rStyle w:val="17"/>
          <w:rFonts w:hint="eastAsia" w:cs="Times New Roman"/>
          <w:lang w:val="en-US" w:eastAsia="zh-CN"/>
        </w:rPr>
        <w:t>附件6-3</w:t>
      </w:r>
    </w:p>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广东省农业监测和检测项目</w:t>
      </w: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申报书模板</w:t>
      </w:r>
    </w:p>
    <w:p>
      <w:pPr>
        <w:keepNext w:val="0"/>
        <w:keepLines w:val="0"/>
        <w:pageBreakBefore w:val="0"/>
        <w:kinsoku/>
        <w:wordWrap/>
        <w:topLinePunct w:val="0"/>
        <w:bidi w:val="0"/>
        <w:adjustRightInd w:val="0"/>
        <w:snapToGrid w:val="0"/>
        <w:spacing w:line="420" w:lineRule="exact"/>
        <w:ind w:firstLine="0"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widowControl w:val="0"/>
        <w:ind w:firstLine="0" w:firstLineChars="0"/>
        <w:jc w:val="both"/>
        <w:outlineLvl w:val="1"/>
        <w:rPr>
          <w:rFonts w:ascii="楷体" w:hAnsi="楷体" w:eastAsia="宋体" w:cs="楷体"/>
          <w:b/>
          <w:bCs/>
          <w:kern w:val="2"/>
          <w:sz w:val="30"/>
          <w:szCs w:val="30"/>
          <w:lang w:val="en-US" w:eastAsia="zh-CN" w:bidi="ar-SA"/>
        </w:rPr>
      </w:pPr>
    </w:p>
    <w:tbl>
      <w:tblPr>
        <w:tblStyle w:val="14"/>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项</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目</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名</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jc w:val="left"/>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项目</w:t>
            </w:r>
            <w:r>
              <w:rPr>
                <w:rFonts w:hint="eastAsia" w:ascii="黑体" w:hAnsi="Times New Roman" w:eastAsia="黑体" w:cs="Times New Roman"/>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rPr>
                <w:rFonts w:ascii="黑体" w:hAnsi="宋体" w:eastAsia="黑体" w:cs="Times New Roman"/>
                <w:color w:val="auto"/>
                <w:sz w:val="28"/>
                <w:szCs w:val="28"/>
              </w:rPr>
            </w:pPr>
          </w:p>
        </w:tc>
      </w:tr>
      <w:tr>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主 管 单 位</w:t>
            </w:r>
            <w:r>
              <w:rPr>
                <w:rFonts w:hint="eastAsia" w:ascii="黑体" w:hAnsi="Times New Roman" w:eastAsia="黑体" w:cs="Times New Roman"/>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日 期：</w:t>
            </w:r>
          </w:p>
        </w:tc>
        <w:tc>
          <w:tcPr>
            <w:tcW w:w="5840" w:type="dxa"/>
            <w:vAlign w:val="center"/>
          </w:tcPr>
          <w:p>
            <w:pPr>
              <w:keepNext w:val="0"/>
              <w:keepLines w:val="0"/>
              <w:pageBreakBefore w:val="0"/>
              <w:kinsoku/>
              <w:wordWrap/>
              <w:topLinePunct w:val="0"/>
              <w:bidi w:val="0"/>
              <w:adjustRightInd w:val="0"/>
              <w:snapToGrid w:val="0"/>
              <w:spacing w:line="420" w:lineRule="exact"/>
              <w:ind w:firstLine="616" w:firstLineChars="0"/>
              <w:rPr>
                <w:rFonts w:ascii="Times New Roman" w:hAnsi="Times New Roman" w:eastAsia="宋体" w:cs="Times New Roman"/>
                <w:color w:val="auto"/>
                <w:sz w:val="21"/>
                <w:szCs w:val="22"/>
              </w:rPr>
            </w:pPr>
            <w:r>
              <w:rPr>
                <w:rFonts w:hint="eastAsia" w:ascii="Times New Roman" w:hAnsi="Times New Roman" w:eastAsia="宋体" w:cs="Times New Roman"/>
                <w:color w:val="auto"/>
                <w:sz w:val="24"/>
                <w:szCs w:val="32"/>
              </w:rPr>
              <w:t xml:space="preserve">  </w:t>
            </w:r>
            <w:r>
              <w:rPr>
                <w:rFonts w:ascii="Times New Roman" w:hAnsi="Times New Roman" w:eastAsia="宋体" w:cs="Times New Roman"/>
                <w:color w:val="auto"/>
                <w:sz w:val="24"/>
                <w:szCs w:val="32"/>
              </w:rPr>
              <w:t xml:space="preserve">  </w:t>
            </w:r>
            <w:r>
              <w:rPr>
                <w:rFonts w:hint="eastAsia" w:ascii="Times New Roman" w:hAnsi="Times New Roman" w:eastAsia="宋体" w:cs="Times New Roman"/>
                <w:color w:val="auto"/>
                <w:sz w:val="24"/>
                <w:szCs w:val="32"/>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hint="eastAsia" w:ascii="黑体" w:hAnsi="Times New Roman" w:eastAsia="黑体" w:cs="Times New Roman"/>
                <w:color w:val="auto"/>
                <w:sz w:val="28"/>
                <w:szCs w:val="28"/>
              </w:rPr>
            </w:pP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616" w:firstLineChars="0"/>
              <w:rPr>
                <w:rFonts w:hint="eastAsia" w:ascii="Times New Roman" w:hAnsi="Times New Roman" w:eastAsia="宋体" w:cs="Times New Roman"/>
                <w:color w:val="auto"/>
                <w:sz w:val="24"/>
                <w:szCs w:val="32"/>
              </w:rPr>
            </w:pPr>
          </w:p>
        </w:tc>
      </w:tr>
    </w:tbl>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widowControl w:val="0"/>
        <w:kinsoku/>
        <w:wordWrap/>
        <w:topLinePunct w:val="0"/>
        <w:bidi w:val="0"/>
        <w:adjustRightInd w:val="0"/>
        <w:snapToGrid w:val="0"/>
        <w:spacing w:line="420" w:lineRule="exact"/>
        <w:ind w:firstLine="0" w:firstLineChars="0"/>
        <w:jc w:val="both"/>
        <w:outlineLvl w:val="1"/>
        <w:rPr>
          <w:rFonts w:ascii="宋体" w:hAnsi="宋体" w:eastAsia="宋体" w:cs="楷体"/>
          <w:b/>
          <w:bCs/>
          <w:color w:val="auto"/>
          <w:kern w:val="2"/>
          <w:sz w:val="28"/>
          <w:szCs w:val="28"/>
          <w:lang w:val="en-US" w:eastAsia="zh-CN" w:bidi="ar-SA"/>
        </w:rPr>
      </w:pPr>
    </w:p>
    <w:p>
      <w:pPr>
        <w:keepNext w:val="0"/>
        <w:keepLines w:val="0"/>
        <w:pageBreakBefore w:val="0"/>
        <w:kinsoku/>
        <w:wordWrap/>
        <w:topLinePunct w:val="0"/>
        <w:bidi w:val="0"/>
        <w:adjustRightInd w:val="0"/>
        <w:snapToGrid w:val="0"/>
        <w:spacing w:line="420" w:lineRule="exact"/>
        <w:ind w:firstLine="0" w:firstLineChars="0"/>
        <w:rPr>
          <w:rFonts w:ascii="宋体" w:hAnsi="宋体" w:eastAsia="宋体" w:cs="Times New Roman"/>
          <w:color w:val="auto"/>
          <w:sz w:val="28"/>
          <w:szCs w:val="28"/>
        </w:rPr>
      </w:pPr>
    </w:p>
    <w:p>
      <w:pPr>
        <w:keepNext w:val="0"/>
        <w:keepLines w:val="0"/>
        <w:pageBreakBefore w:val="0"/>
        <w:widowControl w:val="0"/>
        <w:kinsoku/>
        <w:wordWrap/>
        <w:topLinePunct w:val="0"/>
        <w:bidi w:val="0"/>
        <w:adjustRightInd w:val="0"/>
        <w:snapToGrid w:val="0"/>
        <w:spacing w:line="420" w:lineRule="exact"/>
        <w:ind w:firstLine="0" w:firstLineChars="0"/>
        <w:jc w:val="both"/>
        <w:outlineLvl w:val="1"/>
        <w:rPr>
          <w:rFonts w:ascii="楷体" w:hAnsi="楷体" w:eastAsia="宋体" w:cs="楷体"/>
          <w:b/>
          <w:bCs/>
          <w:color w:val="auto"/>
          <w:kern w:val="2"/>
          <w:sz w:val="30"/>
          <w:szCs w:val="30"/>
          <w:lang w:val="en-US" w:eastAsia="zh-CN" w:bidi="ar-SA"/>
        </w:rPr>
      </w:pPr>
    </w:p>
    <w:p>
      <w:pPr>
        <w:adjustRightInd/>
        <w:snapToGrid/>
        <w:spacing w:line="240" w:lineRule="auto"/>
        <w:ind w:firstLine="0" w:firstLineChars="0"/>
        <w:rPr>
          <w:rFonts w:ascii="Times New Roman" w:hAnsi="Times New Roman" w:eastAsia="宋体" w:cs="Times New Roman"/>
          <w:color w:val="auto"/>
          <w:sz w:val="21"/>
          <w:szCs w:val="22"/>
        </w:rPr>
      </w:pPr>
    </w:p>
    <w:p>
      <w:pPr>
        <w:adjustRightInd/>
        <w:snapToGrid/>
        <w:spacing w:line="240" w:lineRule="auto"/>
        <w:ind w:firstLine="0" w:firstLineChars="0"/>
        <w:rPr>
          <w:rFonts w:ascii="Times New Roman" w:hAnsi="Times New Roman" w:eastAsia="宋体" w:cs="Times New Roman"/>
          <w:sz w:val="21"/>
          <w:szCs w:val="22"/>
        </w:rPr>
      </w:pPr>
    </w:p>
    <w:p>
      <w:pPr>
        <w:keepNext w:val="0"/>
        <w:keepLines w:val="0"/>
        <w:pageBreakBefore w:val="0"/>
        <w:kinsoku/>
        <w:wordWrap/>
        <w:topLinePunct w:val="0"/>
        <w:bidi w:val="0"/>
        <w:adjustRightInd w:val="0"/>
        <w:snapToGrid w:val="0"/>
        <w:spacing w:line="420" w:lineRule="exact"/>
        <w:ind w:firstLine="0" w:firstLine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kinsoku/>
        <w:wordWrap/>
        <w:topLinePunct w:val="0"/>
        <w:bidi w:val="0"/>
        <w:adjustRightInd w:val="0"/>
        <w:snapToGrid w:val="0"/>
        <w:spacing w:line="420" w:lineRule="exact"/>
        <w:ind w:firstLine="0" w:firstLineChars="0"/>
        <w:jc w:val="center"/>
        <w:rPr>
          <w:rFonts w:hint="eastAsia" w:ascii="楷体_GB2312" w:hAnsi="楷体_GB2312" w:eastAsia="楷体_GB2312" w:cs="楷体_GB2312"/>
          <w:b/>
          <w:bCs w:val="0"/>
          <w:color w:val="auto"/>
          <w:sz w:val="40"/>
          <w:szCs w:val="40"/>
        </w:rPr>
      </w:pPr>
      <w:r>
        <w:rPr>
          <w:rFonts w:hint="eastAsia" w:ascii="楷体_GB2312" w:hAnsi="楷体_GB2312" w:eastAsia="楷体_GB2312" w:cs="楷体_GB2312"/>
          <w:b/>
          <w:bCs w:val="0"/>
          <w:color w:val="auto"/>
          <w:sz w:val="32"/>
          <w:szCs w:val="32"/>
        </w:rPr>
        <w:t>二Ο二   年   月</w:t>
      </w:r>
    </w:p>
    <w:p>
      <w:pPr>
        <w:keepNext w:val="0"/>
        <w:keepLines w:val="0"/>
        <w:pageBreakBefore w:val="0"/>
        <w:kinsoku/>
        <w:wordWrap/>
        <w:topLinePunct w:val="0"/>
        <w:bidi w:val="0"/>
        <w:adjustRightInd w:val="0"/>
        <w:snapToGrid w:val="0"/>
        <w:spacing w:line="420" w:lineRule="exact"/>
        <w:jc w:val="both"/>
        <w:rPr>
          <w:rFonts w:hint="eastAsia" w:ascii="楷体_GB2312" w:hAnsi="楷体_GB2312" w:eastAsia="楷体_GB2312" w:cs="楷体_GB2312"/>
          <w:b/>
          <w:bCs w:val="0"/>
          <w:color w:val="auto"/>
          <w:sz w:val="40"/>
          <w:szCs w:val="40"/>
        </w:rPr>
        <w:sectPr>
          <w:footerReference r:id="rId32"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339"/>
          <w:cols w:space="0" w:num="1"/>
          <w:rtlGutter w:val="0"/>
          <w:docGrid w:type="lines" w:linePitch="595" w:charSpace="0"/>
        </w:sectPr>
      </w:pPr>
    </w:p>
    <w:p>
      <w:pPr>
        <w:adjustRightInd/>
        <w:snapToGrid w:val="0"/>
        <w:spacing w:line="288" w:lineRule="auto"/>
        <w:ind w:firstLine="536" w:firstLineChars="0"/>
        <w:rPr>
          <w:rFonts w:ascii="Times New Roman" w:hAnsi="Times New Roman" w:eastAsia="宋体" w:cs="Times New Roman"/>
          <w:sz w:val="28"/>
          <w:szCs w:val="28"/>
        </w:rPr>
      </w:pPr>
    </w:p>
    <w:p>
      <w:pPr>
        <w:adjustRightInd w:val="0"/>
        <w:snapToGrid w:val="0"/>
        <w:spacing w:line="590" w:lineRule="exact"/>
        <w:ind w:firstLine="538" w:firstLineChars="200"/>
        <w:rPr>
          <w:rFonts w:hint="eastAsia" w:ascii="黑体" w:hAnsi="黑体" w:eastAsia="黑体" w:cs="黑体"/>
          <w:bCs/>
          <w:kern w:val="0"/>
          <w:sz w:val="28"/>
          <w:szCs w:val="28"/>
        </w:rPr>
      </w:pPr>
      <w:r>
        <w:rPr>
          <w:rFonts w:hint="eastAsia" w:ascii="黑体" w:hAnsi="黑体" w:eastAsia="黑体" w:cs="黑体"/>
          <w:bCs/>
          <w:kern w:val="0"/>
          <w:sz w:val="28"/>
          <w:szCs w:val="28"/>
        </w:rPr>
        <w:t>一、项目单位概况</w:t>
      </w:r>
    </w:p>
    <w:p>
      <w:pPr>
        <w:adjustRightInd/>
        <w:snapToGrid/>
        <w:spacing w:line="360" w:lineRule="auto"/>
        <w:ind w:firstLine="538"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包含单位性质、隶属关系、相关职能业务范围；</w:t>
      </w:r>
    </w:p>
    <w:p>
      <w:pPr>
        <w:adjustRightInd/>
        <w:snapToGrid/>
        <w:spacing w:line="360" w:lineRule="auto"/>
        <w:ind w:firstLine="538"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人员状况，包括</w:t>
      </w: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和子</w:t>
      </w: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的负责人及骨干人员情况和职责,人员情况应增加列表说明;</w:t>
      </w:r>
    </w:p>
    <w:p>
      <w:pPr>
        <w:adjustRightInd/>
        <w:snapToGrid/>
        <w:spacing w:line="360" w:lineRule="auto"/>
        <w:ind w:firstLine="538"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从事过的相关研究和承担的同类项目经验、发明专利及获奖其概况，在国内外主要刊物上发表的与本项目相关的研究成果情况。</w:t>
      </w:r>
    </w:p>
    <w:p>
      <w:pPr>
        <w:keepNext w:val="0"/>
        <w:keepLines w:val="0"/>
        <w:pageBreakBefore w:val="0"/>
        <w:widowControl w:val="0"/>
        <w:kinsoku/>
        <w:wordWrap/>
        <w:overflowPunct/>
        <w:topLinePunct w:val="0"/>
        <w:autoSpaceDE/>
        <w:autoSpaceDN/>
        <w:bidi w:val="0"/>
        <w:adjustRightInd w:val="0"/>
        <w:snapToGrid w:val="0"/>
        <w:spacing w:line="240" w:lineRule="auto"/>
        <w:ind w:firstLine="618" w:firstLineChars="0"/>
        <w:jc w:val="center"/>
        <w:textAlignment w:val="auto"/>
        <w:rPr>
          <w:rFonts w:ascii="Times New Roman" w:hAnsi="Times New Roman" w:eastAsia="黑体" w:cs="Times New Roman"/>
          <w:sz w:val="28"/>
          <w:szCs w:val="22"/>
        </w:rPr>
      </w:pPr>
      <w:r>
        <w:rPr>
          <w:rFonts w:hint="eastAsia" w:ascii="Times New Roman" w:hAnsi="Times New Roman" w:eastAsia="黑体" w:cs="Times New Roman"/>
          <w:bCs/>
          <w:sz w:val="28"/>
          <w:szCs w:val="22"/>
        </w:rPr>
        <w:br w:type="page"/>
      </w:r>
      <w:r>
        <w:rPr>
          <w:rFonts w:hint="eastAsia" w:ascii="方正小标宋简体" w:hAnsi="方正小标宋简体" w:eastAsia="方正小标宋简体" w:cs="方正小标宋简体"/>
          <w:bCs/>
          <w:sz w:val="32"/>
          <w:szCs w:val="32"/>
        </w:rPr>
        <w:t>项目</w:t>
      </w:r>
      <w:r>
        <w:rPr>
          <w:rFonts w:hint="eastAsia" w:ascii="方正小标宋简体" w:hAnsi="方正小标宋简体" w:eastAsia="方正小标宋简体" w:cs="方正小标宋简体"/>
          <w:sz w:val="32"/>
          <w:szCs w:val="32"/>
        </w:rPr>
        <w:t>牵头承担单位基本情况表</w:t>
      </w:r>
    </w:p>
    <w:tbl>
      <w:tblPr>
        <w:tblStyle w:val="1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vAlign w:val="center"/>
          </w:tcPr>
          <w:p>
            <w:pPr>
              <w:autoSpaceDE w:val="0"/>
              <w:autoSpaceDN w:val="0"/>
              <w:adjustRightInd w:val="0"/>
              <w:snapToGrid w:val="0"/>
              <w:spacing w:line="276" w:lineRule="auto"/>
              <w:ind w:left="1316" w:hanging="1323" w:hangingChars="70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 xml:space="preserve">填表说明：1. </w:t>
            </w:r>
            <w:r>
              <w:rPr>
                <w:rFonts w:hint="eastAsia" w:ascii="Times New Roman" w:hAnsi="Times New Roman" w:eastAsia="宋体" w:cs="Times New Roman"/>
                <w:color w:val="000000"/>
                <w:sz w:val="20"/>
                <w:szCs w:val="22"/>
              </w:rPr>
              <w:t>组织机构代码指企事业单位国家标准代码，</w:t>
            </w:r>
            <w:r>
              <w:rPr>
                <w:rFonts w:hint="eastAsia" w:ascii="Times New Roman" w:hAnsi="Times New Roman" w:eastAsia="宋体" w:cs="Times New Roman"/>
                <w:color w:val="000000"/>
                <w:sz w:val="20"/>
                <w:szCs w:val="20"/>
              </w:rPr>
              <w:t>单位若已三证合一请填写单位社会信用代码,</w:t>
            </w:r>
            <w:r>
              <w:rPr>
                <w:rFonts w:hint="eastAsia" w:ascii="Times New Roman" w:hAnsi="Times New Roman" w:eastAsia="宋体" w:cs="Times New Roman"/>
                <w:color w:val="000000"/>
                <w:sz w:val="20"/>
                <w:szCs w:val="22"/>
              </w:rPr>
              <w:t xml:space="preserve">            无组织机构代码的单位填写“000000000”</w:t>
            </w:r>
            <w:r>
              <w:rPr>
                <w:rFonts w:hint="eastAsia" w:ascii="Times New Roman" w:hAnsi="Times New Roman" w:eastAsia="宋体" w:cs="Times New Roman"/>
                <w:color w:val="000000"/>
                <w:sz w:val="20"/>
                <w:szCs w:val="20"/>
              </w:rPr>
              <w:t xml:space="preserve">； </w:t>
            </w:r>
          </w:p>
          <w:p>
            <w:pPr>
              <w:autoSpaceDE w:val="0"/>
              <w:autoSpaceDN w:val="0"/>
              <w:adjustRightInd w:val="0"/>
              <w:snapToGrid w:val="0"/>
              <w:spacing w:line="276" w:lineRule="auto"/>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 xml:space="preserve">          2. 单位公章名称必须与单位名称一致；</w:t>
            </w:r>
          </w:p>
          <w:p>
            <w:pPr>
              <w:autoSpaceDE w:val="0"/>
              <w:autoSpaceDN w:val="0"/>
              <w:adjustRightInd w:val="0"/>
              <w:snapToGrid w:val="0"/>
              <w:spacing w:line="276" w:lineRule="auto"/>
              <w:ind w:firstLine="0" w:firstLineChars="0"/>
              <w:rPr>
                <w:rFonts w:ascii="Times New Roman" w:hAnsi="Times New Roman" w:eastAsia="楷体_GB2312" w:cs="Times New Roman"/>
                <w:color w:val="000000"/>
                <w:sz w:val="20"/>
                <w:szCs w:val="20"/>
              </w:rPr>
            </w:pPr>
            <w:r>
              <w:rPr>
                <w:rFonts w:hint="eastAsia" w:ascii="Times New Roman" w:hAnsi="Times New Roman" w:eastAsia="宋体" w:cs="Times New Roman"/>
                <w:color w:val="000000"/>
                <w:sz w:val="20"/>
                <w:szCs w:val="20"/>
              </w:rPr>
              <w:t xml:space="preserve">          3. 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项目牵头承担单位</w:t>
            </w: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单位名称</w:t>
            </w:r>
          </w:p>
        </w:tc>
        <w:tc>
          <w:tcPr>
            <w:tcW w:w="6413" w:type="dxa"/>
            <w:gridSpan w:val="8"/>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单位类别</w:t>
            </w:r>
          </w:p>
        </w:tc>
        <w:tc>
          <w:tcPr>
            <w:tcW w:w="6413" w:type="dxa"/>
            <w:gridSpan w:val="8"/>
            <w:vAlign w:val="center"/>
          </w:tcPr>
          <w:p>
            <w:pPr>
              <w:tabs>
                <w:tab w:val="left" w:pos="360"/>
              </w:tabs>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单位主管部门</w:t>
            </w:r>
          </w:p>
        </w:tc>
        <w:tc>
          <w:tcPr>
            <w:tcW w:w="3964" w:type="dxa"/>
            <w:gridSpan w:val="4"/>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134" w:type="dxa"/>
            <w:gridSpan w:val="3"/>
            <w:vAlign w:val="center"/>
          </w:tcPr>
          <w:p>
            <w:pPr>
              <w:autoSpaceDE w:val="0"/>
              <w:autoSpaceDN w:val="0"/>
              <w:adjustRightInd w:val="0"/>
              <w:snapToGrid w:val="0"/>
              <w:spacing w:line="276" w:lineRule="auto"/>
              <w:ind w:firstLine="0" w:firstLineChars="0"/>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隶属关系</w:t>
            </w:r>
          </w:p>
        </w:tc>
        <w:tc>
          <w:tcPr>
            <w:tcW w:w="1315" w:type="dxa"/>
            <w:vAlign w:val="center"/>
          </w:tcPr>
          <w:p>
            <w:pPr>
              <w:autoSpaceDE w:val="0"/>
              <w:autoSpaceDN w:val="0"/>
              <w:adjustRightInd w:val="0"/>
              <w:snapToGrid w:val="0"/>
              <w:spacing w:line="276" w:lineRule="auto"/>
              <w:ind w:firstLine="0" w:firstLineChars="0"/>
              <w:jc w:val="center"/>
              <w:rPr>
                <w:rFonts w:ascii="Times New Roman" w:hAnsi="Times New Roman" w:eastAsia="宋体" w:cs="Arial"/>
                <w:color w:val="000000"/>
                <w:kern w:val="0"/>
                <w:sz w:val="20"/>
                <w:szCs w:val="20"/>
              </w:rPr>
            </w:pPr>
            <w:r>
              <w:rPr>
                <w:rFonts w:hint="eastAsia" w:ascii="Times New Roman" w:hAnsi="Times New Roman" w:eastAsia="宋体" w:cs="Arial"/>
                <w:color w:val="000000"/>
                <w:kern w:val="0"/>
                <w:sz w:val="20"/>
                <w:szCs w:val="20"/>
              </w:rPr>
              <w:t>中央</w:t>
            </w:r>
            <w:r>
              <w:rPr>
                <w:rFonts w:ascii="Times New Roman" w:hAnsi="Times New Roman" w:eastAsia="宋体" w:cs="Arial"/>
                <w:color w:val="000000"/>
                <w:kern w:val="0"/>
                <w:sz w:val="20"/>
                <w:szCs w:val="20"/>
              </w:rPr>
              <w:t>/</w:t>
            </w:r>
            <w:r>
              <w:rPr>
                <w:rFonts w:hint="eastAsia" w:ascii="Times New Roman" w:hAnsi="Times New Roman" w:eastAsia="宋体" w:cs="Arial"/>
                <w:color w:val="000000"/>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单位组织机构代码</w:t>
            </w:r>
          </w:p>
        </w:tc>
        <w:tc>
          <w:tcPr>
            <w:tcW w:w="6413" w:type="dxa"/>
            <w:gridSpan w:val="8"/>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单位法定代表人姓名</w:t>
            </w:r>
          </w:p>
        </w:tc>
        <w:tc>
          <w:tcPr>
            <w:tcW w:w="6413" w:type="dxa"/>
            <w:gridSpan w:val="8"/>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单位开户名称</w:t>
            </w:r>
          </w:p>
        </w:tc>
        <w:tc>
          <w:tcPr>
            <w:tcW w:w="6413" w:type="dxa"/>
            <w:gridSpan w:val="8"/>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开户银行（全称）</w:t>
            </w:r>
          </w:p>
        </w:tc>
        <w:tc>
          <w:tcPr>
            <w:tcW w:w="2158"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2116"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汇入地点</w:t>
            </w:r>
          </w:p>
        </w:tc>
        <w:tc>
          <w:tcPr>
            <w:tcW w:w="2139"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银行账号</w:t>
            </w:r>
          </w:p>
        </w:tc>
        <w:tc>
          <w:tcPr>
            <w:tcW w:w="2158"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2116"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银行机构代码</w:t>
            </w:r>
          </w:p>
        </w:tc>
        <w:tc>
          <w:tcPr>
            <w:tcW w:w="2139"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单位所属地区</w:t>
            </w:r>
          </w:p>
        </w:tc>
        <w:tc>
          <w:tcPr>
            <w:tcW w:w="2158" w:type="dxa"/>
            <w:gridSpan w:val="2"/>
            <w:vAlign w:val="center"/>
          </w:tcPr>
          <w:p>
            <w:pPr>
              <w:autoSpaceDE w:val="0"/>
              <w:autoSpaceDN w:val="0"/>
              <w:adjustRightInd w:val="0"/>
              <w:snapToGrid w:val="0"/>
              <w:spacing w:line="276" w:lineRule="auto"/>
              <w:ind w:firstLine="0" w:firstLineChars="0"/>
              <w:jc w:val="center"/>
              <w:rPr>
                <w:rFonts w:ascii="Times New Roman" w:hAnsi="Times New Roman" w:eastAsia="宋体" w:cs="Times New Roman"/>
                <w:sz w:val="20"/>
                <w:szCs w:val="22"/>
              </w:rPr>
            </w:pPr>
            <w:r>
              <w:rPr>
                <w:rFonts w:hint="eastAsia" w:ascii="Times New Roman" w:hAnsi="Times New Roman" w:eastAsia="宋体" w:cs="Times New Roman"/>
                <w:sz w:val="20"/>
                <w:szCs w:val="22"/>
              </w:rPr>
              <w:t>省</w:t>
            </w:r>
          </w:p>
        </w:tc>
        <w:tc>
          <w:tcPr>
            <w:tcW w:w="1806" w:type="dxa"/>
            <w:gridSpan w:val="2"/>
            <w:vAlign w:val="center"/>
          </w:tcPr>
          <w:p>
            <w:pPr>
              <w:adjustRightInd w:val="0"/>
              <w:snapToGrid w:val="0"/>
              <w:spacing w:line="276" w:lineRule="auto"/>
              <w:ind w:firstLine="0" w:firstLineChars="0"/>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地市</w:t>
            </w:r>
          </w:p>
        </w:tc>
        <w:tc>
          <w:tcPr>
            <w:tcW w:w="2449" w:type="dxa"/>
            <w:gridSpan w:val="4"/>
            <w:vAlign w:val="center"/>
          </w:tcPr>
          <w:p>
            <w:pPr>
              <w:adjustRightInd w:val="0"/>
              <w:snapToGrid w:val="0"/>
              <w:spacing w:line="276" w:lineRule="auto"/>
              <w:ind w:firstLine="0" w:firstLineChars="0"/>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电子邮箱</w:t>
            </w:r>
          </w:p>
        </w:tc>
        <w:tc>
          <w:tcPr>
            <w:tcW w:w="6413" w:type="dxa"/>
            <w:gridSpan w:val="8"/>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通信地址</w:t>
            </w:r>
          </w:p>
        </w:tc>
        <w:tc>
          <w:tcPr>
            <w:tcW w:w="6413" w:type="dxa"/>
            <w:gridSpan w:val="8"/>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邮政编码</w:t>
            </w:r>
          </w:p>
        </w:tc>
        <w:tc>
          <w:tcPr>
            <w:tcW w:w="6413" w:type="dxa"/>
            <w:gridSpan w:val="8"/>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相关责任人</w:t>
            </w:r>
          </w:p>
        </w:tc>
        <w:tc>
          <w:tcPr>
            <w:tcW w:w="2129" w:type="dxa"/>
            <w:vMerge w:val="restart"/>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项目负责人</w:t>
            </w: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姓名</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身份证号码</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工作单位</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电话号码</w:t>
            </w:r>
          </w:p>
        </w:tc>
        <w:tc>
          <w:tcPr>
            <w:tcW w:w="1775"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467"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手机号码</w:t>
            </w:r>
          </w:p>
        </w:tc>
        <w:tc>
          <w:tcPr>
            <w:tcW w:w="1830"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电子邮箱</w:t>
            </w:r>
          </w:p>
        </w:tc>
        <w:tc>
          <w:tcPr>
            <w:tcW w:w="1775"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467"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邮政编码</w:t>
            </w:r>
          </w:p>
        </w:tc>
        <w:tc>
          <w:tcPr>
            <w:tcW w:w="1830"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通信地址</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restart"/>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项目联系人</w:t>
            </w: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姓名</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电话号码</w:t>
            </w:r>
          </w:p>
        </w:tc>
        <w:tc>
          <w:tcPr>
            <w:tcW w:w="1775"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467"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手机号码</w:t>
            </w:r>
          </w:p>
        </w:tc>
        <w:tc>
          <w:tcPr>
            <w:tcW w:w="1830"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传真号码</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电子邮箱</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p>
        </w:tc>
        <w:tc>
          <w:tcPr>
            <w:tcW w:w="2129" w:type="dxa"/>
            <w:vMerge w:val="restart"/>
            <w:vAlign w:val="center"/>
          </w:tcPr>
          <w:p>
            <w:pPr>
              <w:autoSpaceDE w:val="0"/>
              <w:autoSpaceDN w:val="0"/>
              <w:adjustRightInd w:val="0"/>
              <w:snapToGrid w:val="0"/>
              <w:spacing w:line="276"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财务负责人</w:t>
            </w: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姓名</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身份证号码</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电话号码</w:t>
            </w:r>
          </w:p>
        </w:tc>
        <w:tc>
          <w:tcPr>
            <w:tcW w:w="1775"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467" w:type="dxa"/>
            <w:gridSpan w:val="3"/>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手机号码</w:t>
            </w:r>
          </w:p>
        </w:tc>
        <w:tc>
          <w:tcPr>
            <w:tcW w:w="1830" w:type="dxa"/>
            <w:gridSpan w:val="2"/>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2129" w:type="dxa"/>
            <w:vMerge w:val="continue"/>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c>
          <w:tcPr>
            <w:tcW w:w="1341" w:type="dxa"/>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电子邮箱</w:t>
            </w:r>
          </w:p>
        </w:tc>
        <w:tc>
          <w:tcPr>
            <w:tcW w:w="5072" w:type="dxa"/>
            <w:gridSpan w:val="7"/>
            <w:vAlign w:val="center"/>
          </w:tcPr>
          <w:p>
            <w:pPr>
              <w:autoSpaceDE w:val="0"/>
              <w:autoSpaceDN w:val="0"/>
              <w:adjustRightInd w:val="0"/>
              <w:snapToGrid w:val="0"/>
              <w:spacing w:line="276" w:lineRule="auto"/>
              <w:ind w:firstLine="0" w:firstLineChars="0"/>
              <w:rPr>
                <w:rFonts w:ascii="Times New Roman" w:hAnsi="Times New Roman" w:eastAsia="宋体" w:cs="Times New Roman"/>
                <w:sz w:val="20"/>
                <w:szCs w:val="22"/>
              </w:rPr>
            </w:pPr>
          </w:p>
        </w:tc>
      </w:tr>
    </w:tbl>
    <w:p>
      <w:pPr>
        <w:adjustRightInd w:val="0"/>
        <w:snapToGrid w:val="0"/>
        <w:spacing w:line="590" w:lineRule="exact"/>
        <w:rPr>
          <w:rFonts w:hint="eastAsia" w:ascii="Times New Roman" w:hAnsi="Times New Roman" w:eastAsia="黑体" w:cs="黑体"/>
          <w:bCs/>
          <w:kern w:val="0"/>
          <w:sz w:val="32"/>
          <w:szCs w:val="32"/>
        </w:rPr>
        <w:sectPr>
          <w:headerReference r:id="rId35" w:type="first"/>
          <w:footerReference r:id="rId38" w:type="first"/>
          <w:headerReference r:id="rId33" w:type="default"/>
          <w:footerReference r:id="rId36" w:type="default"/>
          <w:headerReference r:id="rId34" w:type="even"/>
          <w:footerReference r:id="rId37" w:type="even"/>
          <w:pgSz w:w="11906" w:h="16838"/>
          <w:pgMar w:top="1701" w:right="1644" w:bottom="1417" w:left="1644" w:header="851" w:footer="867" w:gutter="0"/>
          <w:pgBorders>
            <w:top w:val="none" w:sz="0" w:space="0"/>
            <w:left w:val="none" w:sz="0" w:space="0"/>
            <w:bottom w:val="none" w:sz="0" w:space="0"/>
            <w:right w:val="none" w:sz="0" w:space="0"/>
          </w:pgBorders>
          <w:pgNumType w:fmt="decimal"/>
          <w:cols w:space="720" w:num="1"/>
          <w:docGrid w:type="linesAndChars" w:linePitch="453" w:charSpace="-2457"/>
        </w:sectPr>
      </w:pPr>
    </w:p>
    <w:p>
      <w:pPr>
        <w:adjustRightInd/>
        <w:snapToGrid w:val="0"/>
        <w:spacing w:line="300" w:lineRule="auto"/>
        <w:ind w:firstLine="0" w:firstLineChars="0"/>
        <w:jc w:val="center"/>
        <w:rPr>
          <w:rFonts w:ascii="Times New Roman" w:hAnsi="Times New Roman" w:eastAsia="黑体" w:cs="Times New Roman"/>
          <w:sz w:val="28"/>
          <w:szCs w:val="22"/>
        </w:rPr>
      </w:pPr>
      <w:r>
        <w:rPr>
          <w:rFonts w:hint="eastAsia" w:ascii="Times New Roman" w:hAnsi="Times New Roman" w:eastAsia="黑体" w:cs="Times New Roman"/>
          <w:sz w:val="28"/>
          <w:szCs w:val="22"/>
        </w:rPr>
        <w:t>项目参与单位基本情况表</w:t>
      </w:r>
    </w:p>
    <w:p>
      <w:pPr>
        <w:autoSpaceDE w:val="0"/>
        <w:autoSpaceDN w:val="0"/>
        <w:adjustRightInd w:val="0"/>
        <w:snapToGrid w:val="0"/>
        <w:spacing w:line="240" w:lineRule="auto"/>
        <w:ind w:firstLine="0" w:firstLineChars="0"/>
        <w:rPr>
          <w:rFonts w:ascii="Times New Roman" w:hAnsi="Times New Roman" w:eastAsia="黑体" w:cs="黑体"/>
          <w:b/>
          <w:bCs/>
          <w:sz w:val="20"/>
          <w:szCs w:val="22"/>
        </w:rPr>
      </w:pPr>
      <w:r>
        <w:rPr>
          <w:rFonts w:hint="eastAsia" w:ascii="Times New Roman" w:hAnsi="Times New Roman" w:eastAsia="黑体" w:cs="黑体"/>
          <w:b/>
          <w:bCs/>
          <w:sz w:val="20"/>
          <w:szCs w:val="22"/>
        </w:rPr>
        <w:t>表B1</w:t>
      </w:r>
    </w:p>
    <w:tbl>
      <w:tblPr>
        <w:tblStyle w:val="1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vAlign w:val="center"/>
          </w:tcPr>
          <w:p>
            <w:pPr>
              <w:autoSpaceDE w:val="0"/>
              <w:autoSpaceDN w:val="0"/>
              <w:adjustRightInd w:val="0"/>
              <w:snapToGrid w:val="0"/>
              <w:spacing w:before="65" w:beforeLines="15" w:line="264" w:lineRule="auto"/>
              <w:ind w:left="1314" w:hanging="1400" w:hangingChars="700"/>
              <w:rPr>
                <w:rFonts w:ascii="Times New Roman" w:hAnsi="Times New Roman" w:eastAsia="楷体_GB2312" w:cs="Times New Roman"/>
                <w:color w:val="000000"/>
                <w:sz w:val="20"/>
                <w:szCs w:val="20"/>
              </w:rPr>
            </w:pPr>
            <w:r>
              <w:rPr>
                <w:rFonts w:hint="eastAsia" w:ascii="Times New Roman" w:hAnsi="Times New Roman" w:eastAsia="楷体_GB2312" w:cs="Times New Roman"/>
                <w:color w:val="000000"/>
                <w:sz w:val="20"/>
                <w:szCs w:val="20"/>
              </w:rPr>
              <w:t xml:space="preserve">填表说明：1. </w:t>
            </w:r>
            <w:r>
              <w:rPr>
                <w:rFonts w:hint="eastAsia" w:ascii="Times New Roman" w:hAnsi="Times New Roman" w:eastAsia="楷体_GB2312" w:cs="Times New Roman"/>
                <w:color w:val="000000"/>
                <w:sz w:val="20"/>
                <w:szCs w:val="22"/>
              </w:rPr>
              <w:t>组织机构代码指企事业单位国家标准代码，</w:t>
            </w:r>
            <w:r>
              <w:rPr>
                <w:rFonts w:hint="eastAsia" w:ascii="Times New Roman" w:hAnsi="Times New Roman" w:eastAsia="楷体_GB2312" w:cs="Times New Roman"/>
                <w:color w:val="000000"/>
                <w:sz w:val="20"/>
                <w:szCs w:val="20"/>
              </w:rPr>
              <w:t>单位若已三证合一请填写单位社会信用代码</w:t>
            </w:r>
            <w:r>
              <w:rPr>
                <w:rFonts w:hint="eastAsia" w:ascii="Times New Roman" w:hAnsi="Times New Roman" w:eastAsia="宋体" w:cs="宋体"/>
                <w:color w:val="000000"/>
                <w:sz w:val="20"/>
                <w:szCs w:val="20"/>
              </w:rPr>
              <w:t>，</w:t>
            </w:r>
            <w:r>
              <w:rPr>
                <w:rFonts w:hint="eastAsia" w:ascii="Times New Roman" w:hAnsi="Times New Roman" w:eastAsia="楷体_GB2312" w:cs="Times New Roman"/>
                <w:color w:val="000000"/>
                <w:sz w:val="20"/>
                <w:szCs w:val="22"/>
              </w:rPr>
              <w:t xml:space="preserve">            无组织机构代码的单位填写“000000000”</w:t>
            </w:r>
            <w:r>
              <w:rPr>
                <w:rFonts w:hint="eastAsia" w:ascii="Times New Roman" w:hAnsi="Times New Roman" w:eastAsia="楷体_GB2312" w:cs="Times New Roman"/>
                <w:color w:val="000000"/>
                <w:sz w:val="20"/>
                <w:szCs w:val="20"/>
              </w:rPr>
              <w:t>；</w:t>
            </w:r>
          </w:p>
          <w:p>
            <w:pPr>
              <w:autoSpaceDE w:val="0"/>
              <w:autoSpaceDN w:val="0"/>
              <w:adjustRightInd w:val="0"/>
              <w:snapToGrid w:val="0"/>
              <w:spacing w:before="65" w:beforeLines="15" w:line="264" w:lineRule="auto"/>
              <w:ind w:firstLine="0" w:firstLineChars="0"/>
              <w:rPr>
                <w:rFonts w:ascii="Times New Roman" w:hAnsi="Times New Roman" w:eastAsia="楷体_GB2312" w:cs="Times New Roman"/>
                <w:color w:val="000000"/>
                <w:sz w:val="20"/>
                <w:szCs w:val="20"/>
              </w:rPr>
            </w:pPr>
            <w:r>
              <w:rPr>
                <w:rFonts w:hint="eastAsia" w:ascii="Times New Roman" w:hAnsi="Times New Roman" w:eastAsia="楷体_GB2312" w:cs="Times New Roman"/>
                <w:color w:val="000000"/>
                <w:sz w:val="20"/>
                <w:szCs w:val="20"/>
              </w:rPr>
              <w:t xml:space="preserve">          </w:t>
            </w:r>
            <w:r>
              <w:rPr>
                <w:rFonts w:ascii="Times New Roman" w:hAnsi="Times New Roman" w:eastAsia="楷体_GB2312" w:cs="Times New Roman"/>
                <w:color w:val="000000"/>
                <w:sz w:val="20"/>
                <w:szCs w:val="20"/>
              </w:rPr>
              <w:t xml:space="preserve"> </w:t>
            </w:r>
            <w:r>
              <w:rPr>
                <w:rFonts w:hint="eastAsia" w:ascii="Times New Roman" w:hAnsi="Times New Roman" w:eastAsia="楷体_GB2312" w:cs="Times New Roman"/>
                <w:color w:val="000000"/>
                <w:sz w:val="20"/>
                <w:szCs w:val="20"/>
              </w:rPr>
              <w:t>2. 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项目参与单位</w:t>
            </w: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单位名称</w:t>
            </w:r>
          </w:p>
        </w:tc>
        <w:tc>
          <w:tcPr>
            <w:tcW w:w="6412" w:type="dxa"/>
            <w:gridSpan w:val="7"/>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单位类别</w:t>
            </w:r>
          </w:p>
        </w:tc>
        <w:tc>
          <w:tcPr>
            <w:tcW w:w="6412" w:type="dxa"/>
            <w:gridSpan w:val="7"/>
            <w:vAlign w:val="center"/>
          </w:tcPr>
          <w:p>
            <w:pPr>
              <w:tabs>
                <w:tab w:val="left" w:pos="360"/>
                <w:tab w:val="left" w:pos="1260"/>
              </w:tabs>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单位主管部门</w:t>
            </w:r>
          </w:p>
        </w:tc>
        <w:tc>
          <w:tcPr>
            <w:tcW w:w="3964" w:type="dxa"/>
            <w:gridSpan w:val="4"/>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1135" w:type="dxa"/>
            <w:gridSpan w:val="2"/>
            <w:vAlign w:val="center"/>
          </w:tcPr>
          <w:p>
            <w:pPr>
              <w:autoSpaceDE w:val="0"/>
              <w:autoSpaceDN w:val="0"/>
              <w:adjustRightInd w:val="0"/>
              <w:snapToGrid w:val="0"/>
              <w:spacing w:before="65" w:beforeLines="15" w:line="264" w:lineRule="auto"/>
              <w:ind w:firstLine="0" w:firstLineChars="0"/>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隶属关系</w:t>
            </w:r>
          </w:p>
        </w:tc>
        <w:tc>
          <w:tcPr>
            <w:tcW w:w="1313" w:type="dxa"/>
            <w:vAlign w:val="center"/>
          </w:tcPr>
          <w:p>
            <w:pPr>
              <w:autoSpaceDE w:val="0"/>
              <w:autoSpaceDN w:val="0"/>
              <w:adjustRightInd w:val="0"/>
              <w:snapToGrid w:val="0"/>
              <w:spacing w:before="65" w:beforeLines="15" w:line="264" w:lineRule="auto"/>
              <w:ind w:firstLine="0" w:firstLineChars="0"/>
              <w:jc w:val="center"/>
              <w:rPr>
                <w:rFonts w:ascii="Times New Roman" w:hAnsi="Times New Roman" w:eastAsia="宋体" w:cs="Arial"/>
                <w:color w:val="000000"/>
                <w:kern w:val="0"/>
                <w:sz w:val="20"/>
                <w:szCs w:val="20"/>
              </w:rPr>
            </w:pPr>
            <w:r>
              <w:rPr>
                <w:rFonts w:hint="eastAsia" w:ascii="Times New Roman" w:hAnsi="Times New Roman" w:eastAsia="宋体" w:cs="Arial"/>
                <w:color w:val="000000"/>
                <w:kern w:val="0"/>
                <w:sz w:val="20"/>
                <w:szCs w:val="20"/>
              </w:rPr>
              <w:t>中央</w:t>
            </w:r>
            <w:r>
              <w:rPr>
                <w:rFonts w:ascii="Times New Roman" w:hAnsi="Times New Roman" w:eastAsia="宋体" w:cs="Arial"/>
                <w:color w:val="000000"/>
                <w:kern w:val="0"/>
                <w:sz w:val="20"/>
                <w:szCs w:val="20"/>
              </w:rPr>
              <w:t>/</w:t>
            </w:r>
            <w:r>
              <w:rPr>
                <w:rFonts w:hint="eastAsia" w:ascii="Times New Roman" w:hAnsi="Times New Roman" w:eastAsia="宋体" w:cs="Arial"/>
                <w:color w:val="000000"/>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单位组织机构代码</w:t>
            </w:r>
          </w:p>
        </w:tc>
        <w:tc>
          <w:tcPr>
            <w:tcW w:w="6412" w:type="dxa"/>
            <w:gridSpan w:val="7"/>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单位法定代表人姓名</w:t>
            </w:r>
          </w:p>
        </w:tc>
        <w:tc>
          <w:tcPr>
            <w:tcW w:w="6412" w:type="dxa"/>
            <w:gridSpan w:val="7"/>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单位所属地区</w:t>
            </w:r>
          </w:p>
        </w:tc>
        <w:tc>
          <w:tcPr>
            <w:tcW w:w="2158" w:type="dxa"/>
            <w:gridSpan w:val="2"/>
            <w:vAlign w:val="center"/>
          </w:tcPr>
          <w:p>
            <w:pPr>
              <w:autoSpaceDE w:val="0"/>
              <w:autoSpaceDN w:val="0"/>
              <w:adjustRightInd w:val="0"/>
              <w:snapToGrid w:val="0"/>
              <w:spacing w:before="65" w:beforeLines="15" w:line="264" w:lineRule="auto"/>
              <w:ind w:firstLine="0" w:firstLineChars="0"/>
              <w:jc w:val="center"/>
              <w:rPr>
                <w:rFonts w:ascii="Times New Roman" w:hAnsi="Times New Roman" w:eastAsia="宋体" w:cs="Times New Roman"/>
                <w:sz w:val="20"/>
                <w:szCs w:val="22"/>
              </w:rPr>
            </w:pPr>
            <w:r>
              <w:rPr>
                <w:rFonts w:hint="eastAsia" w:ascii="Times New Roman" w:hAnsi="Times New Roman" w:eastAsia="宋体" w:cs="Times New Roman"/>
                <w:sz w:val="20"/>
                <w:szCs w:val="22"/>
              </w:rPr>
              <w:t>省</w:t>
            </w:r>
          </w:p>
        </w:tc>
        <w:tc>
          <w:tcPr>
            <w:tcW w:w="1806" w:type="dxa"/>
            <w:gridSpan w:val="2"/>
            <w:vAlign w:val="center"/>
          </w:tcPr>
          <w:p>
            <w:pPr>
              <w:adjustRightInd w:val="0"/>
              <w:snapToGrid w:val="0"/>
              <w:spacing w:before="65" w:beforeLines="15" w:line="264" w:lineRule="auto"/>
              <w:ind w:firstLine="0" w:firstLineChars="0"/>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地市</w:t>
            </w:r>
          </w:p>
        </w:tc>
        <w:tc>
          <w:tcPr>
            <w:tcW w:w="2448" w:type="dxa"/>
            <w:gridSpan w:val="3"/>
            <w:vAlign w:val="center"/>
          </w:tcPr>
          <w:p>
            <w:pPr>
              <w:adjustRightInd w:val="0"/>
              <w:snapToGrid w:val="0"/>
              <w:spacing w:before="65" w:beforeLines="15" w:line="264" w:lineRule="auto"/>
              <w:ind w:firstLine="0" w:firstLineChars="0"/>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电子邮箱</w:t>
            </w:r>
          </w:p>
        </w:tc>
        <w:tc>
          <w:tcPr>
            <w:tcW w:w="6412" w:type="dxa"/>
            <w:gridSpan w:val="7"/>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通信地址</w:t>
            </w:r>
          </w:p>
        </w:tc>
        <w:tc>
          <w:tcPr>
            <w:tcW w:w="6412" w:type="dxa"/>
            <w:gridSpan w:val="7"/>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2130"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邮政编码</w:t>
            </w:r>
          </w:p>
        </w:tc>
        <w:tc>
          <w:tcPr>
            <w:tcW w:w="6412" w:type="dxa"/>
            <w:gridSpan w:val="7"/>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相关责任人</w:t>
            </w:r>
          </w:p>
        </w:tc>
        <w:tc>
          <w:tcPr>
            <w:tcW w:w="2130" w:type="dxa"/>
            <w:vMerge w:val="restart"/>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项目参与单位负责人</w:t>
            </w: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姓名</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身份证号码</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工作单位</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电话号码</w:t>
            </w:r>
          </w:p>
        </w:tc>
        <w:tc>
          <w:tcPr>
            <w:tcW w:w="1774"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1467"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手机号码</w:t>
            </w:r>
          </w:p>
        </w:tc>
        <w:tc>
          <w:tcPr>
            <w:tcW w:w="1830"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电子邮箱</w:t>
            </w:r>
          </w:p>
        </w:tc>
        <w:tc>
          <w:tcPr>
            <w:tcW w:w="1774"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1467"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邮政编码</w:t>
            </w:r>
          </w:p>
        </w:tc>
        <w:tc>
          <w:tcPr>
            <w:tcW w:w="1830"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通信地址</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restart"/>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项目参与单位联系人</w:t>
            </w: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姓名</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电话号码</w:t>
            </w:r>
          </w:p>
        </w:tc>
        <w:tc>
          <w:tcPr>
            <w:tcW w:w="1774"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1467"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手机号码</w:t>
            </w:r>
          </w:p>
        </w:tc>
        <w:tc>
          <w:tcPr>
            <w:tcW w:w="1830"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传真号码</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电子邮箱</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restart"/>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r>
              <w:rPr>
                <w:rFonts w:hint="eastAsia" w:ascii="Times New Roman" w:hAnsi="Times New Roman" w:eastAsia="宋体" w:cs="Times New Roman"/>
                <w:b/>
                <w:bCs/>
                <w:sz w:val="20"/>
                <w:szCs w:val="22"/>
              </w:rPr>
              <w:t>财务负责人</w:t>
            </w: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姓名</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身份证号码</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电话号码</w:t>
            </w:r>
          </w:p>
        </w:tc>
        <w:tc>
          <w:tcPr>
            <w:tcW w:w="1774"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1467"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手机号码</w:t>
            </w:r>
          </w:p>
        </w:tc>
        <w:tc>
          <w:tcPr>
            <w:tcW w:w="1830" w:type="dxa"/>
            <w:gridSpan w:val="2"/>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p>
        </w:tc>
        <w:tc>
          <w:tcPr>
            <w:tcW w:w="2130" w:type="dxa"/>
            <w:vMerge w:val="continue"/>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b/>
                <w:bCs/>
                <w:sz w:val="20"/>
                <w:szCs w:val="22"/>
              </w:rPr>
            </w:pPr>
          </w:p>
        </w:tc>
        <w:tc>
          <w:tcPr>
            <w:tcW w:w="1341" w:type="dxa"/>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2"/>
              </w:rPr>
            </w:pPr>
            <w:r>
              <w:rPr>
                <w:rFonts w:hint="eastAsia" w:ascii="Times New Roman" w:hAnsi="Times New Roman" w:eastAsia="宋体" w:cs="Times New Roman"/>
                <w:sz w:val="20"/>
                <w:szCs w:val="22"/>
              </w:rPr>
              <w:t>电子邮箱</w:t>
            </w:r>
          </w:p>
        </w:tc>
        <w:tc>
          <w:tcPr>
            <w:tcW w:w="5071" w:type="dxa"/>
            <w:gridSpan w:val="6"/>
            <w:vAlign w:val="center"/>
          </w:tcPr>
          <w:p>
            <w:pPr>
              <w:autoSpaceDE w:val="0"/>
              <w:autoSpaceDN w:val="0"/>
              <w:adjustRightInd w:val="0"/>
              <w:snapToGrid w:val="0"/>
              <w:spacing w:before="65" w:beforeLines="15" w:line="264" w:lineRule="auto"/>
              <w:ind w:firstLine="0" w:firstLineChars="0"/>
              <w:rPr>
                <w:rFonts w:ascii="Times New Roman" w:hAnsi="Times New Roman" w:eastAsia="宋体" w:cs="Times New Roman"/>
                <w:sz w:val="20"/>
                <w:szCs w:val="20"/>
              </w:rPr>
            </w:pPr>
          </w:p>
        </w:tc>
      </w:tr>
    </w:tbl>
    <w:p>
      <w:pPr>
        <w:adjustRightInd w:val="0"/>
        <w:snapToGrid w:val="0"/>
        <w:spacing w:line="590" w:lineRule="exact"/>
        <w:ind w:firstLine="0" w:firstLineChars="0"/>
        <w:rPr>
          <w:rFonts w:hint="eastAsia" w:ascii="Times New Roman" w:hAnsi="Times New Roman" w:eastAsia="黑体" w:cs="黑体"/>
          <w:bCs/>
          <w:sz w:val="32"/>
          <w:szCs w:val="32"/>
        </w:rPr>
      </w:pPr>
    </w:p>
    <w:p>
      <w:pPr>
        <w:adjustRightInd/>
        <w:snapToGrid/>
        <w:spacing w:line="240" w:lineRule="auto"/>
        <w:ind w:firstLine="0" w:firstLineChars="0"/>
        <w:rPr>
          <w:rFonts w:hint="eastAsia" w:ascii="Times New Roman" w:hAnsi="Times New Roman" w:eastAsia="宋体" w:cs="Times New Roman"/>
          <w:sz w:val="21"/>
          <w:szCs w:val="22"/>
        </w:rPr>
      </w:pPr>
    </w:p>
    <w:p>
      <w:pPr>
        <w:adjustRightInd/>
        <w:snapToGrid/>
        <w:spacing w:line="240" w:lineRule="auto"/>
        <w:ind w:firstLine="0" w:firstLineChars="0"/>
        <w:rPr>
          <w:rFonts w:hint="eastAsia" w:ascii="Times New Roman" w:hAnsi="Times New Roman" w:eastAsia="宋体" w:cs="Times New Roman"/>
          <w:sz w:val="21"/>
          <w:szCs w:val="22"/>
        </w:rPr>
      </w:pP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黑体"/>
          <w:bCs/>
          <w:kern w:val="0"/>
          <w:sz w:val="28"/>
          <w:szCs w:val="28"/>
        </w:rPr>
      </w:pPr>
      <w:r>
        <w:rPr>
          <w:rFonts w:hint="eastAsia" w:ascii="黑体" w:hAnsi="黑体" w:eastAsia="黑体" w:cs="黑体"/>
          <w:bCs/>
          <w:kern w:val="0"/>
          <w:sz w:val="28"/>
          <w:szCs w:val="28"/>
        </w:rPr>
        <w:t>二、项目依据和必要性</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（一）项目申报依据</w:t>
      </w:r>
    </w:p>
    <w:p>
      <w:pPr>
        <w:keepNext/>
        <w:keepLines/>
        <w:pageBreakBefore w:val="0"/>
        <w:widowControl w:val="0"/>
        <w:numPr>
          <w:ilvl w:val="2"/>
          <w:numId w:val="0"/>
        </w:numPr>
        <w:kinsoku/>
        <w:wordWrap/>
        <w:overflowPunct/>
        <w:topLinePunct w:val="0"/>
        <w:bidi w:val="0"/>
        <w:spacing w:before="0" w:after="0" w:line="240" w:lineRule="auto"/>
        <w:ind w:leftChars="200" w:right="0" w:rightChars="0" w:firstLine="560" w:firstLineChars="20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填写申请项目立项的背景、政策依据及拟解决的问题等。</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（二）项目必要性分析</w:t>
      </w:r>
    </w:p>
    <w:p>
      <w:pPr>
        <w:keepNext/>
        <w:keepLines/>
        <w:pageBreakBefore w:val="0"/>
        <w:widowControl w:val="0"/>
        <w:numPr>
          <w:ilvl w:val="2"/>
          <w:numId w:val="0"/>
        </w:numPr>
        <w:kinsoku/>
        <w:wordWrap/>
        <w:overflowPunct/>
        <w:topLinePunct w:val="0"/>
        <w:bidi w:val="0"/>
        <w:spacing w:before="0" w:after="0" w:line="240" w:lineRule="auto"/>
        <w:ind w:leftChars="200" w:right="0" w:rightChars="0" w:firstLine="560" w:firstLineChars="20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说明项目实施对完成农业农村领域特定工作任务或促事业发展的意义与作用。拟实施内容与广东省相关农业监测、检测工作任务或事业发展计划之间的关联性等。</w:t>
      </w: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黑体"/>
          <w:bCs/>
          <w:kern w:val="0"/>
          <w:sz w:val="28"/>
          <w:szCs w:val="28"/>
        </w:rPr>
      </w:pPr>
      <w:r>
        <w:rPr>
          <w:rFonts w:hint="eastAsia" w:ascii="黑体" w:hAnsi="黑体" w:eastAsia="黑体" w:cs="黑体"/>
          <w:bCs/>
          <w:kern w:val="0"/>
          <w:sz w:val="28"/>
          <w:szCs w:val="28"/>
        </w:rPr>
        <w:t>三、项目目标和主要内容</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（一）项目目标</w:t>
      </w:r>
    </w:p>
    <w:p>
      <w:pPr>
        <w:keepNext/>
        <w:keepLines/>
        <w:pageBreakBefore w:val="0"/>
        <w:widowControl w:val="0"/>
        <w:numPr>
          <w:ilvl w:val="2"/>
          <w:numId w:val="0"/>
        </w:numPr>
        <w:kinsoku/>
        <w:wordWrap/>
        <w:overflowPunct/>
        <w:topLinePunct w:val="0"/>
        <w:bidi w:val="0"/>
        <w:spacing w:before="0" w:after="0" w:line="240" w:lineRule="auto"/>
        <w:ind w:leftChars="200" w:right="0" w:rightChars="0" w:firstLine="560" w:firstLineChars="20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1.对项目总体目标进行描述，包括项目要达到的目标，实现何种结果、得出何种结论等。</w:t>
      </w:r>
    </w:p>
    <w:p>
      <w:pPr>
        <w:keepNext/>
        <w:keepLines/>
        <w:pageBreakBefore w:val="0"/>
        <w:widowControl w:val="0"/>
        <w:numPr>
          <w:ilvl w:val="2"/>
          <w:numId w:val="0"/>
        </w:numPr>
        <w:kinsoku/>
        <w:wordWrap/>
        <w:overflowPunct/>
        <w:topLinePunct w:val="0"/>
        <w:bidi w:val="0"/>
        <w:spacing w:before="0" w:after="0" w:line="240" w:lineRule="auto"/>
        <w:ind w:leftChars="200" w:right="0" w:rightChars="0" w:firstLine="560" w:firstLineChars="20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2.对具体绩效目标进行描述，全面反映项目实施内容和效果，绩效目标需清晰明确量化，便于进行考核。 </w:t>
      </w:r>
    </w:p>
    <w:p>
      <w:pPr>
        <w:keepNext/>
        <w:keepLines/>
        <w:pageBreakBefore w:val="0"/>
        <w:widowControl w:val="0"/>
        <w:numPr>
          <w:ilvl w:val="2"/>
          <w:numId w:val="0"/>
        </w:numPr>
        <w:kinsoku/>
        <w:wordWrap/>
        <w:overflowPunct/>
        <w:topLinePunct w:val="0"/>
        <w:bidi w:val="0"/>
        <w:spacing w:before="0" w:after="0" w:line="240" w:lineRule="auto"/>
        <w:ind w:leftChars="200" w:right="0" w:rightChars="0" w:firstLine="560" w:firstLineChars="200"/>
        <w:jc w:val="both"/>
        <w:textAlignment w:val="auto"/>
        <w:outlineLvl w:val="2"/>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填写附表1：预算绩效目标申报表</w:t>
      </w:r>
    </w:p>
    <w:p>
      <w:pPr>
        <w:pageBreakBefore w:val="0"/>
        <w:kinsoku/>
        <w:wordWrap/>
        <w:overflowPunct/>
        <w:topLinePunct w:val="0"/>
        <w:bidi w:val="0"/>
        <w:adjustRightInd/>
        <w:snapToGrid/>
        <w:spacing w:line="240" w:lineRule="auto"/>
        <w:ind w:right="0" w:rightChars="0" w:firstLine="420" w:firstLineChars="150"/>
        <w:textAlignment w:val="auto"/>
        <w:outlineLvl w:val="1"/>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（二）项目实施内容</w:t>
      </w:r>
    </w:p>
    <w:p>
      <w:pPr>
        <w:pageBreakBefore w:val="0"/>
        <w:kinsoku/>
        <w:wordWrap/>
        <w:overflowPunct/>
        <w:topLinePunct w:val="0"/>
        <w:bidi w:val="0"/>
        <w:adjustRightInd/>
        <w:snapToGrid/>
        <w:spacing w:line="240" w:lineRule="auto"/>
        <w:ind w:right="0" w:rightChars="0" w:firstLine="626" w:firstLineChars="223"/>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 xml:space="preserve"> 项目主要完成的农业监测、检测任务工作内容情况。</w:t>
      </w:r>
      <w:r>
        <w:rPr>
          <w:rFonts w:hint="eastAsia" w:ascii="仿宋_GB2312" w:hAnsi="仿宋_GB2312" w:eastAsia="仿宋_GB2312" w:cs="仿宋_GB2312"/>
          <w:color w:val="auto"/>
          <w:sz w:val="28"/>
          <w:szCs w:val="28"/>
          <w:highlight w:val="none"/>
        </w:rPr>
        <w:t>开展XX监测，监测点XX个，XX品种风险监测（例行监测/专项监测/能力验证等）/监督抽查/……，监测、检测覆盖范围，监测、检测内容，并完成监测结果的汇总分析。</w:t>
      </w:r>
    </w:p>
    <w:p>
      <w:pPr>
        <w:pageBreakBefore w:val="0"/>
        <w:widowControl w:val="0"/>
        <w:kinsoku/>
        <w:wordWrap/>
        <w:overflowPunct/>
        <w:topLinePunct w:val="0"/>
        <w:autoSpaceDE/>
        <w:autoSpaceDN/>
        <w:bidi w:val="0"/>
        <w:adjustRightInd w:val="0"/>
        <w:snapToGrid w:val="0"/>
        <w:spacing w:line="240" w:lineRule="auto"/>
        <w:ind w:right="0" w:righ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1.XX监测主要任务内容</w:t>
      </w:r>
    </w:p>
    <w:p>
      <w:pPr>
        <w:keepNext/>
        <w:keepLines/>
        <w:pageBreakBefore w:val="0"/>
        <w:widowControl w:val="0"/>
        <w:numPr>
          <w:ilvl w:val="2"/>
          <w:numId w:val="0"/>
        </w:numPr>
        <w:kinsoku/>
        <w:wordWrap/>
        <w:overflowPunct/>
        <w:topLinePunct w:val="0"/>
        <w:autoSpaceDE/>
        <w:autoSpaceDN/>
        <w:bidi w:val="0"/>
        <w:adjustRightInd w:val="0"/>
        <w:snapToGrid w:val="0"/>
        <w:spacing w:before="0" w:after="0" w:line="240" w:lineRule="auto"/>
        <w:ind w:right="0" w:rightChars="0" w:firstLine="840" w:firstLineChars="300"/>
        <w:jc w:val="both"/>
        <w:textAlignment w:val="auto"/>
        <w:outlineLvl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2.XX监测主要任务内容</w:t>
      </w:r>
    </w:p>
    <w:p>
      <w:pPr>
        <w:pageBreakBefore w:val="0"/>
        <w:widowControl w:val="0"/>
        <w:kinsoku/>
        <w:wordWrap/>
        <w:overflowPunct/>
        <w:topLinePunct w:val="0"/>
        <w:autoSpaceDE/>
        <w:autoSpaceDN/>
        <w:bidi w:val="0"/>
        <w:adjustRightInd w:val="0"/>
        <w:snapToGrid w:val="0"/>
        <w:spacing w:line="240" w:lineRule="auto"/>
        <w:ind w:right="0" w:rightChars="0" w:firstLine="396"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 XX检测主要任务内容</w:t>
      </w:r>
    </w:p>
    <w:p>
      <w:pPr>
        <w:pStyle w:val="18"/>
        <w:pageBreakBefore w:val="0"/>
        <w:kinsoku/>
        <w:wordWrap/>
        <w:overflowPunct/>
        <w:topLinePunct w:val="0"/>
        <w:bidi w:val="0"/>
        <w:spacing w:line="240" w:lineRule="auto"/>
        <w:ind w:right="0" w:rightChars="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 xml:space="preserve">参考示例： </w:t>
      </w:r>
    </w:p>
    <w:p>
      <w:pPr>
        <w:pageBreakBefore w:val="0"/>
        <w:kinsoku/>
        <w:wordWrap/>
        <w:overflowPunct/>
        <w:topLinePunct w:val="0"/>
        <w:bidi w:val="0"/>
        <w:adjustRightInd/>
        <w:snapToGrid/>
        <w:spacing w:line="240" w:lineRule="auto"/>
        <w:ind w:right="0" w:rightChars="0" w:firstLine="840" w:firstLineChars="3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害虫抗药性监测。拟组织省内7个（区、市）的30个抗药性监测点，分别对稻飞虱、二化螟、稻纵卷叶螟、稻瘟病、草地贪夜蛾、麦蚜、小麦赤霉病等7种一类农作物病虫害的抗药性进行了监测，涉及田间常用的19个杀虫剂、8个杀菌剂品种。并针对每类害虫出具抗药性监测结果，提出用药方案调整的具体建议。</w:t>
      </w:r>
    </w:p>
    <w:p>
      <w:pPr>
        <w:pStyle w:val="18"/>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重点水产亲本质量和苗种药物残留监测。主要开展淡水品种罗非鱼、鳜鱼、加州鲈鱼、草鱼、乌鳢和主要海水品种南美白对虾、斑节对虾、石斑鱼、鲍及中华鳖等开展品种亲本质量监测，针对不少于40家良种场、示范场的苗种质量进行水产亲本质量和苗种药物残留监测。</w:t>
      </w: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kern w:val="2"/>
          <w:sz w:val="28"/>
          <w:szCs w:val="28"/>
          <w:highlight w:val="none"/>
        </w:rPr>
        <w:t>出具40批次亲本质量检测报告和200批次苗种药物残留检测报告。</w:t>
      </w:r>
    </w:p>
    <w:p>
      <w:pPr>
        <w:pStyle w:val="18"/>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 开展饲料质量监督检测。拟对我省饲料生产企业、经营企业、养殖企业等生产或使用环节开展饲料产品质量监督检测，计划抽检配合饲料、浓缩饲料、动物源性饲料、植物性饲料、饲料添加剂、添加剂预混合饲料等产品500批，检测霉菌毒素、重金属、质量指标、抗生素等参数，定量检测。</w:t>
      </w:r>
    </w:p>
    <w:p>
      <w:pPr>
        <w:pStyle w:val="18"/>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饲料质量安全风险评估监测。拟对我省饲料生产企业、经营企业、养殖企业等生产或使用环节开展饲料产品质量安全风险评估监测，计划抽检配合饲料、浓缩饲料、添加剂预混合饲料等产品400批，开展真菌毒素、重金属、未知非法添加物和违禁药物等的高通量风险筛查，预警监测。</w:t>
      </w: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黑体"/>
          <w:bCs/>
          <w:kern w:val="0"/>
          <w:sz w:val="28"/>
          <w:szCs w:val="28"/>
        </w:rPr>
      </w:pPr>
      <w:r>
        <w:rPr>
          <w:rFonts w:hint="eastAsia" w:ascii="黑体" w:hAnsi="黑体" w:eastAsia="黑体" w:cs="黑体"/>
          <w:bCs/>
          <w:kern w:val="0"/>
          <w:sz w:val="28"/>
          <w:szCs w:val="28"/>
        </w:rPr>
        <w:t>四、项目设计及技术方法</w:t>
      </w:r>
    </w:p>
    <w:p>
      <w:pPr>
        <w:pageBreakBefore w:val="0"/>
        <w:kinsoku/>
        <w:wordWrap/>
        <w:overflowPunct/>
        <w:topLinePunct w:val="0"/>
        <w:bidi w:val="0"/>
        <w:adjustRightInd/>
        <w:snapToGrid/>
        <w:spacing w:line="240" w:lineRule="auto"/>
        <w:ind w:right="0" w:rightChars="0" w:firstLine="640" w:firstLineChars="200"/>
        <w:textAlignment w:val="auto"/>
        <w:outlineLvl w:val="1"/>
        <w:rPr>
          <w:rFonts w:hint="eastAsia" w:ascii="黑体" w:hAnsi="黑体" w:eastAsia="黑体" w:cs="黑体"/>
          <w:bCs/>
          <w:kern w:val="0"/>
          <w:sz w:val="32"/>
          <w:szCs w:val="32"/>
        </w:rPr>
      </w:pPr>
      <w:r>
        <w:rPr>
          <w:rFonts w:hint="eastAsia" w:ascii="黑体" w:hAnsi="黑体" w:eastAsia="黑体" w:cs="黑体"/>
          <w:bCs/>
          <w:kern w:val="0"/>
          <w:sz w:val="32"/>
          <w:szCs w:val="32"/>
        </w:rPr>
        <w:t>（一）监测/检测项目设计</w:t>
      </w:r>
    </w:p>
    <w:p>
      <w:pPr>
        <w:pageBreakBefore w:val="0"/>
        <w:kinsoku/>
        <w:wordWrap/>
        <w:overflowPunct/>
        <w:topLinePunct w:val="0"/>
        <w:bidi w:val="0"/>
        <w:adjustRightInd/>
        <w:snapToGrid/>
        <w:spacing w:line="240" w:lineRule="auto"/>
        <w:ind w:right="0" w:rightChars="0" w:firstLine="624" w:firstLineChars="223"/>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如何开展监测/检测工作，包括采样点/监测点选取、采样数量依据及合理性、采样样本类型、采样数据加工整理、采样人员安排、监测检测对象及内容等。</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（二）监测/检测技术方法</w:t>
      </w:r>
    </w:p>
    <w:p>
      <w:pPr>
        <w:pageBreakBefore w:val="0"/>
        <w:kinsoku/>
        <w:wordWrap/>
        <w:overflowPunct/>
        <w:topLinePunct w:val="0"/>
        <w:bidi w:val="0"/>
        <w:adjustRightInd/>
        <w:snapToGrid/>
        <w:spacing w:line="240" w:lineRule="auto"/>
        <w:ind w:right="0" w:rightChars="0" w:firstLine="536"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详细描述需要采用的监测检测设备、技术方法等</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（三）监测/检测工作流程</w:t>
      </w:r>
    </w:p>
    <w:p>
      <w:pPr>
        <w:pStyle w:val="18"/>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简要说明检测/监测项目任务涉及的工作环节、工作流程及相关环节流程的具体工作事项内容，包括方案论证、采样安排、化验测试、上报数据、出具监测报告等。</w:t>
      </w: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黑体"/>
          <w:bCs/>
          <w:kern w:val="0"/>
          <w:sz w:val="28"/>
          <w:szCs w:val="28"/>
          <w:highlight w:val="none"/>
        </w:rPr>
      </w:pPr>
      <w:r>
        <w:rPr>
          <w:rFonts w:hint="eastAsia" w:ascii="黑体" w:hAnsi="黑体" w:eastAsia="黑体" w:cs="黑体"/>
          <w:bCs/>
          <w:kern w:val="0"/>
          <w:sz w:val="28"/>
          <w:szCs w:val="28"/>
          <w:highlight w:val="none"/>
        </w:rPr>
        <w:t>五、项目组织实施和可行性</w:t>
      </w:r>
    </w:p>
    <w:p>
      <w:pPr>
        <w:keepNext w:val="0"/>
        <w:keepLines w:val="0"/>
        <w:pageBreakBefore w:val="0"/>
        <w:widowControl w:val="0"/>
        <w:kinsoku/>
        <w:wordWrap/>
        <w:overflowPunct/>
        <w:topLinePunct w:val="0"/>
        <w:bidi w:val="0"/>
        <w:adjustRightInd w:val="0"/>
        <w:snapToGrid w:val="0"/>
        <w:spacing w:line="36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（一）项目组织实施方式</w:t>
      </w:r>
    </w:p>
    <w:p>
      <w:pPr>
        <w:keepNext w:val="0"/>
        <w:keepLines w:val="0"/>
        <w:pageBreakBefore w:val="0"/>
        <w:widowControl w:val="0"/>
        <w:kinsoku/>
        <w:wordWrap/>
        <w:overflowPunct/>
        <w:topLinePunct w:val="0"/>
        <w:bidi w:val="0"/>
        <w:adjustRightInd w:val="0"/>
        <w:snapToGrid w:val="0"/>
        <w:spacing w:line="360" w:lineRule="auto"/>
        <w:ind w:right="0" w:rightChars="0" w:firstLine="562" w:firstLineChars="200"/>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1.项目分包、采购或招投标情况</w:t>
      </w:r>
    </w:p>
    <w:p>
      <w:pPr>
        <w:pStyle w:val="18"/>
        <w:keepNext w:val="0"/>
        <w:keepLines w:val="0"/>
        <w:pageBreakBefore w:val="0"/>
        <w:widowControl w:val="0"/>
        <w:kinsoku/>
        <w:wordWrap/>
        <w:overflowPunct/>
        <w:topLinePunct w:val="0"/>
        <w:bidi w:val="0"/>
        <w:adjustRightInd w:val="0"/>
        <w:snapToGrid w:val="0"/>
        <w:spacing w:line="360" w:lineRule="auto"/>
        <w:ind w:right="0" w:rightChars="0" w:firstLine="560" w:firstLineChars="200"/>
        <w:textAlignment w:val="auto"/>
        <w:rPr>
          <w:rFonts w:hint="eastAsia"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项目是否存在分包，若存在详细描述分包情况；项目是否需要采用政府采购招标方式开展实施，若存在详细描述采购内容、采购方式、采购金额等情况。</w:t>
      </w:r>
    </w:p>
    <w:p>
      <w:pPr>
        <w:keepNext w:val="0"/>
        <w:keepLines w:val="0"/>
        <w:pageBreakBefore w:val="0"/>
        <w:widowControl w:val="0"/>
        <w:kinsoku/>
        <w:wordWrap/>
        <w:overflowPunct/>
        <w:topLinePunct w:val="0"/>
        <w:bidi w:val="0"/>
        <w:adjustRightInd w:val="0"/>
        <w:snapToGrid w:val="0"/>
        <w:spacing w:line="360" w:lineRule="auto"/>
        <w:ind w:right="0" w:rightChars="0"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kern w:val="0"/>
          <w:sz w:val="28"/>
          <w:szCs w:val="28"/>
          <w:highlight w:val="none"/>
        </w:rPr>
        <w:t>2.</w:t>
      </w:r>
      <w:r>
        <w:rPr>
          <w:rFonts w:hint="eastAsia" w:ascii="仿宋_GB2312" w:hAnsi="仿宋_GB2312" w:eastAsia="仿宋_GB2312" w:cs="仿宋_GB2312"/>
          <w:b/>
          <w:color w:val="auto"/>
          <w:sz w:val="28"/>
          <w:szCs w:val="28"/>
          <w:highlight w:val="none"/>
        </w:rPr>
        <w:t>项目实施计划进度安排</w:t>
      </w:r>
    </w:p>
    <w:p>
      <w:pPr>
        <w:keepNext w:val="0"/>
        <w:keepLines w:val="0"/>
        <w:pageBreakBefore w:val="0"/>
        <w:widowControl w:val="0"/>
        <w:kinsoku/>
        <w:wordWrap/>
        <w:overflowPunct/>
        <w:topLinePunct w:val="0"/>
        <w:bidi w:val="0"/>
        <w:adjustRightInd w:val="0"/>
        <w:snapToGrid w:val="0"/>
        <w:spacing w:line="360" w:lineRule="auto"/>
        <w:ind w:right="0" w:righ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说明项目实施周期，并按照项目实施关键节点阶段来撰写，思路通顺，把项目实施进度情况说明清楚，包括项目完工、验收（初验、终验等）情况，预计验收时间等。</w:t>
      </w:r>
    </w:p>
    <w:p>
      <w:pPr>
        <w:pageBreakBefore w:val="0"/>
        <w:kinsoku/>
        <w:wordWrap/>
        <w:overflowPunct/>
        <w:topLinePunct w:val="0"/>
        <w:bidi w:val="0"/>
        <w:adjustRightInd/>
        <w:snapToGrid/>
        <w:spacing w:line="240" w:lineRule="auto"/>
        <w:ind w:right="0" w:rightChars="0" w:firstLine="560" w:firstLineChars="0"/>
        <w:jc w:val="center"/>
        <w:textAlignment w:val="auto"/>
        <w:rPr>
          <w:rFonts w:hint="eastAsia" w:ascii="Times New Roman" w:hAnsi="Times New Roman" w:eastAsia="仿宋_GB2312" w:cs="Times New Roman"/>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表：项目实施进度计划表</w:t>
      </w:r>
    </w:p>
    <w:tbl>
      <w:tblPr>
        <w:tblStyle w:val="14"/>
        <w:tblW w:w="8522" w:type="dxa"/>
        <w:tblInd w:w="0" w:type="dxa"/>
        <w:tblLayout w:type="fixed"/>
        <w:tblCellMar>
          <w:top w:w="0" w:type="dxa"/>
          <w:left w:w="108" w:type="dxa"/>
          <w:bottom w:w="0" w:type="dxa"/>
          <w:right w:w="108" w:type="dxa"/>
        </w:tblCellMar>
      </w:tblPr>
      <w:tblGrid>
        <w:gridCol w:w="1065"/>
        <w:gridCol w:w="1737"/>
        <w:gridCol w:w="2984"/>
        <w:gridCol w:w="2736"/>
      </w:tblGrid>
      <w:tr>
        <w:tblPrEx>
          <w:tblCellMar>
            <w:top w:w="0" w:type="dxa"/>
            <w:left w:w="108" w:type="dxa"/>
            <w:bottom w:w="0" w:type="dxa"/>
            <w:right w:w="108" w:type="dxa"/>
          </w:tblCellMar>
        </w:tblPrEx>
        <w:trPr>
          <w:trHeight w:val="578" w:hRule="atLeast"/>
          <w:tblHeader/>
        </w:trPr>
        <w:tc>
          <w:tcPr>
            <w:tcW w:w="1065" w:type="dxa"/>
            <w:tcBorders>
              <w:top w:val="single" w:color="auto" w:sz="4" w:space="0"/>
              <w:left w:val="single" w:color="auto" w:sz="4" w:space="0"/>
              <w:bottom w:val="single" w:color="auto" w:sz="4" w:space="0"/>
              <w:right w:val="single" w:color="auto" w:sz="4" w:space="0"/>
            </w:tcBorders>
            <w:shd w:val="clear" w:color="auto" w:fill="E5E5E5"/>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b/>
                <w:bCs/>
                <w:kern w:val="0"/>
                <w:sz w:val="21"/>
                <w:szCs w:val="21"/>
              </w:rPr>
            </w:pPr>
            <w:r>
              <w:rPr>
                <w:rFonts w:hint="eastAsia" w:ascii="Times New Roman" w:hAnsi="Times New Roman" w:eastAsia="宋体" w:cs="宋体"/>
                <w:b/>
                <w:bCs/>
                <w:kern w:val="0"/>
                <w:sz w:val="21"/>
                <w:szCs w:val="21"/>
              </w:rPr>
              <w:t>序号</w:t>
            </w:r>
          </w:p>
        </w:tc>
        <w:tc>
          <w:tcPr>
            <w:tcW w:w="1737" w:type="dxa"/>
            <w:tcBorders>
              <w:top w:val="single" w:color="auto" w:sz="4" w:space="0"/>
              <w:left w:val="nil"/>
              <w:bottom w:val="single" w:color="auto" w:sz="4" w:space="0"/>
              <w:right w:val="single" w:color="auto" w:sz="4" w:space="0"/>
            </w:tcBorders>
            <w:shd w:val="clear" w:color="auto" w:fill="E5E5E5"/>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b/>
                <w:bCs/>
                <w:kern w:val="0"/>
                <w:sz w:val="21"/>
                <w:szCs w:val="21"/>
              </w:rPr>
            </w:pPr>
            <w:r>
              <w:rPr>
                <w:rFonts w:hint="eastAsia" w:ascii="Times New Roman" w:hAnsi="Times New Roman" w:eastAsia="宋体" w:cs="宋体"/>
                <w:b/>
                <w:bCs/>
                <w:kern w:val="0"/>
                <w:sz w:val="21"/>
                <w:szCs w:val="21"/>
              </w:rPr>
              <w:t>实施</w:t>
            </w:r>
            <w:r>
              <w:rPr>
                <w:rFonts w:ascii="Times New Roman" w:hAnsi="Times New Roman" w:eastAsia="宋体" w:cs="宋体"/>
                <w:b/>
                <w:bCs/>
                <w:kern w:val="0"/>
                <w:sz w:val="21"/>
                <w:szCs w:val="21"/>
              </w:rPr>
              <w:t>阶段</w:t>
            </w:r>
          </w:p>
        </w:tc>
        <w:tc>
          <w:tcPr>
            <w:tcW w:w="2984" w:type="dxa"/>
            <w:tcBorders>
              <w:top w:val="single" w:color="auto" w:sz="4" w:space="0"/>
              <w:left w:val="nil"/>
              <w:bottom w:val="single" w:color="auto" w:sz="4" w:space="0"/>
              <w:right w:val="single" w:color="auto" w:sz="4" w:space="0"/>
            </w:tcBorders>
            <w:shd w:val="clear" w:color="auto" w:fill="E5E5E5"/>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b/>
                <w:bCs/>
                <w:kern w:val="0"/>
                <w:sz w:val="21"/>
                <w:szCs w:val="21"/>
              </w:rPr>
            </w:pPr>
            <w:r>
              <w:rPr>
                <w:rFonts w:hint="eastAsia" w:ascii="Times New Roman" w:hAnsi="Times New Roman" w:eastAsia="宋体" w:cs="宋体"/>
                <w:b/>
                <w:bCs/>
                <w:kern w:val="0"/>
                <w:sz w:val="21"/>
                <w:szCs w:val="21"/>
              </w:rPr>
              <w:t>工作内容</w:t>
            </w:r>
          </w:p>
        </w:tc>
        <w:tc>
          <w:tcPr>
            <w:tcW w:w="2736" w:type="dxa"/>
            <w:tcBorders>
              <w:top w:val="single" w:color="auto" w:sz="4" w:space="0"/>
              <w:left w:val="nil"/>
              <w:bottom w:val="single" w:color="auto" w:sz="4" w:space="0"/>
              <w:right w:val="single" w:color="auto" w:sz="4" w:space="0"/>
            </w:tcBorders>
            <w:shd w:val="clear" w:color="auto" w:fill="E5E5E5"/>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b/>
                <w:bCs/>
                <w:kern w:val="0"/>
                <w:sz w:val="21"/>
                <w:szCs w:val="21"/>
              </w:rPr>
            </w:pPr>
            <w:r>
              <w:rPr>
                <w:rFonts w:hint="eastAsia" w:ascii="Times New Roman" w:hAnsi="Times New Roman" w:eastAsia="宋体" w:cs="宋体"/>
                <w:b/>
                <w:bCs/>
                <w:kern w:val="0"/>
                <w:sz w:val="21"/>
                <w:szCs w:val="21"/>
              </w:rPr>
              <w:t>工作进度</w:t>
            </w: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3</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4</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5</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6</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7</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8</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9</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1</w:t>
            </w:r>
            <w:r>
              <w:rPr>
                <w:rFonts w:hint="eastAsia" w:ascii="Times New Roman" w:hAnsi="Times New Roman" w:eastAsia="宋体" w:cs="宋体"/>
                <w:color w:val="000000"/>
                <w:kern w:val="0"/>
                <w:sz w:val="21"/>
                <w:szCs w:val="21"/>
              </w:rPr>
              <w:t>0</w:t>
            </w:r>
          </w:p>
        </w:tc>
        <w:tc>
          <w:tcPr>
            <w:tcW w:w="173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adjustRightInd/>
              <w:snapToGrid/>
              <w:spacing w:line="240" w:lineRule="auto"/>
              <w:ind w:right="0" w:rightChars="0" w:firstLine="0" w:firstLineChars="0"/>
              <w:jc w:val="center"/>
              <w:textAlignment w:val="auto"/>
              <w:rPr>
                <w:rFonts w:ascii="Times New Roman" w:hAnsi="Times New Roman" w:eastAsia="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 w:firstLineChars="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3.项目实施过程中可能的目标、计划调整情况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 w:firstLineChars="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如果项目有调整（包括内容、目标等方面）情况，要说明项目调整的依据及可能的原因，调整手续办理等。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4.项目组织管理创新情况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 xml:space="preserve"> 简要描述项目组织实施和开展项目的创新点。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（二）项目管理制度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 w:firstLineChars="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为推进项目实施遵守已有的规章制度情况，另外需要新制定了的规章和规则情况。如果项目是合同管理，预计需要签订、制定哪些合同，如何对合同单位进行管理。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（三）财务管理制度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阐述和说明项目实施中遵守哪些中央、省级和单位内部财务管理制度，为本项目实施需新制定了哪些财务管理规则，资金申请、审批和使用的简单程序说明。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1"/>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w:t>
      </w:r>
      <w:r>
        <w:rPr>
          <w:rFonts w:hint="eastAsia" w:ascii="仿宋_GB2312" w:hAnsi="仿宋_GB2312" w:eastAsia="仿宋_GB2312" w:cs="仿宋_GB2312"/>
          <w:b w:val="0"/>
          <w:bCs/>
          <w:color w:val="auto"/>
          <w:kern w:val="0"/>
          <w:sz w:val="28"/>
          <w:szCs w:val="28"/>
          <w:lang w:val="en-US" w:eastAsia="zh-CN"/>
        </w:rPr>
        <w:t>四</w:t>
      </w:r>
      <w:r>
        <w:rPr>
          <w:rFonts w:hint="eastAsia" w:ascii="仿宋_GB2312" w:hAnsi="仿宋_GB2312" w:eastAsia="仿宋_GB2312" w:cs="仿宋_GB2312"/>
          <w:b w:val="0"/>
          <w:bCs/>
          <w:color w:val="auto"/>
          <w:kern w:val="0"/>
          <w:sz w:val="28"/>
          <w:szCs w:val="28"/>
        </w:rPr>
        <w:t>）项目实施条件及保障措施</w:t>
      </w:r>
    </w:p>
    <w:p>
      <w:pPr>
        <w:keepNext w:val="0"/>
        <w:keepLines w:val="0"/>
        <w:pageBreakBefore w:val="0"/>
        <w:widowControl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1.人员条件</w:t>
      </w:r>
    </w:p>
    <w:p>
      <w:pPr>
        <w:keepNext w:val="0"/>
        <w:keepLines w:val="0"/>
        <w:pageBreakBefore w:val="0"/>
        <w:widowControl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项目负责人的组织管理能力；项目主要参加人员的姓名、职务、职称、专业、对项目的熟悉情况。项目负责人及项目组成员任务分工等。</w:t>
      </w:r>
    </w:p>
    <w:p>
      <w:pPr>
        <w:keepNext w:val="0"/>
        <w:keepLines w:val="0"/>
        <w:pageBreakBefore w:val="0"/>
        <w:widowControl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2.基础条件</w:t>
      </w:r>
    </w:p>
    <w:p>
      <w:pPr>
        <w:keepNext w:val="0"/>
        <w:keepLines w:val="0"/>
        <w:pageBreakBefore w:val="0"/>
        <w:widowControl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项目单位及合作单位完成项目已经具备的基础条件，工作平台、仪式设备、可使用的信息系统、数据库系统，说明可使用的已掌握技术或发明专利，并重点说明项目单位及合作单位类型项目工作经验及前期工作基础情况，以及已有经验与现申请项目的相关性。</w:t>
      </w:r>
    </w:p>
    <w:p>
      <w:pPr>
        <w:keepNext w:val="0"/>
        <w:keepLines w:val="0"/>
        <w:pageBreakBefore w:val="0"/>
        <w:widowControl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3.前期调研</w:t>
      </w:r>
    </w:p>
    <w:p>
      <w:pPr>
        <w:keepNext w:val="0"/>
        <w:keepLines w:val="0"/>
        <w:pageBreakBefore w:val="0"/>
        <w:widowControl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项目单位在申报前对项目开展的前期调研情况，包括国内国外开展项目的情况、具体方式，有无可直接引用的成果、数据。</w:t>
      </w:r>
    </w:p>
    <w:p>
      <w:pPr>
        <w:keepNext w:val="0"/>
        <w:keepLines w:val="0"/>
        <w:pageBreakBefore w:val="0"/>
        <w:widowControl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4.其他相关条件</w:t>
      </w:r>
    </w:p>
    <w:p>
      <w:pPr>
        <w:pStyle w:val="18"/>
        <w:keepNext w:val="0"/>
        <w:keepLines w:val="0"/>
        <w:pageBreakBefore w:val="0"/>
        <w:widowControl w:val="0"/>
        <w:kinsoku/>
        <w:wordWrap/>
        <w:overflowPunct/>
        <w:topLinePunct w:val="0"/>
        <w:bidi w:val="0"/>
        <w:spacing w:line="240" w:lineRule="auto"/>
        <w:ind w:right="0" w:rightChars="0"/>
        <w:textAlignment w:val="auto"/>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 xml:space="preserve">    其他具备的实施条件和保障措施。</w:t>
      </w: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黑体"/>
          <w:bCs/>
          <w:kern w:val="0"/>
          <w:sz w:val="28"/>
          <w:szCs w:val="28"/>
        </w:rPr>
      </w:pPr>
      <w:r>
        <w:rPr>
          <w:rFonts w:hint="eastAsia" w:ascii="黑体" w:hAnsi="黑体" w:eastAsia="黑体" w:cs="黑体"/>
          <w:bCs/>
          <w:kern w:val="0"/>
          <w:sz w:val="28"/>
          <w:szCs w:val="28"/>
        </w:rPr>
        <w:t>六、项目预算及资金来源</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（一）预算编制依据文件</w:t>
      </w:r>
    </w:p>
    <w:p>
      <w:pPr>
        <w:pageBreakBefore w:val="0"/>
        <w:kinsoku/>
        <w:wordWrap/>
        <w:overflowPunct/>
        <w:topLinePunct w:val="0"/>
        <w:bidi w:val="0"/>
        <w:adjustRightInd/>
        <w:snapToGrid/>
        <w:spacing w:line="240" w:lineRule="auto"/>
        <w:ind w:right="0" w:rightChars="0" w:firstLine="20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预算费用支出参考的依据文件，如相关定额、定量、支出标准的依据。</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（二）项目预算总投入情况</w:t>
      </w:r>
    </w:p>
    <w:p>
      <w:pPr>
        <w:pageBreakBefore w:val="0"/>
        <w:kinsoku/>
        <w:wordWrap/>
        <w:overflowPunct/>
        <w:topLinePunct w:val="0"/>
        <w:bidi w:val="0"/>
        <w:adjustRightInd/>
        <w:snapToGrid/>
        <w:spacing w:line="240" w:lineRule="auto"/>
        <w:ind w:right="0" w:rightChars="0" w:firstLine="20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说明申请预算费用总额情况。</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（三）项目预算资金来源的情况</w:t>
      </w:r>
    </w:p>
    <w:p>
      <w:pPr>
        <w:pageBreakBefore w:val="0"/>
        <w:kinsoku/>
        <w:wordWrap/>
        <w:overflowPunct/>
        <w:topLinePunct w:val="0"/>
        <w:bidi w:val="0"/>
        <w:adjustRightInd/>
        <w:snapToGrid/>
        <w:spacing w:line="240" w:lineRule="auto"/>
        <w:ind w:right="0" w:rightChars="0"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1.预计项目预算费用来源，包括省财政资金、自筹资金等。</w:t>
      </w:r>
    </w:p>
    <w:p>
      <w:pPr>
        <w:pageBreakBefore w:val="0"/>
        <w:kinsoku/>
        <w:wordWrap/>
        <w:overflowPunct/>
        <w:topLinePunct w:val="0"/>
        <w:bidi w:val="0"/>
        <w:adjustRightInd/>
        <w:snapToGrid/>
        <w:spacing w:line="240" w:lineRule="auto"/>
        <w:ind w:right="0" w:rightChars="0"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2.财政资金主要用途和支出范围;自筹资金用途及支出范围。</w:t>
      </w:r>
    </w:p>
    <w:p>
      <w:pPr>
        <w:pageBreakBefore w:val="0"/>
        <w:kinsoku/>
        <w:wordWrap/>
        <w:overflowPunct/>
        <w:topLinePunct w:val="0"/>
        <w:bidi w:val="0"/>
        <w:adjustRightInd/>
        <w:snapToGrid/>
        <w:spacing w:line="240" w:lineRule="auto"/>
        <w:ind w:right="0" w:rightChars="0" w:firstLine="560" w:firstLineChars="200"/>
        <w:textAlignment w:val="auto"/>
        <w:outlineLvl w:val="1"/>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（四）预算经费支出内容</w:t>
      </w:r>
    </w:p>
    <w:p>
      <w:pPr>
        <w:pageBreakBefore w:val="0"/>
        <w:kinsoku/>
        <w:wordWrap/>
        <w:overflowPunct/>
        <w:topLinePunct w:val="0"/>
        <w:bidi w:val="0"/>
        <w:adjustRightInd/>
        <w:snapToGrid/>
        <w:spacing w:line="240" w:lineRule="auto"/>
        <w:ind w:right="0" w:rightChars="0"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简要说明预算支出具体内容。</w:t>
      </w:r>
    </w:p>
    <w:p>
      <w:pPr>
        <w:pageBreakBefore w:val="0"/>
        <w:kinsoku/>
        <w:wordWrap/>
        <w:overflowPunct/>
        <w:topLinePunct w:val="0"/>
        <w:bidi w:val="0"/>
        <w:adjustRightInd/>
        <w:snapToGrid/>
        <w:spacing w:line="240" w:lineRule="auto"/>
        <w:ind w:right="0" w:rightChars="0"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填写附表2：预算支出明细表。</w:t>
      </w: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Times New Roman"/>
          <w:sz w:val="28"/>
          <w:szCs w:val="28"/>
        </w:rPr>
      </w:pPr>
      <w:r>
        <w:rPr>
          <w:rFonts w:hint="eastAsia" w:ascii="黑体" w:hAnsi="黑体" w:eastAsia="黑体" w:cs="Times New Roman"/>
          <w:sz w:val="28"/>
          <w:szCs w:val="28"/>
        </w:rPr>
        <w:t>七、预期成果与效益分析</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项目实施预期取得的成果及成果应用价值，项目实施预期社会效益、经济效益、效益持续力、主要受益者等。</w:t>
      </w: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Times New Roman"/>
          <w:sz w:val="28"/>
          <w:szCs w:val="28"/>
        </w:rPr>
      </w:pPr>
      <w:r>
        <w:rPr>
          <w:rFonts w:hint="eastAsia" w:ascii="黑体" w:hAnsi="黑体" w:eastAsia="黑体" w:cs="Times New Roman"/>
          <w:sz w:val="28"/>
          <w:szCs w:val="28"/>
        </w:rPr>
        <w:t>八、项目验收标准</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分项描述项目验收指标及验收标准。</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监测检测报告质量要求等。</w:t>
      </w:r>
    </w:p>
    <w:p>
      <w:pPr>
        <w:pageBreakBefore w:val="0"/>
        <w:kinsoku/>
        <w:wordWrap/>
        <w:overflowPunct/>
        <w:topLinePunct w:val="0"/>
        <w:bidi w:val="0"/>
        <w:adjustRightInd/>
        <w:snapToGrid/>
        <w:spacing w:line="240" w:lineRule="auto"/>
        <w:ind w:right="0" w:rightChars="0" w:firstLine="560" w:firstLineChars="200"/>
        <w:textAlignment w:val="auto"/>
        <w:outlineLvl w:val="0"/>
        <w:rPr>
          <w:rFonts w:hint="eastAsia" w:ascii="黑体" w:hAnsi="黑体" w:eastAsia="黑体" w:cs="Times New Roman"/>
          <w:sz w:val="28"/>
          <w:szCs w:val="28"/>
        </w:rPr>
      </w:pPr>
      <w:r>
        <w:rPr>
          <w:rFonts w:hint="eastAsia" w:ascii="黑体" w:hAnsi="黑体" w:eastAsia="黑体" w:cs="Times New Roman"/>
          <w:sz w:val="28"/>
          <w:szCs w:val="28"/>
        </w:rPr>
        <w:t>九、项目风险与不确定</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项目的风险和不确定因素、项目单位对风险的认识及相关风险管理措施等。</w:t>
      </w:r>
    </w:p>
    <w:p>
      <w:pPr>
        <w:keepNext/>
        <w:keepLines/>
        <w:pageBreakBefore w:val="0"/>
        <w:widowControl w:val="0"/>
        <w:numPr>
          <w:ilvl w:val="2"/>
          <w:numId w:val="0"/>
        </w:numPr>
        <w:kinsoku/>
        <w:wordWrap/>
        <w:overflowPunct/>
        <w:topLinePunct w:val="0"/>
        <w:bidi w:val="0"/>
        <w:spacing w:before="0" w:after="0" w:line="240" w:lineRule="auto"/>
        <w:ind w:left="288" w:leftChars="0" w:right="0" w:rightChars="0"/>
        <w:jc w:val="both"/>
        <w:textAlignment w:val="auto"/>
        <w:outlineLvl w:val="2"/>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附表</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1.预算绩效目标表（另附）</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176" w:name="_Hlk72069677"/>
      <w:r>
        <w:rPr>
          <w:rFonts w:hint="eastAsia" w:ascii="仿宋_GB2312" w:hAnsi="仿宋_GB2312" w:eastAsia="仿宋_GB2312" w:cs="仿宋_GB2312"/>
          <w:sz w:val="28"/>
          <w:szCs w:val="28"/>
        </w:rPr>
        <w:t>预算支出明细表</w:t>
      </w:r>
      <w:bookmarkEnd w:id="176"/>
      <w:r>
        <w:rPr>
          <w:rFonts w:hint="eastAsia" w:ascii="仿宋_GB2312" w:hAnsi="仿宋_GB2312" w:eastAsia="仿宋_GB2312" w:cs="仿宋_GB2312"/>
          <w:sz w:val="28"/>
          <w:szCs w:val="28"/>
        </w:rPr>
        <w:t>（另附）</w:t>
      </w:r>
    </w:p>
    <w:p>
      <w:pPr>
        <w:keepNext/>
        <w:keepLines/>
        <w:pageBreakBefore w:val="0"/>
        <w:widowControl w:val="0"/>
        <w:numPr>
          <w:ilvl w:val="2"/>
          <w:numId w:val="0"/>
        </w:numPr>
        <w:kinsoku/>
        <w:wordWrap/>
        <w:overflowPunct/>
        <w:topLinePunct w:val="0"/>
        <w:bidi w:val="0"/>
        <w:spacing w:before="0" w:after="0" w:line="240" w:lineRule="auto"/>
        <w:ind w:left="288" w:leftChars="0" w:right="0" w:rightChars="0"/>
        <w:jc w:val="both"/>
        <w:textAlignment w:val="auto"/>
        <w:outlineLvl w:val="2"/>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附件：</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1.诚信承诺书</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2.知识产权合规性声明</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3.项目承担单位意见</w:t>
      </w:r>
    </w:p>
    <w:p>
      <w:pPr>
        <w:pStyle w:val="18"/>
        <w:pageBreakBefore w:val="0"/>
        <w:kinsoku/>
        <w:wordWrap/>
        <w:overflowPunct/>
        <w:topLinePunct w:val="0"/>
        <w:bidi w:val="0"/>
        <w:spacing w:line="240" w:lineRule="auto"/>
        <w:ind w:right="0" w:rightChars="0"/>
        <w:textAlignment w:val="auto"/>
        <w:rPr>
          <w:rFonts w:hint="eastAsia"/>
        </w:rPr>
      </w:pPr>
    </w:p>
    <w:p>
      <w:pPr>
        <w:pageBreakBefore w:val="0"/>
        <w:kinsoku/>
        <w:wordWrap/>
        <w:overflowPunct/>
        <w:topLinePunct w:val="0"/>
        <w:bidi w:val="0"/>
        <w:adjustRightInd/>
        <w:snapToGrid/>
        <w:spacing w:after="435" w:afterLines="100" w:line="240" w:lineRule="auto"/>
        <w:ind w:right="0" w:rightChars="0" w:firstLine="0" w:firstLineChars="0"/>
        <w:jc w:val="left"/>
        <w:textAlignment w:val="auto"/>
        <w:outlineLvl w:val="1"/>
        <w:rPr>
          <w:rFonts w:hint="eastAsia" w:ascii="宋体" w:hAnsi="宋体" w:eastAsia="宋体" w:cs="仿宋_GB2312"/>
          <w:b/>
          <w:color w:val="000000"/>
          <w:kern w:val="0"/>
          <w:sz w:val="22"/>
          <w:szCs w:val="22"/>
          <w:lang w:bidi="ar"/>
        </w:rPr>
      </w:pPr>
      <w:r>
        <w:rPr>
          <w:rFonts w:hint="eastAsia" w:ascii="宋体" w:hAnsi="宋体" w:eastAsia="宋体" w:cs="仿宋_GB2312"/>
          <w:b/>
          <w:color w:val="000000"/>
          <w:kern w:val="0"/>
          <w:sz w:val="22"/>
          <w:szCs w:val="22"/>
          <w:lang w:bidi="ar"/>
        </w:rPr>
        <w:t>附件1</w:t>
      </w:r>
    </w:p>
    <w:p>
      <w:pPr>
        <w:pageBreakBefore w:val="0"/>
        <w:kinsoku/>
        <w:wordWrap/>
        <w:overflowPunct/>
        <w:topLinePunct w:val="0"/>
        <w:bidi w:val="0"/>
        <w:adjustRightInd/>
        <w:snapToGrid/>
        <w:spacing w:after="435" w:afterLines="100" w:line="240" w:lineRule="auto"/>
        <w:ind w:right="0" w:rightChars="0" w:firstLine="0" w:firstLineChars="0"/>
        <w:jc w:val="center"/>
        <w:textAlignment w:val="auto"/>
        <w:rPr>
          <w:rFonts w:ascii="黑体" w:hAnsi="黑体" w:eastAsia="黑体" w:cs="Times New Roman"/>
          <w:sz w:val="28"/>
          <w:szCs w:val="21"/>
        </w:rPr>
      </w:pPr>
      <w:r>
        <w:rPr>
          <w:rFonts w:hint="eastAsia" w:ascii="黑体" w:hAnsi="黑体" w:eastAsia="黑体" w:cs="Times New Roman"/>
          <w:sz w:val="40"/>
          <w:szCs w:val="40"/>
        </w:rPr>
        <w:t>诚信承诺书</w:t>
      </w:r>
    </w:p>
    <w:p>
      <w:pPr>
        <w:pageBreakBefore w:val="0"/>
        <w:kinsoku/>
        <w:wordWrap/>
        <w:overflowPunct/>
        <w:topLinePunct w:val="0"/>
        <w:bidi w:val="0"/>
        <w:adjustRightInd/>
        <w:snapToGrid/>
        <w:spacing w:line="240" w:lineRule="auto"/>
        <w:ind w:right="0" w:rightChars="0" w:firstLine="456" w:firstLineChars="190"/>
        <w:textAlignment w:val="auto"/>
        <w:rPr>
          <w:rFonts w:ascii="仿宋" w:hAnsi="仿宋" w:eastAsia="仿宋" w:cs="华文仿宋"/>
          <w:sz w:val="24"/>
          <w:szCs w:val="20"/>
        </w:rPr>
      </w:pPr>
      <w:r>
        <w:rPr>
          <w:rFonts w:hint="eastAsia" w:ascii="仿宋" w:hAnsi="仿宋" w:eastAsia="仿宋" w:cs="华文仿宋"/>
          <w:sz w:val="24"/>
          <w:szCs w:val="20"/>
        </w:rPr>
        <w:t>本人根据</w:t>
      </w:r>
      <w:r>
        <w:rPr>
          <w:rFonts w:hint="eastAsia" w:ascii="仿宋" w:hAnsi="仿宋" w:eastAsia="仿宋" w:cs="华文仿宋"/>
          <w:sz w:val="24"/>
          <w:szCs w:val="20"/>
          <w:u w:val="single"/>
        </w:rPr>
        <w:t xml:space="preserve">            </w:t>
      </w:r>
      <w:r>
        <w:rPr>
          <w:rFonts w:hint="eastAsia" w:ascii="仿宋" w:hAnsi="仿宋" w:eastAsia="仿宋" w:cs="华文仿宋"/>
          <w:sz w:val="24"/>
          <w:szCs w:val="20"/>
        </w:rPr>
        <w:t>立项指南的要求，自愿提交立项申请书，在此郑重承诺：所申报材料和相关内容真实有效，不存在以下违背诚信要求的行为。</w:t>
      </w:r>
    </w:p>
    <w:p>
      <w:pPr>
        <w:pageBreakBefore w:val="0"/>
        <w:kinsoku/>
        <w:wordWrap/>
        <w:overflowPunct/>
        <w:topLinePunct w:val="0"/>
        <w:bidi w:val="0"/>
        <w:adjustRightInd/>
        <w:snapToGrid/>
        <w:spacing w:line="240" w:lineRule="auto"/>
        <w:ind w:right="0" w:rightChars="0" w:firstLine="456" w:firstLineChars="190"/>
        <w:textAlignment w:val="auto"/>
        <w:rPr>
          <w:rFonts w:ascii="仿宋" w:hAnsi="仿宋" w:eastAsia="仿宋" w:cs="华文仿宋"/>
          <w:sz w:val="24"/>
          <w:szCs w:val="20"/>
        </w:rPr>
      </w:pPr>
      <w:r>
        <w:rPr>
          <w:rFonts w:hint="eastAsia" w:ascii="仿宋" w:hAnsi="仿宋" w:eastAsia="仿宋" w:cs="华文仿宋"/>
          <w:sz w:val="24"/>
          <w:szCs w:val="20"/>
        </w:rPr>
        <w:t>（一）抄袭、剽窃、侵占他人成果；</w:t>
      </w:r>
    </w:p>
    <w:p>
      <w:pPr>
        <w:pageBreakBefore w:val="0"/>
        <w:kinsoku/>
        <w:wordWrap/>
        <w:overflowPunct/>
        <w:topLinePunct w:val="0"/>
        <w:bidi w:val="0"/>
        <w:adjustRightInd/>
        <w:snapToGrid/>
        <w:spacing w:line="240" w:lineRule="auto"/>
        <w:ind w:right="0" w:rightChars="0" w:firstLine="453" w:firstLineChars="189"/>
        <w:textAlignment w:val="auto"/>
        <w:rPr>
          <w:rFonts w:ascii="仿宋" w:hAnsi="仿宋" w:eastAsia="仿宋" w:cs="华文仿宋"/>
          <w:sz w:val="24"/>
          <w:szCs w:val="20"/>
        </w:rPr>
      </w:pPr>
      <w:r>
        <w:rPr>
          <w:rFonts w:hint="eastAsia" w:ascii="仿宋" w:hAnsi="仿宋" w:eastAsia="仿宋" w:cs="华文仿宋"/>
          <w:sz w:val="24"/>
          <w:szCs w:val="20"/>
        </w:rPr>
        <w:t>（二）编制数据产生过程，伪造、篡改研究数据、图表、结论；</w:t>
      </w:r>
    </w:p>
    <w:p>
      <w:pPr>
        <w:pageBreakBefore w:val="0"/>
        <w:kinsoku/>
        <w:wordWrap/>
        <w:overflowPunct/>
        <w:topLinePunct w:val="0"/>
        <w:bidi w:val="0"/>
        <w:adjustRightInd/>
        <w:snapToGrid/>
        <w:spacing w:line="240" w:lineRule="auto"/>
        <w:ind w:right="0" w:rightChars="0" w:firstLine="456" w:firstLineChars="190"/>
        <w:textAlignment w:val="auto"/>
        <w:rPr>
          <w:rFonts w:ascii="仿宋" w:hAnsi="仿宋" w:eastAsia="仿宋" w:cs="华文仿宋"/>
          <w:sz w:val="24"/>
          <w:szCs w:val="20"/>
        </w:rPr>
      </w:pPr>
      <w:r>
        <w:rPr>
          <w:rFonts w:hint="eastAsia" w:ascii="仿宋" w:hAnsi="仿宋" w:eastAsia="仿宋" w:cs="华文仿宋"/>
          <w:sz w:val="24"/>
          <w:szCs w:val="20"/>
        </w:rPr>
        <w:t>（三）以故意提供虚假信息等弄虚作假的方式或采取贿赂、利益交换等不正当手段获取项目、资金、奖励、荣誉、职务职称等；</w:t>
      </w:r>
    </w:p>
    <w:p>
      <w:pPr>
        <w:pageBreakBefore w:val="0"/>
        <w:kinsoku/>
        <w:wordWrap/>
        <w:overflowPunct/>
        <w:topLinePunct w:val="0"/>
        <w:bidi w:val="0"/>
        <w:adjustRightInd/>
        <w:snapToGrid/>
        <w:spacing w:line="240" w:lineRule="auto"/>
        <w:ind w:right="0" w:rightChars="0" w:firstLine="456" w:firstLineChars="190"/>
        <w:textAlignment w:val="auto"/>
        <w:rPr>
          <w:rFonts w:ascii="仿宋" w:hAnsi="仿宋" w:eastAsia="仿宋" w:cs="华文仿宋"/>
          <w:sz w:val="24"/>
          <w:szCs w:val="20"/>
        </w:rPr>
      </w:pPr>
      <w:r>
        <w:rPr>
          <w:rFonts w:hint="eastAsia" w:ascii="仿宋" w:hAnsi="仿宋" w:eastAsia="仿宋" w:cs="华文仿宋"/>
          <w:sz w:val="24"/>
          <w:szCs w:val="20"/>
        </w:rPr>
        <w:t>（四）明知单位本身不符合条件，蓄意作出误导性陈述以通过资格审查；</w:t>
      </w:r>
    </w:p>
    <w:p>
      <w:pPr>
        <w:pageBreakBefore w:val="0"/>
        <w:kinsoku/>
        <w:wordWrap/>
        <w:overflowPunct/>
        <w:topLinePunct w:val="0"/>
        <w:bidi w:val="0"/>
        <w:adjustRightInd/>
        <w:snapToGrid/>
        <w:spacing w:line="240" w:lineRule="auto"/>
        <w:ind w:right="0" w:rightChars="0" w:firstLine="456" w:firstLineChars="190"/>
        <w:textAlignment w:val="auto"/>
        <w:rPr>
          <w:rFonts w:hint="eastAsia" w:ascii="仿宋" w:hAnsi="仿宋" w:eastAsia="仿宋" w:cs="华文仿宋"/>
          <w:sz w:val="24"/>
          <w:szCs w:val="20"/>
        </w:rPr>
      </w:pPr>
      <w:r>
        <w:rPr>
          <w:rFonts w:hint="eastAsia" w:ascii="仿宋" w:hAnsi="仿宋" w:eastAsia="仿宋" w:cs="华文仿宋"/>
          <w:sz w:val="24"/>
          <w:szCs w:val="20"/>
        </w:rPr>
        <w:t>（五）明知数据的产生、取得不符合规范，存在严重瑕疵或逻辑错误，仍予以采用并提及成果。</w:t>
      </w:r>
    </w:p>
    <w:p>
      <w:pPr>
        <w:pageBreakBefore w:val="0"/>
        <w:kinsoku/>
        <w:wordWrap/>
        <w:overflowPunct/>
        <w:topLinePunct w:val="0"/>
        <w:bidi w:val="0"/>
        <w:adjustRightInd/>
        <w:snapToGrid/>
        <w:spacing w:line="240" w:lineRule="auto"/>
        <w:ind w:right="0" w:rightChars="0" w:firstLine="456" w:firstLineChars="190"/>
        <w:textAlignment w:val="auto"/>
        <w:rPr>
          <w:rFonts w:ascii="仿宋" w:hAnsi="仿宋" w:eastAsia="仿宋" w:cs="华文仿宋"/>
          <w:sz w:val="24"/>
          <w:szCs w:val="20"/>
        </w:rPr>
      </w:pPr>
      <w:r>
        <w:rPr>
          <w:rFonts w:hint="eastAsia" w:ascii="仿宋" w:hAnsi="仿宋" w:eastAsia="仿宋" w:cs="华文仿宋"/>
          <w:sz w:val="24"/>
          <w:szCs w:val="20"/>
        </w:rPr>
        <w:t>（六）其他失信行为。</w:t>
      </w:r>
    </w:p>
    <w:p>
      <w:pPr>
        <w:pageBreakBefore w:val="0"/>
        <w:kinsoku/>
        <w:wordWrap/>
        <w:overflowPunct/>
        <w:topLinePunct w:val="0"/>
        <w:bidi w:val="0"/>
        <w:adjustRightInd/>
        <w:snapToGrid/>
        <w:spacing w:line="240" w:lineRule="auto"/>
        <w:ind w:right="0" w:rightChars="0" w:firstLine="456" w:firstLineChars="190"/>
        <w:textAlignment w:val="auto"/>
        <w:rPr>
          <w:rFonts w:ascii="仿宋" w:hAnsi="仿宋" w:eastAsia="仿宋" w:cs="华文仿宋"/>
          <w:sz w:val="24"/>
          <w:szCs w:val="20"/>
        </w:rPr>
      </w:pPr>
      <w:r>
        <w:rPr>
          <w:rFonts w:hint="eastAsia" w:ascii="仿宋" w:hAnsi="仿宋" w:eastAsia="仿宋" w:cs="华文仿宋"/>
          <w:sz w:val="24"/>
          <w:szCs w:val="20"/>
        </w:rPr>
        <w:t>如有违反，本人/本单位愿接受</w:t>
      </w:r>
      <w:r>
        <w:rPr>
          <w:rFonts w:hint="eastAsia" w:ascii="仿宋" w:hAnsi="仿宋" w:eastAsia="仿宋" w:cs="华文仿宋"/>
          <w:sz w:val="24"/>
          <w:szCs w:val="20"/>
          <w:lang w:eastAsia="zh-Hans"/>
        </w:rPr>
        <w:t>广东省农业农村厅</w:t>
      </w:r>
      <w:r>
        <w:rPr>
          <w:rFonts w:hint="eastAsia" w:ascii="仿宋" w:hAnsi="仿宋" w:eastAsia="仿宋" w:cs="华文仿宋"/>
          <w:sz w:val="24"/>
          <w:szCs w:val="20"/>
        </w:rPr>
        <w:t>做出的各项处理决定，包括但不限于停拨或核减资金，追回</w:t>
      </w:r>
      <w:r>
        <w:rPr>
          <w:rFonts w:hint="eastAsia" w:ascii="仿宋" w:hAnsi="仿宋" w:eastAsia="仿宋" w:cs="华文仿宋"/>
          <w:sz w:val="24"/>
          <w:szCs w:val="20"/>
          <w:lang w:eastAsia="zh-Hans"/>
        </w:rPr>
        <w:t>项目</w:t>
      </w:r>
      <w:r>
        <w:rPr>
          <w:rFonts w:hint="eastAsia" w:ascii="仿宋" w:hAnsi="仿宋" w:eastAsia="仿宋" w:cs="华文仿宋"/>
          <w:sz w:val="24"/>
          <w:szCs w:val="20"/>
        </w:rPr>
        <w:t>资金，取消五年内</w:t>
      </w:r>
      <w:r>
        <w:rPr>
          <w:rFonts w:hint="eastAsia" w:ascii="仿宋" w:hAnsi="仿宋" w:eastAsia="仿宋" w:cs="华文仿宋"/>
          <w:sz w:val="24"/>
          <w:szCs w:val="20"/>
          <w:lang w:eastAsia="zh-Hans"/>
        </w:rPr>
        <w:t>广东省农业农村厅</w:t>
      </w:r>
      <w:r>
        <w:rPr>
          <w:rFonts w:hint="eastAsia" w:ascii="仿宋" w:hAnsi="仿宋" w:eastAsia="仿宋" w:cs="华文仿宋"/>
          <w:sz w:val="24"/>
          <w:szCs w:val="20"/>
        </w:rPr>
        <w:t>项目申报资格，记入</w:t>
      </w:r>
      <w:r>
        <w:rPr>
          <w:rFonts w:hint="eastAsia" w:ascii="仿宋" w:hAnsi="仿宋" w:eastAsia="仿宋" w:cs="华文仿宋"/>
          <w:sz w:val="24"/>
          <w:szCs w:val="20"/>
          <w:lang w:eastAsia="zh-Hans"/>
        </w:rPr>
        <w:t>广东省农业农村厅</w:t>
      </w:r>
      <w:r>
        <w:rPr>
          <w:rFonts w:hint="eastAsia" w:ascii="仿宋" w:hAnsi="仿宋" w:eastAsia="仿宋" w:cs="华文仿宋"/>
          <w:sz w:val="24"/>
          <w:szCs w:val="20"/>
        </w:rPr>
        <w:t>诚信异常名录等。</w:t>
      </w:r>
    </w:p>
    <w:p>
      <w:pPr>
        <w:pageBreakBefore w:val="0"/>
        <w:kinsoku/>
        <w:wordWrap/>
        <w:overflowPunct/>
        <w:topLinePunct w:val="0"/>
        <w:bidi w:val="0"/>
        <w:adjustRightInd/>
        <w:snapToGrid/>
        <w:spacing w:line="240" w:lineRule="auto"/>
        <w:ind w:right="0" w:rightChars="0" w:firstLine="0" w:firstLineChars="0"/>
        <w:textAlignment w:val="auto"/>
        <w:rPr>
          <w:rFonts w:ascii="仿宋" w:hAnsi="仿宋" w:eastAsia="仿宋" w:cs="华文仿宋"/>
          <w:sz w:val="24"/>
          <w:szCs w:val="20"/>
        </w:rPr>
      </w:pPr>
      <w:r>
        <w:rPr>
          <w:rFonts w:hint="eastAsia" w:ascii="仿宋" w:hAnsi="仿宋" w:eastAsia="仿宋" w:cs="华文仿宋"/>
          <w:sz w:val="24"/>
          <w:szCs w:val="20"/>
        </w:rPr>
        <w:t xml:space="preserve">        申报单位法定代表人或授权代表人（签名）：</w:t>
      </w:r>
    </w:p>
    <w:p>
      <w:pPr>
        <w:pageBreakBefore w:val="0"/>
        <w:kinsoku/>
        <w:wordWrap/>
        <w:overflowPunct/>
        <w:topLinePunct w:val="0"/>
        <w:bidi w:val="0"/>
        <w:adjustRightInd/>
        <w:snapToGrid/>
        <w:spacing w:line="240" w:lineRule="auto"/>
        <w:ind w:right="0" w:rightChars="0" w:firstLine="0" w:firstLineChars="0"/>
        <w:textAlignment w:val="auto"/>
        <w:rPr>
          <w:rFonts w:ascii="仿宋" w:hAnsi="仿宋" w:eastAsia="仿宋" w:cs="华文仿宋"/>
          <w:sz w:val="24"/>
          <w:szCs w:val="20"/>
        </w:rPr>
      </w:pPr>
      <w:r>
        <w:rPr>
          <w:rFonts w:hint="eastAsia" w:ascii="仿宋" w:hAnsi="仿宋" w:eastAsia="仿宋" w:cs="华文仿宋"/>
          <w:sz w:val="24"/>
          <w:szCs w:val="20"/>
        </w:rPr>
        <w:t xml:space="preserve">                            </w:t>
      </w:r>
      <w:r>
        <w:rPr>
          <w:rFonts w:hint="eastAsia" w:ascii="仿宋" w:hAnsi="仿宋" w:eastAsia="仿宋" w:cs="华文仿宋"/>
          <w:sz w:val="24"/>
          <w:szCs w:val="20"/>
          <w:lang w:eastAsia="zh-Hans"/>
        </w:rPr>
        <w:t>项目</w:t>
      </w:r>
      <w:r>
        <w:rPr>
          <w:rFonts w:hint="eastAsia" w:ascii="仿宋" w:hAnsi="仿宋" w:eastAsia="仿宋" w:cs="华文仿宋"/>
          <w:sz w:val="24"/>
          <w:szCs w:val="20"/>
        </w:rPr>
        <w:t>负责人（签名）：</w:t>
      </w:r>
    </w:p>
    <w:p>
      <w:pPr>
        <w:pageBreakBefore w:val="0"/>
        <w:kinsoku/>
        <w:wordWrap/>
        <w:overflowPunct/>
        <w:topLinePunct w:val="0"/>
        <w:bidi w:val="0"/>
        <w:adjustRightInd/>
        <w:snapToGrid/>
        <w:spacing w:line="240" w:lineRule="auto"/>
        <w:ind w:right="0" w:rightChars="0" w:firstLine="2160" w:firstLineChars="900"/>
        <w:textAlignment w:val="auto"/>
        <w:rPr>
          <w:rFonts w:hint="eastAsia" w:ascii="仿宋" w:hAnsi="仿宋" w:eastAsia="仿宋" w:cs="华文仿宋"/>
          <w:sz w:val="24"/>
          <w:szCs w:val="20"/>
        </w:rPr>
      </w:pPr>
      <w:r>
        <w:rPr>
          <w:rFonts w:hint="eastAsia" w:ascii="仿宋" w:hAnsi="仿宋" w:eastAsia="仿宋" w:cs="华文仿宋"/>
          <w:sz w:val="24"/>
          <w:szCs w:val="20"/>
        </w:rPr>
        <w:t xml:space="preserve">              </w:t>
      </w:r>
      <w:r>
        <w:rPr>
          <w:rFonts w:ascii="仿宋" w:hAnsi="仿宋" w:eastAsia="仿宋" w:cs="华文仿宋"/>
          <w:sz w:val="24"/>
          <w:szCs w:val="20"/>
        </w:rPr>
        <w:t xml:space="preserve">      </w:t>
      </w:r>
      <w:r>
        <w:rPr>
          <w:rFonts w:hint="eastAsia" w:ascii="仿宋" w:hAnsi="仿宋" w:eastAsia="仿宋" w:cs="华文仿宋"/>
          <w:sz w:val="24"/>
          <w:szCs w:val="20"/>
        </w:rPr>
        <w:t>年  月  日</w:t>
      </w:r>
    </w:p>
    <w:p>
      <w:pPr>
        <w:pageBreakBefore w:val="0"/>
        <w:kinsoku/>
        <w:wordWrap/>
        <w:overflowPunct/>
        <w:topLinePunct w:val="0"/>
        <w:bidi w:val="0"/>
        <w:adjustRightInd/>
        <w:snapToGrid/>
        <w:spacing w:line="240" w:lineRule="auto"/>
        <w:ind w:right="0" w:rightChars="0" w:firstLine="456" w:firstLineChars="190"/>
        <w:textAlignment w:val="auto"/>
        <w:rPr>
          <w:rFonts w:ascii="Times New Roman" w:hAnsi="Times New Roman" w:eastAsia="仿宋" w:cs="华文仿宋"/>
          <w:sz w:val="24"/>
          <w:szCs w:val="20"/>
        </w:rPr>
      </w:pPr>
    </w:p>
    <w:p>
      <w:pPr>
        <w:pageBreakBefore w:val="0"/>
        <w:kinsoku/>
        <w:wordWrap/>
        <w:overflowPunct/>
        <w:topLinePunct w:val="0"/>
        <w:bidi w:val="0"/>
        <w:adjustRightInd/>
        <w:snapToGrid/>
        <w:spacing w:line="240" w:lineRule="auto"/>
        <w:ind w:right="0" w:rightChars="0" w:firstLine="0" w:firstLineChars="0"/>
        <w:textAlignment w:val="auto"/>
        <w:rPr>
          <w:rFonts w:hint="eastAsia" w:ascii="宋体" w:hAnsi="宋体" w:eastAsia="宋体" w:cs="仿宋_GB2312"/>
          <w:b/>
          <w:color w:val="000000"/>
          <w:kern w:val="0"/>
          <w:sz w:val="22"/>
          <w:szCs w:val="22"/>
          <w:lang w:bidi="ar"/>
        </w:rPr>
      </w:pPr>
      <w:r>
        <w:rPr>
          <w:rFonts w:hint="eastAsia" w:ascii="宋体" w:hAnsi="宋体" w:eastAsia="宋体" w:cs="仿宋_GB2312"/>
          <w:b/>
          <w:color w:val="000000"/>
          <w:kern w:val="0"/>
          <w:sz w:val="22"/>
          <w:szCs w:val="22"/>
          <w:lang w:bidi="ar"/>
        </w:rPr>
        <w:br w:type="page"/>
      </w:r>
    </w:p>
    <w:p>
      <w:pPr>
        <w:pageBreakBefore w:val="0"/>
        <w:kinsoku/>
        <w:wordWrap/>
        <w:overflowPunct/>
        <w:topLinePunct w:val="0"/>
        <w:bidi w:val="0"/>
        <w:adjustRightInd/>
        <w:snapToGrid/>
        <w:spacing w:line="240" w:lineRule="auto"/>
        <w:ind w:right="0" w:rightChars="0" w:firstLine="0" w:firstLineChars="0"/>
        <w:textAlignment w:val="auto"/>
        <w:rPr>
          <w:rFonts w:hint="eastAsia" w:ascii="宋体" w:hAnsi="宋体" w:eastAsia="宋体" w:cs="仿宋_GB2312"/>
          <w:b/>
          <w:color w:val="000000"/>
          <w:kern w:val="0"/>
          <w:sz w:val="22"/>
          <w:szCs w:val="22"/>
          <w:lang w:bidi="ar"/>
        </w:rPr>
      </w:pPr>
      <w:r>
        <w:rPr>
          <w:rFonts w:hint="eastAsia" w:ascii="宋体" w:hAnsi="宋体" w:eastAsia="宋体" w:cs="仿宋_GB2312"/>
          <w:b/>
          <w:color w:val="000000"/>
          <w:kern w:val="0"/>
          <w:sz w:val="22"/>
          <w:szCs w:val="22"/>
          <w:lang w:bidi="ar"/>
        </w:rPr>
        <w:t>附件2</w:t>
      </w:r>
    </w:p>
    <w:p>
      <w:pPr>
        <w:pageBreakBefore w:val="0"/>
        <w:kinsoku/>
        <w:wordWrap/>
        <w:overflowPunct/>
        <w:topLinePunct w:val="0"/>
        <w:bidi w:val="0"/>
        <w:adjustRightInd/>
        <w:snapToGrid/>
        <w:spacing w:after="435" w:afterLines="100" w:line="240" w:lineRule="auto"/>
        <w:ind w:right="0" w:rightChars="0" w:firstLine="0" w:firstLineChars="0"/>
        <w:jc w:val="center"/>
        <w:textAlignment w:val="auto"/>
        <w:rPr>
          <w:rFonts w:ascii="黑体" w:hAnsi="黑体" w:eastAsia="黑体" w:cs="Times New Roman"/>
          <w:sz w:val="40"/>
          <w:szCs w:val="40"/>
        </w:rPr>
      </w:pPr>
      <w:r>
        <w:rPr>
          <w:rFonts w:hint="eastAsia" w:ascii="黑体" w:hAnsi="黑体" w:eastAsia="黑体" w:cs="Times New Roman"/>
          <w:sz w:val="40"/>
          <w:szCs w:val="40"/>
        </w:rPr>
        <w:t>知识产权合规性声明</w:t>
      </w:r>
    </w:p>
    <w:p>
      <w:pPr>
        <w:pageBreakBefore w:val="0"/>
        <w:kinsoku/>
        <w:wordWrap/>
        <w:overflowPunct/>
        <w:topLinePunct w:val="0"/>
        <w:bidi w:val="0"/>
        <w:adjustRightInd/>
        <w:snapToGrid/>
        <w:spacing w:line="240" w:lineRule="auto"/>
        <w:ind w:right="0" w:rightChars="0" w:firstLine="560" w:firstLineChars="200"/>
        <w:textAlignment w:val="auto"/>
        <w:rPr>
          <w:rFonts w:ascii="仿宋" w:hAnsi="仿宋" w:eastAsia="仿宋" w:cs="华文仿宋"/>
          <w:sz w:val="28"/>
          <w:szCs w:val="28"/>
        </w:rPr>
      </w:pPr>
      <w:r>
        <w:rPr>
          <w:rFonts w:hint="eastAsia" w:ascii="仿宋" w:hAnsi="仿宋" w:eastAsia="仿宋" w:cs="华文仿宋"/>
          <w:sz w:val="28"/>
          <w:szCs w:val="28"/>
        </w:rPr>
        <w:t>本人根据</w:t>
      </w:r>
      <w:r>
        <w:rPr>
          <w:rFonts w:hint="eastAsia" w:ascii="仿宋" w:hAnsi="仿宋" w:eastAsia="仿宋" w:cs="华文仿宋"/>
          <w:sz w:val="28"/>
          <w:szCs w:val="28"/>
          <w:u w:val="single"/>
        </w:rPr>
        <w:t xml:space="preserve">            </w:t>
      </w:r>
      <w:r>
        <w:rPr>
          <w:rFonts w:hint="eastAsia" w:ascii="仿宋" w:hAnsi="仿宋" w:eastAsia="仿宋" w:cs="华文仿宋"/>
          <w:sz w:val="28"/>
          <w:szCs w:val="28"/>
        </w:rPr>
        <w:t xml:space="preserve">立项指南的要求，自愿提交立项申请书，在此郑重承诺：遵守中国知识产权法律、法规、规章、具有约束力的规范性文件及在中国适用的与知识产权有关的国际公约，所申报项目的知识产权明晰无争议，归属或技术来源正当合法，不存在以下知识产权失信违法行为： </w:t>
      </w:r>
    </w:p>
    <w:p>
      <w:pPr>
        <w:pageBreakBefore w:val="0"/>
        <w:kinsoku/>
        <w:wordWrap/>
        <w:overflowPunct/>
        <w:topLinePunct w:val="0"/>
        <w:bidi w:val="0"/>
        <w:adjustRightInd/>
        <w:snapToGrid/>
        <w:spacing w:line="240" w:lineRule="auto"/>
        <w:ind w:right="0" w:rightChars="0" w:firstLine="560" w:firstLineChars="200"/>
        <w:textAlignment w:val="auto"/>
        <w:rPr>
          <w:rFonts w:ascii="仿宋" w:hAnsi="仿宋" w:eastAsia="仿宋" w:cs="华文仿宋"/>
          <w:sz w:val="28"/>
          <w:szCs w:val="28"/>
        </w:rPr>
      </w:pPr>
      <w:r>
        <w:rPr>
          <w:rFonts w:hint="eastAsia" w:ascii="仿宋" w:hAnsi="仿宋" w:eastAsia="仿宋" w:cs="华文仿宋"/>
          <w:sz w:val="28"/>
          <w:szCs w:val="28"/>
        </w:rPr>
        <w:t>（一）提交虚假资料生成的研究成果；</w:t>
      </w:r>
    </w:p>
    <w:p>
      <w:pPr>
        <w:pageBreakBefore w:val="0"/>
        <w:kinsoku/>
        <w:wordWrap/>
        <w:overflowPunct/>
        <w:topLinePunct w:val="0"/>
        <w:bidi w:val="0"/>
        <w:adjustRightInd/>
        <w:snapToGrid/>
        <w:spacing w:line="240" w:lineRule="auto"/>
        <w:ind w:right="0" w:rightChars="0" w:firstLine="560" w:firstLineChars="200"/>
        <w:textAlignment w:val="auto"/>
        <w:rPr>
          <w:rFonts w:ascii="仿宋" w:hAnsi="仿宋" w:eastAsia="仿宋" w:cs="华文仿宋"/>
          <w:sz w:val="28"/>
          <w:szCs w:val="28"/>
        </w:rPr>
      </w:pPr>
      <w:r>
        <w:rPr>
          <w:rFonts w:hint="eastAsia" w:ascii="仿宋" w:hAnsi="仿宋" w:eastAsia="仿宋" w:cs="华文仿宋"/>
          <w:sz w:val="28"/>
          <w:szCs w:val="28"/>
        </w:rPr>
        <w:t>（二）拒不执行生效的知识产权行政处理决定或者司法裁判；</w:t>
      </w:r>
    </w:p>
    <w:p>
      <w:pPr>
        <w:pageBreakBefore w:val="0"/>
        <w:kinsoku/>
        <w:wordWrap/>
        <w:overflowPunct/>
        <w:topLinePunct w:val="0"/>
        <w:bidi w:val="0"/>
        <w:adjustRightInd/>
        <w:snapToGrid/>
        <w:spacing w:line="240" w:lineRule="auto"/>
        <w:ind w:right="0" w:rightChars="0" w:firstLine="560" w:firstLineChars="200"/>
        <w:textAlignment w:val="auto"/>
        <w:rPr>
          <w:rFonts w:ascii="仿宋" w:hAnsi="仿宋" w:eastAsia="仿宋" w:cs="华文仿宋"/>
          <w:sz w:val="28"/>
          <w:szCs w:val="28"/>
        </w:rPr>
      </w:pPr>
      <w:r>
        <w:rPr>
          <w:rFonts w:hint="eastAsia" w:ascii="仿宋" w:hAnsi="仿宋" w:eastAsia="仿宋" w:cs="华文仿宋"/>
          <w:sz w:val="28"/>
          <w:szCs w:val="28"/>
        </w:rPr>
        <w:t>（三）剽窃、侵犯他人数据成果和知识产权；</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 w:hAnsi="仿宋" w:eastAsia="仿宋" w:cs="华文仿宋"/>
          <w:sz w:val="28"/>
          <w:szCs w:val="28"/>
        </w:rPr>
      </w:pPr>
      <w:r>
        <w:rPr>
          <w:rFonts w:hint="eastAsia" w:ascii="仿宋" w:hAnsi="仿宋" w:eastAsia="仿宋" w:cs="华文仿宋"/>
          <w:sz w:val="28"/>
          <w:szCs w:val="28"/>
        </w:rPr>
        <w:t>（四）项目本身拟取得的数据或成果已在本单位承担的其他项目中取得，项目成果归属存在争议。</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 w:hAnsi="仿宋" w:eastAsia="仿宋" w:cs="华文仿宋"/>
          <w:sz w:val="28"/>
          <w:szCs w:val="28"/>
        </w:rPr>
      </w:pPr>
      <w:r>
        <w:rPr>
          <w:rFonts w:hint="eastAsia" w:ascii="仿宋" w:hAnsi="仿宋" w:eastAsia="仿宋" w:cs="华文仿宋"/>
          <w:sz w:val="28"/>
          <w:szCs w:val="28"/>
        </w:rPr>
        <w:t>（五）未经许可的情况下，向本单位上级部门或其他单位提供项目实施取得的数据、成果，造成内部工作资料外泄的。</w:t>
      </w:r>
    </w:p>
    <w:p>
      <w:pPr>
        <w:pageBreakBefore w:val="0"/>
        <w:kinsoku/>
        <w:wordWrap/>
        <w:overflowPunct/>
        <w:topLinePunct w:val="0"/>
        <w:bidi w:val="0"/>
        <w:adjustRightInd/>
        <w:snapToGrid/>
        <w:spacing w:line="240" w:lineRule="auto"/>
        <w:ind w:right="0" w:rightChars="0" w:firstLine="560" w:firstLineChars="200"/>
        <w:textAlignment w:val="auto"/>
        <w:rPr>
          <w:rFonts w:ascii="仿宋" w:hAnsi="仿宋" w:eastAsia="仿宋" w:cs="华文仿宋"/>
          <w:sz w:val="28"/>
          <w:szCs w:val="28"/>
        </w:rPr>
      </w:pPr>
      <w:r>
        <w:rPr>
          <w:rFonts w:hint="eastAsia" w:ascii="仿宋" w:hAnsi="仿宋" w:eastAsia="仿宋" w:cs="华文仿宋"/>
          <w:sz w:val="28"/>
          <w:szCs w:val="28"/>
        </w:rPr>
        <w:t>如有违反，本人/本单位愿接受</w:t>
      </w:r>
      <w:r>
        <w:rPr>
          <w:rFonts w:hint="eastAsia" w:ascii="仿宋" w:hAnsi="仿宋" w:eastAsia="仿宋" w:cs="华文仿宋"/>
          <w:sz w:val="28"/>
          <w:szCs w:val="28"/>
          <w:lang w:eastAsia="zh-Hans"/>
        </w:rPr>
        <w:t>广东省农业农村厅</w:t>
      </w:r>
      <w:r>
        <w:rPr>
          <w:rFonts w:hint="eastAsia" w:ascii="仿宋" w:hAnsi="仿宋" w:eastAsia="仿宋" w:cs="华文仿宋"/>
          <w:sz w:val="28"/>
          <w:szCs w:val="28"/>
        </w:rPr>
        <w:t>做出的各项处理决定，包括但不限于停拨或核减资金，追回</w:t>
      </w:r>
      <w:r>
        <w:rPr>
          <w:rFonts w:hint="eastAsia" w:ascii="仿宋" w:hAnsi="仿宋" w:eastAsia="仿宋" w:cs="华文仿宋"/>
          <w:sz w:val="28"/>
          <w:szCs w:val="28"/>
          <w:lang w:eastAsia="zh-Hans"/>
        </w:rPr>
        <w:t>项目</w:t>
      </w:r>
      <w:r>
        <w:rPr>
          <w:rFonts w:hint="eastAsia" w:ascii="仿宋" w:hAnsi="仿宋" w:eastAsia="仿宋" w:cs="华文仿宋"/>
          <w:sz w:val="28"/>
          <w:szCs w:val="28"/>
        </w:rPr>
        <w:t>资金，取消五年内</w:t>
      </w:r>
      <w:r>
        <w:rPr>
          <w:rFonts w:hint="eastAsia" w:ascii="仿宋" w:hAnsi="仿宋" w:eastAsia="仿宋" w:cs="华文仿宋"/>
          <w:sz w:val="28"/>
          <w:szCs w:val="28"/>
          <w:lang w:eastAsia="zh-Hans"/>
        </w:rPr>
        <w:t>广东省农业农村厅</w:t>
      </w:r>
      <w:r>
        <w:rPr>
          <w:rFonts w:hint="eastAsia" w:ascii="仿宋" w:hAnsi="仿宋" w:eastAsia="仿宋" w:cs="华文仿宋"/>
          <w:sz w:val="28"/>
          <w:szCs w:val="28"/>
        </w:rPr>
        <w:t>项目申报资格，记入</w:t>
      </w:r>
      <w:r>
        <w:rPr>
          <w:rFonts w:hint="eastAsia" w:ascii="仿宋" w:hAnsi="仿宋" w:eastAsia="仿宋" w:cs="华文仿宋"/>
          <w:sz w:val="28"/>
          <w:szCs w:val="28"/>
          <w:lang w:eastAsia="zh-Hans"/>
        </w:rPr>
        <w:t>广东省农业农村厅</w:t>
      </w:r>
      <w:r>
        <w:rPr>
          <w:rFonts w:hint="eastAsia" w:ascii="仿宋" w:hAnsi="仿宋" w:eastAsia="仿宋" w:cs="华文仿宋"/>
          <w:sz w:val="28"/>
          <w:szCs w:val="28"/>
        </w:rPr>
        <w:t>诚信异常名录等。</w:t>
      </w:r>
    </w:p>
    <w:p>
      <w:pPr>
        <w:pageBreakBefore w:val="0"/>
        <w:kinsoku/>
        <w:wordWrap/>
        <w:overflowPunct/>
        <w:topLinePunct w:val="0"/>
        <w:bidi w:val="0"/>
        <w:adjustRightInd/>
        <w:snapToGrid/>
        <w:spacing w:line="240" w:lineRule="auto"/>
        <w:ind w:right="0" w:rightChars="0" w:firstLine="560" w:firstLineChars="200"/>
        <w:textAlignment w:val="auto"/>
        <w:rPr>
          <w:rFonts w:ascii="仿宋" w:hAnsi="仿宋" w:eastAsia="仿宋" w:cs="华文仿宋"/>
          <w:sz w:val="28"/>
          <w:szCs w:val="28"/>
        </w:rPr>
      </w:pPr>
      <w:r>
        <w:rPr>
          <w:rFonts w:hint="eastAsia" w:ascii="仿宋" w:hAnsi="仿宋" w:eastAsia="仿宋" w:cs="华文仿宋"/>
          <w:sz w:val="28"/>
          <w:szCs w:val="28"/>
        </w:rPr>
        <w:t xml:space="preserve">    申报单位法定代表人或授权代表人（签名）：</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 w:hAnsi="仿宋" w:eastAsia="仿宋" w:cs="华文仿宋"/>
          <w:sz w:val="28"/>
          <w:szCs w:val="28"/>
        </w:rPr>
      </w:pPr>
      <w:r>
        <w:rPr>
          <w:rFonts w:hint="eastAsia" w:ascii="仿宋" w:hAnsi="仿宋" w:eastAsia="仿宋" w:cs="华文仿宋"/>
          <w:sz w:val="28"/>
          <w:szCs w:val="28"/>
        </w:rPr>
        <w:t xml:space="preserve">                            负责人（签名）：</w:t>
      </w:r>
    </w:p>
    <w:p>
      <w:pPr>
        <w:pageBreakBefore w:val="0"/>
        <w:kinsoku/>
        <w:wordWrap/>
        <w:overflowPunct/>
        <w:topLinePunct w:val="0"/>
        <w:bidi w:val="0"/>
        <w:adjustRightInd/>
        <w:snapToGrid/>
        <w:spacing w:line="240" w:lineRule="auto"/>
        <w:ind w:right="0" w:rightChars="0" w:firstLine="560" w:firstLineChars="200"/>
        <w:textAlignment w:val="auto"/>
        <w:rPr>
          <w:rFonts w:hint="eastAsia" w:ascii="仿宋" w:hAnsi="仿宋" w:eastAsia="仿宋" w:cs="华文仿宋"/>
          <w:sz w:val="28"/>
          <w:szCs w:val="28"/>
        </w:rPr>
      </w:pPr>
      <w:r>
        <w:rPr>
          <w:rFonts w:hint="eastAsia" w:ascii="仿宋" w:hAnsi="仿宋" w:eastAsia="仿宋" w:cs="华文仿宋"/>
          <w:sz w:val="28"/>
          <w:szCs w:val="28"/>
        </w:rPr>
        <w:t xml:space="preserve">                       </w:t>
      </w:r>
      <w:r>
        <w:rPr>
          <w:rFonts w:ascii="仿宋" w:hAnsi="仿宋" w:eastAsia="仿宋" w:cs="华文仿宋"/>
          <w:sz w:val="28"/>
          <w:szCs w:val="28"/>
        </w:rPr>
        <w:t xml:space="preserve">    </w:t>
      </w:r>
      <w:r>
        <w:rPr>
          <w:rFonts w:hint="eastAsia" w:ascii="仿宋" w:hAnsi="仿宋" w:eastAsia="仿宋" w:cs="华文仿宋"/>
          <w:sz w:val="28"/>
          <w:szCs w:val="28"/>
        </w:rPr>
        <w:t xml:space="preserve">  年  月  </w:t>
      </w:r>
    </w:p>
    <w:p>
      <w:pPr>
        <w:pStyle w:val="18"/>
        <w:pageBreakBefore w:val="0"/>
        <w:kinsoku/>
        <w:wordWrap/>
        <w:overflowPunct/>
        <w:topLinePunct w:val="0"/>
        <w:bidi w:val="0"/>
        <w:spacing w:line="240" w:lineRule="auto"/>
        <w:ind w:right="0" w:rightChars="0"/>
        <w:textAlignment w:val="auto"/>
      </w:pPr>
    </w:p>
    <w:p>
      <w:pPr>
        <w:pageBreakBefore w:val="0"/>
        <w:kinsoku/>
        <w:wordWrap/>
        <w:overflowPunct/>
        <w:topLinePunct w:val="0"/>
        <w:bidi w:val="0"/>
        <w:adjustRightInd/>
        <w:snapToGrid/>
        <w:spacing w:after="435" w:afterLines="100" w:line="240" w:lineRule="auto"/>
        <w:ind w:right="0" w:rightChars="0" w:firstLine="0" w:firstLineChars="0"/>
        <w:jc w:val="left"/>
        <w:textAlignment w:val="auto"/>
        <w:outlineLvl w:val="1"/>
        <w:rPr>
          <w:rFonts w:hint="eastAsia" w:ascii="宋体" w:hAnsi="宋体" w:eastAsia="宋体" w:cs="仿宋_GB2312"/>
          <w:b/>
          <w:color w:val="000000"/>
          <w:kern w:val="0"/>
          <w:sz w:val="22"/>
          <w:szCs w:val="22"/>
          <w:lang w:bidi="ar"/>
        </w:rPr>
      </w:pPr>
      <w:r>
        <w:rPr>
          <w:rFonts w:hint="eastAsia" w:ascii="宋体" w:hAnsi="宋体" w:eastAsia="宋体" w:cs="仿宋_GB2312"/>
          <w:b/>
          <w:color w:val="000000"/>
          <w:kern w:val="0"/>
          <w:sz w:val="22"/>
          <w:szCs w:val="22"/>
          <w:lang w:bidi="ar"/>
        </w:rPr>
        <w:br w:type="page"/>
      </w:r>
    </w:p>
    <w:p>
      <w:pPr>
        <w:pageBreakBefore w:val="0"/>
        <w:kinsoku/>
        <w:wordWrap/>
        <w:overflowPunct/>
        <w:topLinePunct w:val="0"/>
        <w:bidi w:val="0"/>
        <w:adjustRightInd/>
        <w:snapToGrid/>
        <w:spacing w:line="240" w:lineRule="auto"/>
        <w:ind w:right="0" w:rightChars="0" w:firstLine="0" w:firstLineChars="0"/>
        <w:textAlignment w:val="auto"/>
        <w:rPr>
          <w:rFonts w:hint="eastAsia" w:ascii="宋体" w:hAnsi="宋体" w:eastAsia="宋体" w:cs="仿宋_GB2312"/>
          <w:b/>
          <w:color w:val="000000"/>
          <w:kern w:val="0"/>
          <w:sz w:val="22"/>
          <w:szCs w:val="22"/>
          <w:lang w:bidi="ar"/>
        </w:rPr>
      </w:pPr>
      <w:r>
        <w:rPr>
          <w:rFonts w:hint="eastAsia" w:ascii="宋体" w:hAnsi="宋体" w:eastAsia="宋体" w:cs="仿宋_GB2312"/>
          <w:b/>
          <w:color w:val="000000"/>
          <w:kern w:val="0"/>
          <w:sz w:val="22"/>
          <w:szCs w:val="22"/>
          <w:lang w:bidi="ar"/>
        </w:rPr>
        <w:t>附件3</w:t>
      </w:r>
    </w:p>
    <w:p>
      <w:pPr>
        <w:pageBreakBefore w:val="0"/>
        <w:kinsoku/>
        <w:wordWrap/>
        <w:overflowPunct/>
        <w:topLinePunct w:val="0"/>
        <w:bidi w:val="0"/>
        <w:adjustRightInd/>
        <w:snapToGrid/>
        <w:spacing w:line="240" w:lineRule="auto"/>
        <w:ind w:right="0" w:rightChars="0" w:firstLine="0" w:firstLineChars="0"/>
        <w:jc w:val="center"/>
        <w:textAlignment w:val="auto"/>
        <w:rPr>
          <w:rFonts w:hint="eastAsia" w:ascii="宋体" w:hAnsi="宋体" w:eastAsia="宋体" w:cs="仿宋_GB2312"/>
          <w:b/>
          <w:color w:val="000000"/>
          <w:kern w:val="0"/>
          <w:sz w:val="22"/>
          <w:szCs w:val="22"/>
          <w:lang w:bidi="ar"/>
        </w:rPr>
      </w:pPr>
      <w:r>
        <w:rPr>
          <w:rFonts w:hint="eastAsia" w:ascii="黑体" w:hAnsi="黑体" w:eastAsia="黑体" w:cs="Times New Roman"/>
          <w:sz w:val="40"/>
          <w:szCs w:val="40"/>
          <w:lang w:eastAsia="zh-Hans"/>
        </w:rPr>
        <w:t>项目承担单位</w:t>
      </w:r>
      <w:r>
        <w:rPr>
          <w:rFonts w:hint="eastAsia" w:ascii="黑体" w:hAnsi="黑体" w:eastAsia="黑体" w:cs="Times New Roman"/>
          <w:sz w:val="40"/>
          <w:szCs w:val="40"/>
        </w:rPr>
        <w:t>意见</w:t>
      </w:r>
    </w:p>
    <w:tbl>
      <w:tblPr>
        <w:tblStyle w:val="14"/>
        <w:tblW w:w="8522"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pageBreakBefore w:val="0"/>
              <w:kinsoku/>
              <w:wordWrap/>
              <w:overflowPunct/>
              <w:topLinePunct w:val="0"/>
              <w:bidi w:val="0"/>
              <w:adjustRightInd/>
              <w:snapToGrid/>
              <w:spacing w:line="240" w:lineRule="auto"/>
              <w:ind w:right="0" w:rightChars="0" w:firstLine="560" w:firstLineChars="200"/>
              <w:textAlignment w:val="auto"/>
              <w:rPr>
                <w:rFonts w:ascii="Times New Roman" w:hAnsi="Times New Roman" w:eastAsia="仿宋" w:cs="华文仿宋"/>
                <w:sz w:val="28"/>
                <w:szCs w:val="28"/>
              </w:rPr>
            </w:pPr>
            <w:r>
              <w:rPr>
                <w:rFonts w:hint="eastAsia" w:ascii="Times New Roman" w:hAnsi="Times New Roman" w:eastAsia="仿宋" w:cs="华文仿宋"/>
                <w:sz w:val="28"/>
                <w:szCs w:val="28"/>
                <w:lang w:eastAsia="zh-Hans"/>
              </w:rPr>
              <w:t>项目</w:t>
            </w:r>
            <w:r>
              <w:rPr>
                <w:rFonts w:hint="eastAsia" w:ascii="Times New Roman" w:hAnsi="Times New Roman" w:eastAsia="仿宋" w:cs="华文仿宋"/>
                <w:sz w:val="28"/>
                <w:szCs w:val="28"/>
              </w:rPr>
              <w:t>承担单位意见：</w:t>
            </w:r>
          </w:p>
          <w:p>
            <w:pPr>
              <w:pageBreakBefore w:val="0"/>
              <w:kinsoku/>
              <w:wordWrap/>
              <w:overflowPunct/>
              <w:topLinePunct w:val="0"/>
              <w:bidi w:val="0"/>
              <w:adjustRightInd/>
              <w:snapToGrid/>
              <w:spacing w:line="240" w:lineRule="auto"/>
              <w:ind w:right="0" w:rightChars="0" w:firstLine="4132" w:firstLineChars="1476"/>
              <w:textAlignment w:val="auto"/>
              <w:rPr>
                <w:rFonts w:hint="eastAsia" w:ascii="Times New Roman" w:hAnsi="Times New Roman" w:eastAsia="仿宋" w:cs="华文仿宋"/>
                <w:sz w:val="28"/>
                <w:szCs w:val="28"/>
              </w:rPr>
            </w:pPr>
          </w:p>
          <w:p>
            <w:pPr>
              <w:pageBreakBefore w:val="0"/>
              <w:kinsoku/>
              <w:wordWrap/>
              <w:overflowPunct/>
              <w:topLinePunct w:val="0"/>
              <w:bidi w:val="0"/>
              <w:adjustRightInd/>
              <w:snapToGrid/>
              <w:spacing w:line="240" w:lineRule="auto"/>
              <w:ind w:right="0" w:rightChars="0" w:firstLine="4132" w:firstLineChars="1476"/>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牵头承担单位（公章）：</w:t>
            </w:r>
          </w:p>
          <w:p>
            <w:pPr>
              <w:pageBreakBefore w:val="0"/>
              <w:kinsoku/>
              <w:wordWrap/>
              <w:overflowPunct/>
              <w:topLinePunct w:val="0"/>
              <w:bidi w:val="0"/>
              <w:adjustRightInd/>
              <w:snapToGrid/>
              <w:spacing w:line="240" w:lineRule="auto"/>
              <w:ind w:right="0" w:rightChars="0" w:firstLine="4132" w:firstLineChars="1476"/>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法定代表人（签字）：</w:t>
            </w:r>
          </w:p>
          <w:p>
            <w:pPr>
              <w:pageBreakBefore w:val="0"/>
              <w:kinsoku/>
              <w:wordWrap/>
              <w:overflowPunct/>
              <w:topLinePunct w:val="0"/>
              <w:bidi w:val="0"/>
              <w:adjustRightInd/>
              <w:snapToGrid/>
              <w:spacing w:line="240" w:lineRule="auto"/>
              <w:ind w:right="0" w:rightChars="0" w:firstLine="4132" w:firstLineChars="1476"/>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参与单位（公章）：</w:t>
            </w:r>
          </w:p>
          <w:p>
            <w:pPr>
              <w:pageBreakBefore w:val="0"/>
              <w:kinsoku/>
              <w:wordWrap/>
              <w:overflowPunct/>
              <w:topLinePunct w:val="0"/>
              <w:bidi w:val="0"/>
              <w:adjustRightInd/>
              <w:snapToGrid/>
              <w:spacing w:line="240" w:lineRule="auto"/>
              <w:ind w:right="0" w:rightChars="0" w:firstLine="4132" w:firstLineChars="1476"/>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法定代表人（签字）：</w:t>
            </w:r>
          </w:p>
          <w:p>
            <w:pPr>
              <w:pageBreakBefore w:val="0"/>
              <w:kinsoku/>
              <w:wordWrap/>
              <w:overflowPunct/>
              <w:topLinePunct w:val="0"/>
              <w:bidi w:val="0"/>
              <w:adjustRightInd/>
              <w:snapToGrid/>
              <w:spacing w:line="240" w:lineRule="auto"/>
              <w:ind w:right="0" w:rightChars="0" w:firstLine="560" w:firstLineChars="200"/>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pageBreakBefore w:val="0"/>
              <w:kinsoku/>
              <w:wordWrap/>
              <w:overflowPunct/>
              <w:topLinePunct w:val="0"/>
              <w:bidi w:val="0"/>
              <w:adjustRightInd/>
              <w:snapToGrid/>
              <w:spacing w:line="240" w:lineRule="auto"/>
              <w:ind w:right="0" w:rightChars="0" w:firstLine="0" w:firstLineChars="0"/>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自筹资金出资单位意见（承诺提供配套支持的情况下签署意见）</w:t>
            </w:r>
          </w:p>
          <w:p>
            <w:pPr>
              <w:pageBreakBefore w:val="0"/>
              <w:kinsoku/>
              <w:wordWrap/>
              <w:overflowPunct/>
              <w:topLinePunct w:val="0"/>
              <w:bidi w:val="0"/>
              <w:adjustRightInd/>
              <w:snapToGrid/>
              <w:spacing w:line="240" w:lineRule="auto"/>
              <w:ind w:right="0" w:rightChars="0" w:firstLine="560" w:firstLineChars="200"/>
              <w:textAlignment w:val="auto"/>
              <w:rPr>
                <w:rFonts w:ascii="Times New Roman" w:hAnsi="Times New Roman" w:eastAsia="仿宋" w:cs="华文仿宋"/>
                <w:sz w:val="28"/>
                <w:szCs w:val="28"/>
              </w:rPr>
            </w:pPr>
          </w:p>
          <w:p>
            <w:pPr>
              <w:pageBreakBefore w:val="0"/>
              <w:kinsoku/>
              <w:wordWrap/>
              <w:overflowPunct/>
              <w:topLinePunct w:val="0"/>
              <w:bidi w:val="0"/>
              <w:adjustRightInd/>
              <w:snapToGrid/>
              <w:spacing w:line="240" w:lineRule="auto"/>
              <w:ind w:right="0" w:rightChars="0" w:firstLine="560" w:firstLineChars="200"/>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本单位根据</w:t>
            </w:r>
            <w:r>
              <w:rPr>
                <w:rFonts w:hint="eastAsia" w:ascii="Times New Roman" w:hAnsi="Times New Roman" w:eastAsia="仿宋" w:cs="华文仿宋"/>
                <w:sz w:val="28"/>
                <w:szCs w:val="28"/>
                <w:u w:val="single"/>
              </w:rPr>
              <w:t xml:space="preserve">                    </w:t>
            </w:r>
            <w:r>
              <w:rPr>
                <w:rFonts w:hint="eastAsia" w:ascii="Times New Roman" w:hAnsi="Times New Roman" w:eastAsia="仿宋" w:cs="华文仿宋"/>
                <w:sz w:val="28"/>
                <w:szCs w:val="28"/>
              </w:rPr>
              <w:t>项目立项指南的要求，自愿提交项目申请书，在此郑重承诺：按照前述项目批复预算经费的</w:t>
            </w:r>
            <w:r>
              <w:rPr>
                <w:rFonts w:hint="eastAsia" w:ascii="Times New Roman" w:hAnsi="Times New Roman" w:eastAsia="仿宋" w:cs="华文仿宋"/>
                <w:sz w:val="28"/>
                <w:szCs w:val="28"/>
                <w:u w:val="single"/>
              </w:rPr>
              <w:t xml:space="preserve">     </w:t>
            </w:r>
            <w:r>
              <w:rPr>
                <w:rFonts w:hint="eastAsia" w:ascii="Times New Roman" w:hAnsi="Times New Roman" w:eastAsia="仿宋" w:cs="华文仿宋"/>
                <w:sz w:val="28"/>
                <w:szCs w:val="28"/>
              </w:rPr>
              <w:t>%（人民币</w:t>
            </w:r>
            <w:r>
              <w:rPr>
                <w:rFonts w:hint="eastAsia" w:ascii="Times New Roman" w:hAnsi="Times New Roman" w:eastAsia="仿宋" w:cs="华文仿宋"/>
                <w:sz w:val="28"/>
                <w:szCs w:val="28"/>
                <w:u w:val="single"/>
              </w:rPr>
              <w:t xml:space="preserve">        </w:t>
            </w:r>
            <w:r>
              <w:rPr>
                <w:rFonts w:hint="eastAsia" w:ascii="Times New Roman" w:hAnsi="Times New Roman" w:eastAsia="仿宋" w:cs="华文仿宋"/>
                <w:sz w:val="28"/>
                <w:szCs w:val="28"/>
              </w:rPr>
              <w:t>万元）进行自筹配套。</w:t>
            </w:r>
          </w:p>
          <w:p>
            <w:pPr>
              <w:pageBreakBefore w:val="0"/>
              <w:kinsoku/>
              <w:wordWrap/>
              <w:overflowPunct/>
              <w:topLinePunct w:val="0"/>
              <w:bidi w:val="0"/>
              <w:adjustRightInd/>
              <w:snapToGrid/>
              <w:spacing w:line="240" w:lineRule="auto"/>
              <w:ind w:right="0" w:rightChars="0" w:firstLine="560" w:firstLineChars="200"/>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如有违反，本单位愿接受广东省农业农村厅做出的各项处理决定，包括但不限于停拨或核减资金，追回</w:t>
            </w:r>
            <w:r>
              <w:rPr>
                <w:rFonts w:hint="eastAsia" w:ascii="Times New Roman" w:hAnsi="Times New Roman" w:eastAsia="仿宋" w:cs="华文仿宋"/>
                <w:sz w:val="28"/>
                <w:szCs w:val="28"/>
                <w:lang w:eastAsia="zh-Hans"/>
              </w:rPr>
              <w:t>项目</w:t>
            </w:r>
            <w:r>
              <w:rPr>
                <w:rFonts w:hint="eastAsia" w:ascii="Times New Roman" w:hAnsi="Times New Roman" w:eastAsia="仿宋" w:cs="华文仿宋"/>
                <w:sz w:val="28"/>
                <w:szCs w:val="28"/>
              </w:rPr>
              <w:t>资金，取消一定期限</w:t>
            </w:r>
            <w:r>
              <w:rPr>
                <w:rFonts w:hint="eastAsia" w:ascii="Times New Roman" w:hAnsi="Times New Roman" w:eastAsia="仿宋" w:cs="华文仿宋"/>
                <w:sz w:val="28"/>
                <w:szCs w:val="28"/>
                <w:lang w:eastAsia="zh-Hans"/>
              </w:rPr>
              <w:t>广东省农业农村厅</w:t>
            </w:r>
            <w:r>
              <w:rPr>
                <w:rFonts w:hint="eastAsia" w:ascii="Times New Roman" w:hAnsi="Times New Roman" w:eastAsia="仿宋" w:cs="华文仿宋"/>
                <w:sz w:val="28"/>
                <w:szCs w:val="28"/>
              </w:rPr>
              <w:t>项目申报资格，记入</w:t>
            </w:r>
            <w:r>
              <w:rPr>
                <w:rFonts w:hint="eastAsia" w:ascii="Times New Roman" w:hAnsi="Times New Roman" w:eastAsia="仿宋" w:cs="华文仿宋"/>
                <w:sz w:val="28"/>
                <w:szCs w:val="28"/>
                <w:lang w:eastAsia="zh-Hans"/>
              </w:rPr>
              <w:t>广东省农业农村厅</w:t>
            </w:r>
            <w:r>
              <w:rPr>
                <w:rFonts w:hint="eastAsia" w:ascii="Times New Roman" w:hAnsi="Times New Roman" w:eastAsia="仿宋" w:cs="华文仿宋"/>
                <w:sz w:val="28"/>
                <w:szCs w:val="28"/>
              </w:rPr>
              <w:t>诚信异常名录等。</w:t>
            </w:r>
          </w:p>
          <w:p>
            <w:pPr>
              <w:pageBreakBefore w:val="0"/>
              <w:kinsoku/>
              <w:wordWrap/>
              <w:overflowPunct/>
              <w:topLinePunct w:val="0"/>
              <w:bidi w:val="0"/>
              <w:adjustRightInd/>
              <w:snapToGrid/>
              <w:spacing w:line="240" w:lineRule="auto"/>
              <w:ind w:right="0" w:rightChars="0" w:firstLine="5320" w:firstLineChars="1900"/>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出资单位（盖章）：</w:t>
            </w:r>
          </w:p>
          <w:p>
            <w:pPr>
              <w:pageBreakBefore w:val="0"/>
              <w:kinsoku/>
              <w:wordWrap/>
              <w:overflowPunct/>
              <w:topLinePunct w:val="0"/>
              <w:bidi w:val="0"/>
              <w:adjustRightInd/>
              <w:snapToGrid/>
              <w:spacing w:line="240" w:lineRule="auto"/>
              <w:ind w:right="0" w:rightChars="0" w:firstLine="5040" w:firstLineChars="1800"/>
              <w:textAlignment w:val="auto"/>
              <w:rPr>
                <w:rFonts w:ascii="Times New Roman" w:hAnsi="Times New Roman" w:eastAsia="仿宋" w:cs="华文仿宋"/>
                <w:sz w:val="28"/>
                <w:szCs w:val="28"/>
              </w:rPr>
            </w:pPr>
            <w:r>
              <w:rPr>
                <w:rFonts w:hint="eastAsia" w:ascii="Times New Roman" w:hAnsi="Times New Roman" w:eastAsia="仿宋" w:cs="华文仿宋"/>
                <w:sz w:val="28"/>
                <w:szCs w:val="28"/>
              </w:rPr>
              <w:t>法定代表人（签字）：</w:t>
            </w:r>
          </w:p>
          <w:p>
            <w:pPr>
              <w:pageBreakBefore w:val="0"/>
              <w:kinsoku/>
              <w:wordWrap/>
              <w:overflowPunct/>
              <w:topLinePunct w:val="0"/>
              <w:bidi w:val="0"/>
              <w:adjustRightInd/>
              <w:snapToGrid/>
              <w:spacing w:line="240" w:lineRule="auto"/>
              <w:ind w:right="0" w:rightChars="0" w:firstLine="560" w:firstLineChars="200"/>
              <w:textAlignment w:val="auto"/>
              <w:rPr>
                <w:rFonts w:ascii="Times New Roman" w:hAnsi="Times New Roman" w:eastAsia="仿宋" w:cs="华文仿宋"/>
                <w:sz w:val="24"/>
                <w:szCs w:val="22"/>
              </w:rPr>
            </w:pPr>
            <w:r>
              <w:rPr>
                <w:rFonts w:hint="eastAsia" w:ascii="Times New Roman" w:hAnsi="Times New Roman" w:eastAsia="仿宋" w:cs="华文仿宋"/>
                <w:sz w:val="28"/>
                <w:szCs w:val="28"/>
              </w:rPr>
              <w:t xml:space="preserve">                                      年    月    日</w:t>
            </w:r>
          </w:p>
        </w:tc>
      </w:tr>
    </w:tbl>
    <w:p>
      <w:pPr>
        <w:pageBreakBefore w:val="0"/>
        <w:kinsoku/>
        <w:wordWrap/>
        <w:overflowPunct/>
        <w:topLinePunct w:val="0"/>
        <w:bidi w:val="0"/>
        <w:adjustRightInd/>
        <w:snapToGrid/>
        <w:spacing w:line="240" w:lineRule="auto"/>
        <w:ind w:right="0" w:rightChars="0" w:firstLine="0" w:firstLineChars="0"/>
        <w:jc w:val="center"/>
        <w:textAlignment w:val="auto"/>
        <w:outlineLvl w:val="0"/>
        <w:rPr>
          <w:rFonts w:hint="eastAsia" w:ascii="Times New Roman" w:hAnsi="Times New Roman" w:eastAsia="宋体" w:cs="宋体"/>
          <w:sz w:val="44"/>
          <w:szCs w:val="44"/>
        </w:rPr>
      </w:pPr>
      <w:r>
        <w:rPr>
          <w:rFonts w:hint="eastAsia" w:ascii="Times New Roman" w:hAnsi="Times New Roman" w:eastAsia="仿宋" w:cs="仿宋_GB2312"/>
          <w:b/>
          <w:bCs/>
          <w:sz w:val="28"/>
          <w:szCs w:val="28"/>
        </w:rPr>
        <w:br w:type="page"/>
      </w:r>
      <w:r>
        <w:rPr>
          <w:rFonts w:hint="eastAsia" w:ascii="方正小标宋简体" w:hAnsi="方正小标宋简体" w:eastAsia="方正小标宋简体" w:cs="方正小标宋简体"/>
          <w:b w:val="0"/>
          <w:bCs w:val="0"/>
          <w:sz w:val="32"/>
          <w:szCs w:val="32"/>
        </w:rPr>
        <w:t>《广东省农业监测和检测项目申报书》填写说明</w:t>
      </w:r>
    </w:p>
    <w:p>
      <w:pPr>
        <w:adjustRightInd/>
        <w:snapToGrid/>
        <w:spacing w:line="560" w:lineRule="exact"/>
        <w:ind w:firstLine="560" w:firstLineChars="200"/>
        <w:outlineLvl w:val="0"/>
        <w:rPr>
          <w:rFonts w:hint="eastAsia" w:ascii="Times New Roman" w:hAnsi="Times New Roman" w:eastAsia="黑体" w:cs="黑体"/>
          <w:sz w:val="28"/>
          <w:szCs w:val="28"/>
        </w:rPr>
      </w:pPr>
      <w:r>
        <w:rPr>
          <w:rFonts w:hint="eastAsia" w:ascii="Times New Roman" w:hAnsi="Times New Roman" w:eastAsia="黑体" w:cs="黑体"/>
          <w:sz w:val="28"/>
          <w:szCs w:val="28"/>
        </w:rPr>
        <w:t>一、适用范围</w:t>
      </w:r>
    </w:p>
    <w:p>
      <w:pPr>
        <w:adjustRightInd/>
        <w:snapToGrid/>
        <w:spacing w:line="560" w:lineRule="exact"/>
        <w:ind w:firstLine="640" w:firstLineChars="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本标准适用于省级部门监测和检测项目支出预算，也是主管部门安排此项资金预算和监督执行的审核依据。</w:t>
      </w:r>
    </w:p>
    <w:p>
      <w:pPr>
        <w:adjustRightInd/>
        <w:snapToGrid/>
        <w:spacing w:line="580" w:lineRule="exact"/>
        <w:ind w:firstLine="560" w:firstLineChars="200"/>
        <w:outlineLvl w:val="0"/>
        <w:rPr>
          <w:rFonts w:hint="eastAsia" w:ascii="Times New Roman" w:hAnsi="Times New Roman" w:eastAsia="黑体" w:cs="黑体"/>
          <w:sz w:val="28"/>
          <w:szCs w:val="28"/>
        </w:rPr>
      </w:pPr>
      <w:r>
        <w:rPr>
          <w:rFonts w:hint="eastAsia" w:ascii="Times New Roman" w:hAnsi="Times New Roman" w:eastAsia="黑体" w:cs="黑体"/>
          <w:sz w:val="28"/>
          <w:szCs w:val="28"/>
        </w:rPr>
        <w:t>二、基本情况</w:t>
      </w:r>
    </w:p>
    <w:p>
      <w:pPr>
        <w:adjustRightInd/>
        <w:snapToGrid/>
        <w:spacing w:line="58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项目实施背景，主要实施内容，牵头及实施单位情况，实施期间、范围、主要要求及预期目标等。</w:t>
      </w:r>
    </w:p>
    <w:p>
      <w:pPr>
        <w:adjustRightInd/>
        <w:snapToGrid/>
        <w:spacing w:line="560" w:lineRule="exact"/>
        <w:ind w:firstLine="560" w:firstLineChars="200"/>
        <w:outlineLvl w:val="0"/>
        <w:rPr>
          <w:rFonts w:hint="eastAsia" w:ascii="Times New Roman" w:hAnsi="Times New Roman" w:eastAsia="仿宋_GB2312" w:cs="仿宋_GB2312"/>
          <w:b/>
          <w:bCs/>
          <w:sz w:val="28"/>
          <w:szCs w:val="28"/>
        </w:rPr>
      </w:pPr>
      <w:r>
        <w:rPr>
          <w:rFonts w:hint="eastAsia" w:ascii="Times New Roman" w:hAnsi="Times New Roman" w:eastAsia="黑体" w:cs="黑体"/>
          <w:sz w:val="28"/>
          <w:szCs w:val="28"/>
        </w:rPr>
        <w:t>三、编制内容（经济分类）</w:t>
      </w:r>
    </w:p>
    <w:p>
      <w:pPr>
        <w:adjustRightInd/>
        <w:snapToGrid w:val="0"/>
        <w:spacing w:line="560" w:lineRule="exact"/>
        <w:ind w:firstLine="560" w:firstLineChars="200"/>
        <w:rPr>
          <w:rFonts w:hint="eastAsia" w:ascii="Times New Roman" w:hAnsi="Times New Roman" w:eastAsia="楷体_GB2312" w:cs="Times New Roman"/>
          <w:b/>
          <w:bCs/>
          <w:color w:val="000000"/>
          <w:sz w:val="28"/>
          <w:szCs w:val="28"/>
        </w:rPr>
      </w:pPr>
      <w:r>
        <w:rPr>
          <w:rFonts w:hint="eastAsia" w:ascii="Times New Roman" w:hAnsi="Times New Roman" w:eastAsia="仿宋_GB2312" w:cs="仿宋_GB2312"/>
          <w:sz w:val="28"/>
          <w:szCs w:val="28"/>
        </w:rPr>
        <w:t>项目预算支出内容仅包括开展本项目所必需的费用，不得夹塞人员经费及公用经费等预算内容。</w:t>
      </w:r>
    </w:p>
    <w:p>
      <w:p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（一）资料印刷</w:t>
      </w:r>
    </w:p>
    <w:p>
      <w:pPr>
        <w:adjustRightInd/>
        <w:snapToGrid w:val="0"/>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包括印制各种工作手册、调查表格和资料汇编等。</w:t>
      </w:r>
    </w:p>
    <w:p>
      <w:pPr>
        <w:adjustRightInd/>
        <w:snapToGrid w:val="0"/>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需提供印刷物品的规格、材质、数量及询价单等依据或者类似活动的相关预算数和执行数</w:t>
      </w:r>
      <w:r>
        <w:rPr>
          <w:rFonts w:hint="eastAsia" w:ascii="Times New Roman" w:hAnsi="Times New Roman" w:eastAsia="仿宋_GB2312" w:cs="仿宋_GB2312"/>
          <w:sz w:val="28"/>
          <w:szCs w:val="28"/>
        </w:rPr>
        <w:t>等佐证资料</w:t>
      </w:r>
      <w:r>
        <w:rPr>
          <w:rFonts w:hint="eastAsia" w:ascii="Times New Roman" w:hAnsi="Times New Roman" w:eastAsia="仿宋_GB2312" w:cs="Times New Roman"/>
          <w:color w:val="000000"/>
          <w:sz w:val="28"/>
          <w:szCs w:val="28"/>
        </w:rPr>
        <w:t>。</w:t>
      </w:r>
    </w:p>
    <w:p>
      <w:p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（二）交通费</w:t>
      </w:r>
    </w:p>
    <w:p>
      <w:pPr>
        <w:adjustRightInd/>
        <w:snapToGrid w:val="0"/>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包括车辆租赁等。</w:t>
      </w:r>
      <w:r>
        <w:rPr>
          <w:rFonts w:hint="eastAsia" w:ascii="Times New Roman" w:hAnsi="Times New Roman" w:eastAsia="仿宋_GB2312" w:cs="Times New Roman"/>
          <w:color w:val="000000"/>
          <w:sz w:val="28"/>
          <w:szCs w:val="28"/>
        </w:rPr>
        <w:t>需提供租赁车辆的数量、费用测算过程，或者类似活动的相关预算数和执行数</w:t>
      </w:r>
      <w:r>
        <w:rPr>
          <w:rFonts w:hint="eastAsia" w:ascii="Times New Roman" w:hAnsi="Times New Roman" w:eastAsia="仿宋_GB2312" w:cs="仿宋_GB2312"/>
          <w:sz w:val="28"/>
          <w:szCs w:val="28"/>
        </w:rPr>
        <w:t>等佐证资料。</w:t>
      </w:r>
    </w:p>
    <w:p>
      <w:p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（三）差旅费</w:t>
      </w:r>
    </w:p>
    <w:p>
      <w:pPr>
        <w:adjustRightInd/>
        <w:snapToGrid w:val="0"/>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包括项目实施过程中的采样、调查、督查等。</w:t>
      </w:r>
    </w:p>
    <w:p>
      <w:pPr>
        <w:adjustRightInd/>
        <w:snapToGrid w:val="0"/>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需提供出差的工作内容，出差人员数量、公务往来地点、出差</w:t>
      </w:r>
      <w:r>
        <w:rPr>
          <w:rFonts w:hint="eastAsia" w:ascii="Times New Roman" w:hAnsi="Times New Roman" w:eastAsia="仿宋_GB2312" w:cs="仿宋_GB2312"/>
          <w:sz w:val="28"/>
          <w:szCs w:val="28"/>
        </w:rPr>
        <w:t>天数、</w:t>
      </w:r>
      <w:r>
        <w:rPr>
          <w:rFonts w:hint="eastAsia" w:ascii="Times New Roman" w:hAnsi="Times New Roman" w:eastAsia="仿宋_GB2312" w:cs="Times New Roman"/>
          <w:color w:val="000000"/>
          <w:sz w:val="28"/>
          <w:szCs w:val="28"/>
        </w:rPr>
        <w:t>次数或期数等。</w:t>
      </w:r>
    </w:p>
    <w:p>
      <w:p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（四）抽样费</w:t>
      </w:r>
    </w:p>
    <w:p>
      <w:pPr>
        <w:adjustRightInd/>
        <w:snapToGrid w:val="0"/>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包括监测/检测样品采集、购置等。</w:t>
      </w:r>
    </w:p>
    <w:p>
      <w:pPr>
        <w:adjustRightInd/>
        <w:snapToGrid w:val="0"/>
        <w:spacing w:line="560" w:lineRule="exact"/>
        <w:ind w:firstLine="560" w:firstLineChars="200"/>
        <w:rPr>
          <w:rFonts w:hint="eastAsia" w:ascii="Times New Roman" w:hAnsi="Times New Roman" w:eastAsia="仿宋_GB2312" w:cs="仿宋_GB2312"/>
          <w:color w:val="0000FF"/>
          <w:sz w:val="28"/>
          <w:szCs w:val="28"/>
        </w:rPr>
      </w:pPr>
      <w:r>
        <w:rPr>
          <w:rFonts w:hint="eastAsia" w:ascii="Times New Roman" w:hAnsi="Times New Roman" w:eastAsia="仿宋_GB2312" w:cs="仿宋_GB2312"/>
          <w:sz w:val="28"/>
          <w:szCs w:val="28"/>
        </w:rPr>
        <w:t>需提供抽检样品的数量、单价等。</w:t>
      </w:r>
    </w:p>
    <w:p>
      <w:p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（五）检测费</w:t>
      </w:r>
    </w:p>
    <w:p>
      <w:pPr>
        <w:adjustRightInd/>
        <w:snapToGrid w:val="0"/>
        <w:spacing w:line="560" w:lineRule="exact"/>
        <w:ind w:firstLine="560" w:firstLineChars="200"/>
        <w:rPr>
          <w:rFonts w:hint="eastAsia" w:ascii="Times New Roman" w:hAnsi="Times New Roman" w:eastAsia="仿宋_GB2312" w:cs="仿宋_GB2312"/>
          <w:color w:val="0000FF"/>
          <w:sz w:val="28"/>
          <w:szCs w:val="28"/>
        </w:rPr>
      </w:pPr>
      <w:r>
        <w:rPr>
          <w:rFonts w:hint="eastAsia" w:ascii="Times New Roman" w:hAnsi="Times New Roman" w:eastAsia="仿宋_GB2312" w:cs="仿宋_GB2312"/>
          <w:sz w:val="28"/>
          <w:szCs w:val="28"/>
        </w:rPr>
        <w:t>包括监测样品检验、分析测试、化验等。需提供监测样品的数量、单价等。</w:t>
      </w:r>
    </w:p>
    <w:p>
      <w:pPr>
        <w:numPr>
          <w:ilvl w:val="0"/>
          <w:numId w:val="3"/>
        </w:num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信息与咨询费</w:t>
      </w:r>
    </w:p>
    <w:p>
      <w:pPr>
        <w:adjustRightInd/>
        <w:snapToGrid w:val="0"/>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技术信息咨询费，技术服务咨询内容和服务成果，服务报价。</w:t>
      </w:r>
    </w:p>
    <w:p>
      <w:pPr>
        <w:numPr>
          <w:ilvl w:val="0"/>
          <w:numId w:val="3"/>
        </w:num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检测耗材费</w:t>
      </w:r>
    </w:p>
    <w:p>
      <w:pPr>
        <w:adjustRightInd/>
        <w:snapToGrid w:val="0"/>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包括化验试剂材料以及各种物料等。</w:t>
      </w:r>
    </w:p>
    <w:p>
      <w:pPr>
        <w:adjustRightInd/>
        <w:snapToGrid w:val="0"/>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需提供化验试剂材料以及各种物料数量</w:t>
      </w:r>
      <w:r>
        <w:rPr>
          <w:rFonts w:hint="eastAsia" w:ascii="Times New Roman" w:hAnsi="Times New Roman" w:eastAsia="仿宋_GB2312" w:cs="Times New Roman"/>
          <w:color w:val="000000"/>
          <w:sz w:val="28"/>
          <w:szCs w:val="28"/>
        </w:rPr>
        <w:t>及</w:t>
      </w:r>
      <w:r>
        <w:rPr>
          <w:rFonts w:hint="eastAsia" w:ascii="Times New Roman" w:hAnsi="Times New Roman" w:eastAsia="仿宋_GB2312" w:cs="仿宋_GB2312"/>
          <w:sz w:val="28"/>
          <w:szCs w:val="28"/>
        </w:rPr>
        <w:t>单价等。</w:t>
      </w:r>
    </w:p>
    <w:p>
      <w:pPr>
        <w:adjustRightInd/>
        <w:snapToGrid w:val="0"/>
        <w:spacing w:line="560" w:lineRule="exact"/>
        <w:ind w:firstLine="562" w:firstLineChars="200"/>
        <w:outlineLvl w:val="1"/>
        <w:rPr>
          <w:rFonts w:hint="eastAsia"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（八）劳务费</w:t>
      </w:r>
    </w:p>
    <w:p>
      <w:pPr>
        <w:adjustRightInd/>
        <w:snapToGrid w:val="0"/>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包括项目采样、检测和结果分析汇总等。</w:t>
      </w:r>
    </w:p>
    <w:p>
      <w:pPr>
        <w:adjustRightInd/>
        <w:snapToGrid w:val="0"/>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需提供专家、外聘人员等的工作内容、时间、数量，劳务费、保险费等人员配置方案、费用测算依据、费用明细等或者类似活动的相关预算数和执行数</w:t>
      </w:r>
      <w:r>
        <w:rPr>
          <w:rFonts w:hint="eastAsia" w:ascii="Times New Roman" w:hAnsi="Times New Roman" w:eastAsia="仿宋_GB2312" w:cs="仿宋_GB2312"/>
          <w:sz w:val="28"/>
          <w:szCs w:val="28"/>
        </w:rPr>
        <w:t>等佐证资料</w:t>
      </w:r>
      <w:r>
        <w:rPr>
          <w:rFonts w:hint="eastAsia" w:ascii="Times New Roman" w:hAnsi="Times New Roman" w:eastAsia="仿宋_GB2312" w:cs="Times New Roman"/>
          <w:color w:val="000000"/>
          <w:sz w:val="28"/>
          <w:szCs w:val="28"/>
        </w:rPr>
        <w:t>。</w:t>
      </w:r>
    </w:p>
    <w:p>
      <w:pPr>
        <w:adjustRightInd/>
        <w:snapToGrid w:val="0"/>
        <w:spacing w:line="560" w:lineRule="exact"/>
        <w:ind w:firstLine="562" w:firstLineChars="200"/>
        <w:rPr>
          <w:rFonts w:ascii="Times New Roman" w:hAnsi="Times New Roman" w:eastAsia="楷体_GB2312" w:cs="Times New Roman"/>
          <w:b/>
          <w:bCs/>
          <w:color w:val="000000"/>
          <w:sz w:val="28"/>
          <w:szCs w:val="28"/>
        </w:rPr>
      </w:pPr>
      <w:r>
        <w:rPr>
          <w:rFonts w:hint="eastAsia" w:ascii="Times New Roman" w:hAnsi="Times New Roman" w:eastAsia="楷体_GB2312" w:cs="Times New Roman"/>
          <w:b/>
          <w:bCs/>
          <w:color w:val="000000"/>
          <w:sz w:val="28"/>
          <w:szCs w:val="28"/>
        </w:rPr>
        <w:t>（九）水电费</w:t>
      </w:r>
    </w:p>
    <w:p>
      <w:pPr>
        <w:adjustRightInd/>
        <w:snapToGrid w:val="0"/>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监测检测过程中消耗的水电，单独计价或分摊原则。</w:t>
      </w:r>
    </w:p>
    <w:p>
      <w:pPr>
        <w:adjustRightInd/>
        <w:snapToGrid/>
        <w:spacing w:line="580" w:lineRule="exact"/>
        <w:ind w:firstLine="560" w:firstLineChars="200"/>
        <w:outlineLvl w:val="0"/>
        <w:rPr>
          <w:rFonts w:ascii="Times New Roman" w:hAnsi="Times New Roman" w:eastAsia="黑体" w:cs="黑体"/>
          <w:sz w:val="28"/>
          <w:szCs w:val="28"/>
        </w:rPr>
      </w:pPr>
      <w:r>
        <w:rPr>
          <w:rFonts w:hint="eastAsia" w:ascii="Times New Roman" w:hAnsi="Times New Roman" w:eastAsia="黑体" w:cs="黑体"/>
          <w:sz w:val="28"/>
          <w:szCs w:val="28"/>
        </w:rPr>
        <w:t>四、支出预算及资金来源</w:t>
      </w:r>
    </w:p>
    <w:p>
      <w:pPr>
        <w:adjustRightInd/>
        <w:snapToGrid w:val="0"/>
        <w:spacing w:line="580" w:lineRule="exact"/>
        <w:ind w:firstLine="562" w:firstLineChars="200"/>
        <w:outlineLvl w:val="1"/>
        <w:rPr>
          <w:rFonts w:hint="eastAsia" w:ascii="Times New Roman" w:hAnsi="Times New Roman" w:eastAsia="仿宋_GB2312" w:cs="仿宋_GB2312"/>
          <w:b/>
          <w:bCs/>
          <w:sz w:val="28"/>
          <w:szCs w:val="28"/>
        </w:rPr>
      </w:pPr>
      <w:r>
        <w:rPr>
          <w:rFonts w:hint="eastAsia" w:ascii="Times New Roman" w:hAnsi="Times New Roman" w:eastAsia="楷体_GB2312" w:cs="楷体_GB2312"/>
          <w:b/>
          <w:bCs/>
          <w:sz w:val="28"/>
          <w:szCs w:val="28"/>
        </w:rPr>
        <w:t>（一）支出预算</w:t>
      </w:r>
    </w:p>
    <w:p>
      <w:pPr>
        <w:adjustRightInd/>
        <w:snapToGrid w:val="0"/>
        <w:spacing w:line="58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以上各项支出内容所需经费预算，需按照国家、省有关规定和行业标准、部门预算编制要求，参考政府采购价格或市场价格进行编制，</w:t>
      </w:r>
      <w:r>
        <w:rPr>
          <w:rFonts w:hint="eastAsia" w:ascii="Times New Roman" w:hAnsi="Times New Roman" w:eastAsia="仿宋_GB2312" w:cs="Times New Roman"/>
          <w:sz w:val="28"/>
          <w:szCs w:val="28"/>
        </w:rPr>
        <w:t>包括资金总需求、各项具体用途资金需求、相关测算过程和测算标准依据等。</w:t>
      </w:r>
      <w:r>
        <w:rPr>
          <w:rFonts w:hint="eastAsia" w:ascii="Times New Roman" w:hAnsi="Times New Roman" w:eastAsia="仿宋_GB2312" w:cs="仿宋_GB2312"/>
          <w:sz w:val="28"/>
          <w:szCs w:val="28"/>
        </w:rPr>
        <w:t>如审计、人大、财政等部门监督检查提出整改完善意见的，需要在此说明并在预算内容和资金上体现。</w:t>
      </w:r>
    </w:p>
    <w:p>
      <w:pPr>
        <w:adjustRightInd/>
        <w:snapToGrid/>
        <w:spacing w:line="580" w:lineRule="exact"/>
        <w:ind w:firstLine="562" w:firstLineChars="200"/>
        <w:jc w:val="left"/>
        <w:outlineLvl w:val="1"/>
        <w:rPr>
          <w:rFonts w:hint="eastAsia"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（二）资金来源</w:t>
      </w:r>
    </w:p>
    <w:p>
      <w:pPr>
        <w:adjustRightInd/>
        <w:snapToGrid/>
        <w:spacing w:line="58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对项目资金来源进行说明，并按照综合预算原则，提出经费预算申请。</w:t>
      </w:r>
    </w:p>
    <w:p>
      <w:pPr>
        <w:adjustRightInd/>
        <w:snapToGrid/>
        <w:spacing w:line="580" w:lineRule="exact"/>
        <w:ind w:firstLine="562" w:firstLineChars="200"/>
        <w:outlineLvl w:val="1"/>
        <w:rPr>
          <w:rFonts w:hint="eastAsia" w:ascii="Times New Roman" w:hAnsi="Times New Roman" w:eastAsia="楷体_GB2312" w:cs="楷体_GB2312"/>
          <w:b/>
          <w:bCs/>
          <w:sz w:val="28"/>
          <w:szCs w:val="28"/>
        </w:rPr>
      </w:pPr>
      <w:r>
        <w:rPr>
          <w:rFonts w:hint="eastAsia" w:ascii="Times New Roman" w:hAnsi="Times New Roman" w:eastAsia="楷体_GB2312" w:cs="楷体_GB2312"/>
          <w:b/>
          <w:bCs/>
          <w:sz w:val="28"/>
          <w:szCs w:val="28"/>
        </w:rPr>
        <w:t>（三）实施周期</w:t>
      </w:r>
    </w:p>
    <w:p>
      <w:pPr>
        <w:adjustRightInd/>
        <w:snapToGrid/>
        <w:spacing w:line="58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项目单位应明确项目实施周期。实施周期应与国民经济社会发展规划、部门或行业发展规划、重大政策、重大项目实施期限、中期财政规划等相适应。</w:t>
      </w:r>
    </w:p>
    <w:p>
      <w:pPr>
        <w:adjustRightInd/>
        <w:snapToGrid w:val="0"/>
        <w:spacing w:line="580" w:lineRule="exact"/>
        <w:ind w:firstLine="562" w:firstLineChars="200"/>
        <w:outlineLvl w:val="1"/>
        <w:rPr>
          <w:rFonts w:hint="eastAsia" w:ascii="Times New Roman" w:hAnsi="Times New Roman" w:eastAsia="楷体_GB2312" w:cs="楷体_GB2312"/>
          <w:b/>
          <w:bCs/>
          <w:sz w:val="28"/>
          <w:szCs w:val="28"/>
        </w:rPr>
      </w:pPr>
      <w:r>
        <w:rPr>
          <w:rFonts w:hint="eastAsia" w:ascii="Times New Roman" w:hAnsi="Times New Roman" w:eastAsia="楷体_GB2312" w:cs="楷体_GB2312"/>
          <w:b/>
          <w:bCs/>
          <w:sz w:val="28"/>
          <w:szCs w:val="28"/>
        </w:rPr>
        <w:t>（四）绩效目标</w:t>
      </w:r>
    </w:p>
    <w:p>
      <w:pPr>
        <w:adjustRightInd/>
        <w:snapToGrid w:val="0"/>
        <w:spacing w:line="58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设置可量化、可评估的绩效目标，包括产出、成本、经济效益、社会效益、生态效益、可持续影响和服务对象满意度等绩效指标。</w:t>
      </w:r>
    </w:p>
    <w:p>
      <w:pPr>
        <w:numPr>
          <w:ilvl w:val="2"/>
          <w:numId w:val="0"/>
        </w:numPr>
        <w:ind w:left="288" w:leftChars="0"/>
        <w:rPr>
          <w:rFonts w:hint="eastAsia"/>
        </w:rPr>
        <w:sectPr>
          <w:footerReference r:id="rId39"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339"/>
          <w:cols w:space="0" w:num="1"/>
          <w:rtlGutter w:val="0"/>
          <w:docGrid w:type="lines" w:linePitch="595" w:charSpace="0"/>
        </w:sectPr>
      </w:pPr>
    </w:p>
    <w:tbl>
      <w:tblPr>
        <w:tblStyle w:val="14"/>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4"/>
        <w:gridCol w:w="955"/>
        <w:gridCol w:w="4687"/>
        <w:gridCol w:w="1226"/>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附表1</w:t>
            </w:r>
          </w:p>
        </w:tc>
        <w:tc>
          <w:tcPr>
            <w:tcW w:w="95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color w:val="000000"/>
                <w:sz w:val="22"/>
                <w:szCs w:val="22"/>
                <w:u w:val="none"/>
              </w:rPr>
            </w:pPr>
          </w:p>
        </w:tc>
        <w:tc>
          <w:tcPr>
            <w:tcW w:w="468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color w:val="000000"/>
                <w:sz w:val="22"/>
                <w:szCs w:val="22"/>
                <w:u w:val="none"/>
              </w:rPr>
            </w:pPr>
          </w:p>
        </w:tc>
        <w:tc>
          <w:tcPr>
            <w:tcW w:w="13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8874"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XXXX年广东省省XXXX项目绩效目标申报表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E6E6E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绩效目标</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E6E6E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实施期目标（跨年度项目需填写，当年度项目不需填写）</w:t>
            </w:r>
          </w:p>
        </w:tc>
        <w:tc>
          <w:tcPr>
            <w:tcW w:w="1226" w:type="dxa"/>
            <w:tcBorders>
              <w:top w:val="single" w:color="000000" w:sz="4" w:space="0"/>
              <w:left w:val="single" w:color="000000" w:sz="4" w:space="0"/>
              <w:bottom w:val="single" w:color="000000" w:sz="4" w:space="0"/>
              <w:right w:val="single" w:color="000000" w:sz="4" w:space="0"/>
            </w:tcBorders>
            <w:shd w:val="clear" w:color="auto" w:fill="E6E6E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当年度目标*</w:t>
            </w:r>
          </w:p>
        </w:tc>
        <w:tc>
          <w:tcPr>
            <w:tcW w:w="135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总体目标</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仿宋_GB2312" w:hAnsi="宋体" w:eastAsia="仿宋_GB2312" w:cs="仿宋_GB2312"/>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仿宋_GB2312" w:hAnsi="宋体" w:eastAsia="仿宋_GB2312" w:cs="仿宋_GB2312"/>
                <w:i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根据项目资金设立（或政策意图）的初衷，概括性描述该项目资金安排后应达到的总体目标和效果（总任务、总要求、总产出和总效益）。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三级指标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当年度指标值</w:t>
            </w:r>
          </w:p>
        </w:tc>
        <w:tc>
          <w:tcPr>
            <w:tcW w:w="135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**（监测品种）**（监测类型）样品数量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对目标任务用指标值进行量化描述，确实无法量化的指标值可采用定性表述。如：种植业产品例行监测样品数量，200个；种植业产品例行监测蔬菜生产基地、运输车和批发市场抽样比例，4：2：4。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**（监测品种）**（监测类型）监测地点/抽检站点</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≥**个县（市、区）</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**（监测品种）**（监测类型）**（各抽样地点）抽样比例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**（监测品种）**（监测类型）**（各样品）抽样比例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参加**检测技术能力验证机构数量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**报告数量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≥**份</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**（监测品种）抽样方法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参照**规定执行</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对目标任务的质量要求（标准）进行量化描述，确实无法量化的指标值可采用定性表述。如：蔬菜、水果和食用菌抽样方法，参照NY/T789规定执行；种植业产品例行监测结果准确率，≥98%。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**（监测品种）**（监测类型）重点品种样品占比(重点品种样品量/样品总量)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**检测结果准确率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**（项目任务）完成率</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**（监测品种）**（监测类型）监测时间</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**月-**月</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对目标任务的完成时间进行量化描述。如：种植业产品例行监测时间，3月-6月。风险监测结果汇总分析完成时间，12月前；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**监测结果汇总分析完成时间</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**月-**月/**月前</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**（项目任务）完成时限</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**月-**月/**月前</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**（监测品种）**（监测类型）成本</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≤**万元/样品</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对资金支出成本控制进行量化描述。确实无法量化的指标值可采用定性表述。如：种植业产品例行监测成本，≤0.12万元/样品；XX≦项目成本支出。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**（项目任务）成本</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0"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反映项目实施后产生的社会效益，无法量化的指标值可采用定性表述,不产生直接经济效益的可不填写。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有效促进农产品质量安全问题解决（报告中提出解决方案的问题数量/发现的问题）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反映项目实施后产生的社会效益，无法量化的指标值可采用定性表述。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反映项目实施后对生态环境产生的影响，无法量化的指标值可采用定性表述，不涉及的项目可不填写。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有效促进农产品质量安全监管机制完善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反映项目完成后，后续政策、资金保障程序，以及管理机制（人员机构）因素完善水平。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受检单位满意度</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反映服务对象或项目受益人对相关产出及其影响的认可程度，确实无法量化的指标值可采用定性表述。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监测/检测工作参与人员满意度</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color w:val="000000"/>
                <w:sz w:val="20"/>
                <w:szCs w:val="20"/>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仿宋_GB2312" w:hAnsi="宋体" w:eastAsia="仿宋_GB2312" w:cs="仿宋_GB2312"/>
                <w:i w:val="0"/>
                <w:color w:val="000000"/>
                <w:sz w:val="20"/>
                <w:szCs w:val="20"/>
                <w:u w:val="none"/>
              </w:rPr>
            </w:pPr>
          </w:p>
        </w:tc>
      </w:tr>
    </w:tbl>
    <w:p>
      <w:pPr>
        <w:rPr>
          <w:rFonts w:hint="eastAsia"/>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Times New Roman" w:hAnsi="Times New Roman" w:eastAsia="宋体" w:cs="Times New Roman"/>
          <w:sz w:val="21"/>
          <w:szCs w:val="22"/>
        </w:rPr>
        <w:br w:type="page"/>
      </w:r>
    </w:p>
    <w:tbl>
      <w:tblPr>
        <w:tblStyle w:val="14"/>
        <w:tblW w:w="13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632"/>
        <w:gridCol w:w="1631"/>
        <w:gridCol w:w="1323"/>
        <w:gridCol w:w="1631"/>
        <w:gridCol w:w="631"/>
        <w:gridCol w:w="863"/>
        <w:gridCol w:w="850"/>
        <w:gridCol w:w="967"/>
        <w:gridCol w:w="966"/>
        <w:gridCol w:w="107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3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附表2-1</w:t>
            </w:r>
          </w:p>
        </w:tc>
        <w:tc>
          <w:tcPr>
            <w:tcW w:w="16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13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6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8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107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10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3126"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XXXX年广东省XXXX项目预算支出明细表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vMerge w:val="restart"/>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32" w:type="dxa"/>
            <w:vMerge w:val="restart"/>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项目活动</w:t>
            </w:r>
          </w:p>
        </w:tc>
        <w:tc>
          <w:tcPr>
            <w:tcW w:w="1631" w:type="dxa"/>
            <w:vMerge w:val="restart"/>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对项目活动的描述</w:t>
            </w:r>
          </w:p>
        </w:tc>
        <w:tc>
          <w:tcPr>
            <w:tcW w:w="1323" w:type="dxa"/>
            <w:vMerge w:val="restart"/>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子活动</w:t>
            </w:r>
          </w:p>
        </w:tc>
        <w:tc>
          <w:tcPr>
            <w:tcW w:w="1631" w:type="dxa"/>
            <w:vMerge w:val="restart"/>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对子活动的描述</w:t>
            </w:r>
          </w:p>
        </w:tc>
        <w:tc>
          <w:tcPr>
            <w:tcW w:w="631" w:type="dxa"/>
            <w:vMerge w:val="restart"/>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63" w:type="dxa"/>
            <w:vMerge w:val="restart"/>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数量/频率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价格/标准（万元）</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预算金额（万元）</w:t>
            </w:r>
          </w:p>
        </w:tc>
        <w:tc>
          <w:tcPr>
            <w:tcW w:w="2042" w:type="dxa"/>
            <w:gridSpan w:val="2"/>
            <w:tcBorders>
              <w:top w:val="single" w:color="000000" w:sz="4" w:space="0"/>
              <w:left w:val="nil"/>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资金来源（万元）</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测算依据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vMerge w:val="continue"/>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632" w:type="dxa"/>
            <w:vMerge w:val="continue"/>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nil"/>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966" w:type="dxa"/>
            <w:tcBorders>
              <w:top w:val="single" w:color="000000" w:sz="4" w:space="0"/>
              <w:left w:val="nil"/>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省级财政专项资金</w:t>
            </w:r>
          </w:p>
        </w:tc>
        <w:tc>
          <w:tcPr>
            <w:tcW w:w="1076"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其他来源资金</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9061" w:type="dxa"/>
            <w:gridSpan w:val="8"/>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96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i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bl>
    <w:p>
      <w:pPr>
        <w:rPr>
          <w:rFonts w:hint="eastAsia"/>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djustRightInd/>
        <w:snapToGrid/>
        <w:spacing w:line="240" w:lineRule="auto"/>
        <w:ind w:firstLine="0" w:firstLineChars="0"/>
        <w:rPr>
          <w:rFonts w:hint="eastAsia" w:ascii="Times New Roman" w:hAnsi="Times New Roman" w:eastAsia="宋体" w:cs="Times New Roman"/>
          <w:sz w:val="21"/>
          <w:szCs w:val="22"/>
        </w:rPr>
      </w:pPr>
    </w:p>
    <w:tbl>
      <w:tblPr>
        <w:tblStyle w:val="14"/>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1389"/>
        <w:gridCol w:w="1012"/>
        <w:gridCol w:w="431"/>
        <w:gridCol w:w="870"/>
        <w:gridCol w:w="673"/>
        <w:gridCol w:w="717"/>
        <w:gridCol w:w="1084"/>
        <w:gridCol w:w="1013"/>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91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page"/>
            </w:r>
            <w:r>
              <w:rPr>
                <w:rFonts w:hint="eastAsia" w:ascii="宋体" w:hAnsi="宋体" w:eastAsia="宋体" w:cs="宋体"/>
                <w:i w:val="0"/>
                <w:color w:val="000000"/>
                <w:kern w:val="0"/>
                <w:sz w:val="20"/>
                <w:szCs w:val="20"/>
                <w:u w:val="none"/>
                <w:lang w:val="en-US" w:eastAsia="zh-CN" w:bidi="ar"/>
              </w:rPr>
              <w:t>附表2-2</w:t>
            </w:r>
          </w:p>
        </w:tc>
        <w:tc>
          <w:tcPr>
            <w:tcW w:w="10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4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6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71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108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101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c>
          <w:tcPr>
            <w:tcW w:w="11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8874"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XXXX年广东省XXXX项目预算表（经济分类）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支出科目/支出项目</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支出内容</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数量/频率</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单价/标准（万元）</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预算金额（万元）</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资金来源（万元）</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测算依据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省级财政专项资金</w:t>
            </w:r>
          </w:p>
        </w:tc>
        <w:tc>
          <w:tcPr>
            <w:tcW w:w="1013"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其他来源资金</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4904"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7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信息与咨询费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检测耗材费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专家费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外聘人员</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水电费及其他费用支出</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水电费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snapToGrid w:val="0"/>
        <w:spacing w:line="420" w:lineRule="exact"/>
        <w:ind w:firstLine="0" w:firstLineChars="0"/>
        <w:jc w:val="both"/>
        <w:textAlignment w:val="auto"/>
        <w:rPr>
          <w:rFonts w:hint="eastAsia" w:ascii="方正小标宋简体" w:hAnsi="方正小标宋简体" w:eastAsia="方正小标宋简体" w:cs="方正小标宋简体"/>
          <w:b w:val="0"/>
          <w:bCs w:val="0"/>
          <w:color w:val="auto"/>
          <w:kern w:val="0"/>
          <w:sz w:val="36"/>
          <w:szCs w:val="36"/>
          <w:lang w:val="en-US" w:eastAsia="zh-CN"/>
        </w:rPr>
      </w:pPr>
    </w:p>
    <w:p>
      <w:pPr>
        <w:pStyle w:val="2"/>
        <w:rPr>
          <w:rFonts w:hint="default"/>
          <w:lang w:val="en-US" w:eastAsia="zh-CN"/>
        </w:rPr>
      </w:pPr>
    </w:p>
    <w:p>
      <w:pPr>
        <w:rPr>
          <w:rFonts w:hint="default"/>
          <w:lang w:val="en-US" w:eastAsia="zh-CN"/>
        </w:rPr>
      </w:pPr>
      <w:r>
        <w:rPr>
          <w:rFonts w:hint="default"/>
          <w:lang w:val="en-US" w:eastAsia="zh-CN"/>
        </w:rPr>
        <w:br w:type="page"/>
      </w:r>
    </w:p>
    <w:p>
      <w:pPr>
        <w:pStyle w:val="7"/>
        <w:bidi w:val="0"/>
        <w:rPr>
          <w:rFonts w:hint="default" w:ascii="方正小标宋简体" w:hAnsi="方正小标宋简体" w:eastAsia="方正小标宋简体" w:cs="方正小标宋简体"/>
          <w:b/>
          <w:bCs/>
          <w:color w:val="auto"/>
          <w:kern w:val="0"/>
          <w:szCs w:val="44"/>
          <w:lang w:val="en-US" w:eastAsia="zh-CN"/>
        </w:rPr>
      </w:pPr>
      <w:r>
        <w:rPr>
          <w:rFonts w:hint="eastAsia"/>
          <w:lang w:val="en-US" w:eastAsia="zh-CN"/>
        </w:rPr>
        <w:t>附件6-4</w:t>
      </w:r>
    </w:p>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广东省农业农村厅现代农业产业发展</w:t>
      </w: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项目申报书模板</w:t>
      </w:r>
    </w:p>
    <w:p>
      <w:pPr>
        <w:keepNext w:val="0"/>
        <w:keepLines w:val="0"/>
        <w:pageBreakBefore w:val="0"/>
        <w:kinsoku/>
        <w:wordWrap/>
        <w:topLinePunct w:val="0"/>
        <w:bidi w:val="0"/>
        <w:adjustRightInd w:val="0"/>
        <w:snapToGrid w:val="0"/>
        <w:spacing w:line="420" w:lineRule="exact"/>
        <w:ind w:firstLine="0"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tbl>
      <w:tblPr>
        <w:tblStyle w:val="14"/>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项</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目</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名</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jc w:val="left"/>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项目</w:t>
            </w:r>
            <w:r>
              <w:rPr>
                <w:rFonts w:hint="eastAsia" w:ascii="黑体" w:hAnsi="Times New Roman" w:eastAsia="黑体" w:cs="Times New Roman"/>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rPr>
                <w:rFonts w:ascii="黑体" w:hAnsi="宋体" w:eastAsia="黑体" w:cs="Times New Roman"/>
                <w:color w:val="auto"/>
                <w:sz w:val="28"/>
                <w:szCs w:val="28"/>
              </w:rPr>
            </w:pPr>
          </w:p>
        </w:tc>
      </w:tr>
      <w:tr>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主 管 单 位</w:t>
            </w:r>
            <w:r>
              <w:rPr>
                <w:rFonts w:hint="eastAsia" w:ascii="黑体" w:hAnsi="Times New Roman" w:eastAsia="黑体" w:cs="Times New Roman"/>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日 期：</w:t>
            </w:r>
          </w:p>
        </w:tc>
        <w:tc>
          <w:tcPr>
            <w:tcW w:w="5840" w:type="dxa"/>
            <w:vAlign w:val="center"/>
          </w:tcPr>
          <w:p>
            <w:pPr>
              <w:keepNext w:val="0"/>
              <w:keepLines w:val="0"/>
              <w:pageBreakBefore w:val="0"/>
              <w:kinsoku/>
              <w:wordWrap/>
              <w:topLinePunct w:val="0"/>
              <w:bidi w:val="0"/>
              <w:adjustRightInd w:val="0"/>
              <w:snapToGrid w:val="0"/>
              <w:spacing w:line="420" w:lineRule="exact"/>
              <w:ind w:firstLine="616" w:firstLineChars="0"/>
              <w:rPr>
                <w:rFonts w:ascii="Times New Roman" w:hAnsi="Times New Roman" w:eastAsia="宋体" w:cs="Times New Roman"/>
                <w:color w:val="auto"/>
                <w:sz w:val="21"/>
                <w:szCs w:val="22"/>
              </w:rPr>
            </w:pPr>
            <w:r>
              <w:rPr>
                <w:rFonts w:hint="eastAsia" w:ascii="Times New Roman" w:hAnsi="Times New Roman" w:eastAsia="宋体" w:cs="Times New Roman"/>
                <w:color w:val="auto"/>
                <w:sz w:val="24"/>
                <w:szCs w:val="32"/>
              </w:rPr>
              <w:t xml:space="preserve">  </w:t>
            </w:r>
            <w:r>
              <w:rPr>
                <w:rFonts w:ascii="Times New Roman" w:hAnsi="Times New Roman" w:eastAsia="宋体" w:cs="Times New Roman"/>
                <w:color w:val="auto"/>
                <w:sz w:val="24"/>
                <w:szCs w:val="32"/>
              </w:rPr>
              <w:t xml:space="preserve">  </w:t>
            </w:r>
            <w:r>
              <w:rPr>
                <w:rFonts w:hint="eastAsia" w:ascii="Times New Roman" w:hAnsi="Times New Roman" w:eastAsia="宋体" w:cs="Times New Roman"/>
                <w:color w:val="auto"/>
                <w:sz w:val="24"/>
                <w:szCs w:val="32"/>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ind w:firstLine="0" w:firstLineChars="0"/>
              <w:jc w:val="center"/>
              <w:rPr>
                <w:rFonts w:hint="eastAsia" w:ascii="黑体" w:hAnsi="Times New Roman" w:eastAsia="黑体" w:cs="Times New Roman"/>
                <w:color w:val="auto"/>
                <w:sz w:val="28"/>
                <w:szCs w:val="28"/>
              </w:rPr>
            </w:pP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616" w:firstLineChars="0"/>
              <w:rPr>
                <w:rFonts w:hint="eastAsia" w:ascii="Times New Roman" w:hAnsi="Times New Roman" w:eastAsia="宋体" w:cs="Times New Roman"/>
                <w:color w:val="auto"/>
                <w:sz w:val="24"/>
                <w:szCs w:val="32"/>
              </w:rPr>
            </w:pPr>
          </w:p>
        </w:tc>
      </w:tr>
    </w:tbl>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kinsoku/>
        <w:wordWrap/>
        <w:topLinePunct w:val="0"/>
        <w:bidi w:val="0"/>
        <w:adjustRightInd w:val="0"/>
        <w:snapToGrid w:val="0"/>
        <w:spacing w:line="420" w:lineRule="exact"/>
        <w:ind w:firstLine="536" w:firstLineChars="0"/>
        <w:rPr>
          <w:rFonts w:ascii="宋体" w:hAnsi="宋体" w:eastAsia="宋体" w:cs="Times New Roman"/>
          <w:color w:val="auto"/>
          <w:sz w:val="28"/>
          <w:szCs w:val="28"/>
        </w:rPr>
      </w:pPr>
    </w:p>
    <w:p>
      <w:pPr>
        <w:keepNext w:val="0"/>
        <w:keepLines w:val="0"/>
        <w:pageBreakBefore w:val="0"/>
        <w:widowControl w:val="0"/>
        <w:kinsoku/>
        <w:wordWrap/>
        <w:topLinePunct w:val="0"/>
        <w:bidi w:val="0"/>
        <w:adjustRightInd w:val="0"/>
        <w:snapToGrid w:val="0"/>
        <w:spacing w:line="420" w:lineRule="exact"/>
        <w:ind w:firstLine="0" w:firstLineChars="0"/>
        <w:jc w:val="both"/>
        <w:outlineLvl w:val="1"/>
        <w:rPr>
          <w:rFonts w:ascii="宋体" w:hAnsi="宋体" w:eastAsia="宋体" w:cs="楷体"/>
          <w:b/>
          <w:bCs/>
          <w:color w:val="auto"/>
          <w:kern w:val="2"/>
          <w:sz w:val="28"/>
          <w:szCs w:val="28"/>
          <w:lang w:val="en-US" w:eastAsia="zh-CN" w:bidi="ar-SA"/>
        </w:rPr>
      </w:pPr>
    </w:p>
    <w:p>
      <w:pPr>
        <w:keepNext w:val="0"/>
        <w:keepLines w:val="0"/>
        <w:pageBreakBefore w:val="0"/>
        <w:kinsoku/>
        <w:wordWrap/>
        <w:topLinePunct w:val="0"/>
        <w:bidi w:val="0"/>
        <w:adjustRightInd w:val="0"/>
        <w:snapToGrid w:val="0"/>
        <w:spacing w:line="420" w:lineRule="exact"/>
        <w:ind w:firstLine="0" w:firstLineChars="0"/>
        <w:rPr>
          <w:rFonts w:ascii="宋体" w:hAnsi="宋体" w:eastAsia="宋体" w:cs="Times New Roman"/>
          <w:color w:val="auto"/>
          <w:sz w:val="28"/>
          <w:szCs w:val="28"/>
        </w:rPr>
      </w:pPr>
    </w:p>
    <w:p>
      <w:pPr>
        <w:keepNext w:val="0"/>
        <w:keepLines w:val="0"/>
        <w:pageBreakBefore w:val="0"/>
        <w:widowControl w:val="0"/>
        <w:kinsoku/>
        <w:wordWrap/>
        <w:topLinePunct w:val="0"/>
        <w:bidi w:val="0"/>
        <w:adjustRightInd w:val="0"/>
        <w:snapToGrid w:val="0"/>
        <w:spacing w:line="420" w:lineRule="exact"/>
        <w:ind w:firstLine="0" w:firstLineChars="0"/>
        <w:jc w:val="both"/>
        <w:outlineLvl w:val="1"/>
        <w:rPr>
          <w:rFonts w:ascii="楷体" w:hAnsi="楷体" w:eastAsia="宋体" w:cs="楷体"/>
          <w:b/>
          <w:bCs/>
          <w:color w:val="auto"/>
          <w:kern w:val="2"/>
          <w:sz w:val="30"/>
          <w:szCs w:val="30"/>
          <w:lang w:val="en-US" w:eastAsia="zh-CN" w:bidi="ar-SA"/>
        </w:rPr>
      </w:pPr>
    </w:p>
    <w:p>
      <w:pPr>
        <w:adjustRightInd/>
        <w:snapToGrid/>
        <w:spacing w:line="240" w:lineRule="auto"/>
        <w:ind w:firstLine="0" w:firstLineChars="0"/>
        <w:rPr>
          <w:rFonts w:ascii="Times New Roman" w:hAnsi="Times New Roman" w:eastAsia="宋体" w:cs="Times New Roman"/>
          <w:color w:val="auto"/>
          <w:sz w:val="21"/>
          <w:szCs w:val="22"/>
        </w:rPr>
      </w:pPr>
    </w:p>
    <w:p>
      <w:pPr>
        <w:adjustRightInd/>
        <w:snapToGrid/>
        <w:spacing w:line="240" w:lineRule="auto"/>
        <w:ind w:firstLine="0" w:firstLineChars="0"/>
        <w:rPr>
          <w:rFonts w:ascii="Times New Roman" w:hAnsi="Times New Roman" w:eastAsia="宋体" w:cs="Times New Roman"/>
          <w:sz w:val="21"/>
          <w:szCs w:val="22"/>
        </w:rPr>
      </w:pPr>
    </w:p>
    <w:p>
      <w:pPr>
        <w:keepNext w:val="0"/>
        <w:keepLines w:val="0"/>
        <w:pageBreakBefore w:val="0"/>
        <w:kinsoku/>
        <w:wordWrap/>
        <w:topLinePunct w:val="0"/>
        <w:bidi w:val="0"/>
        <w:adjustRightInd w:val="0"/>
        <w:snapToGrid w:val="0"/>
        <w:spacing w:line="420" w:lineRule="exact"/>
        <w:ind w:firstLine="0" w:firstLine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kinsoku/>
        <w:wordWrap/>
        <w:topLinePunct w:val="0"/>
        <w:bidi w:val="0"/>
        <w:adjustRightInd w:val="0"/>
        <w:snapToGrid w:val="0"/>
        <w:spacing w:line="420" w:lineRule="exact"/>
        <w:ind w:firstLine="0" w:firstLineChars="0"/>
        <w:jc w:val="center"/>
        <w:rPr>
          <w:rFonts w:hint="eastAsia" w:ascii="楷体_GB2312" w:hAnsi="楷体_GB2312" w:eastAsia="楷体_GB2312" w:cs="楷体_GB2312"/>
          <w:b/>
          <w:bCs w:val="0"/>
          <w:color w:val="auto"/>
          <w:sz w:val="40"/>
          <w:szCs w:val="40"/>
        </w:rPr>
      </w:pPr>
      <w:r>
        <w:rPr>
          <w:rFonts w:hint="eastAsia" w:ascii="楷体_GB2312" w:hAnsi="楷体_GB2312" w:eastAsia="楷体_GB2312" w:cs="楷体_GB2312"/>
          <w:b/>
          <w:bCs w:val="0"/>
          <w:color w:val="auto"/>
          <w:sz w:val="32"/>
          <w:szCs w:val="32"/>
        </w:rPr>
        <w:t>二Ο二   年   月</w:t>
      </w:r>
    </w:p>
    <w:p>
      <w:pPr>
        <w:keepNext w:val="0"/>
        <w:keepLines w:val="0"/>
        <w:pageBreakBefore w:val="0"/>
        <w:kinsoku/>
        <w:wordWrap/>
        <w:topLinePunct w:val="0"/>
        <w:bidi w:val="0"/>
        <w:adjustRightInd w:val="0"/>
        <w:snapToGrid w:val="0"/>
        <w:spacing w:line="420" w:lineRule="exact"/>
        <w:jc w:val="both"/>
        <w:rPr>
          <w:rFonts w:hint="eastAsia" w:ascii="楷体_GB2312" w:hAnsi="楷体_GB2312" w:eastAsia="楷体_GB2312" w:cs="楷体_GB2312"/>
          <w:b/>
          <w:bCs w:val="0"/>
          <w:color w:val="auto"/>
          <w:sz w:val="40"/>
          <w:szCs w:val="40"/>
        </w:rPr>
        <w:sectPr>
          <w:footerReference r:id="rId40"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316"/>
          <w:cols w:space="0" w:num="1"/>
          <w:rtlGutter w:val="0"/>
          <w:docGrid w:type="lines" w:linePitch="595" w:charSpace="0"/>
        </w:sectPr>
      </w:pPr>
    </w:p>
    <w:p>
      <w:pPr>
        <w:numPr>
          <w:ilvl w:val="0"/>
          <w:numId w:val="4"/>
        </w:numPr>
        <w:adjustRightInd w:val="0"/>
        <w:snapToGrid/>
        <w:spacing w:line="360" w:lineRule="auto"/>
        <w:ind w:firstLine="560" w:firstLineChars="200"/>
        <w:outlineLvl w:val="0"/>
        <w:rPr>
          <w:rFonts w:ascii="黑体" w:hAnsi="黑体" w:eastAsia="黑体" w:cs="黑体"/>
          <w:bCs/>
          <w:kern w:val="0"/>
          <w:sz w:val="28"/>
          <w:szCs w:val="28"/>
        </w:rPr>
      </w:pPr>
      <w:r>
        <w:rPr>
          <w:rFonts w:hint="eastAsia" w:ascii="黑体" w:hAnsi="黑体" w:eastAsia="黑体" w:cs="黑体"/>
          <w:bCs/>
          <w:kern w:val="0"/>
          <w:sz w:val="28"/>
          <w:szCs w:val="28"/>
        </w:rPr>
        <w:t>项目和单位基本情况</w:t>
      </w:r>
    </w:p>
    <w:p>
      <w:pPr>
        <w:adjustRightInd/>
        <w:snapToGrid/>
        <w:spacing w:line="360" w:lineRule="auto"/>
        <w:ind w:firstLine="560" w:firstLineChars="200"/>
        <w:rPr>
          <w:rFonts w:hint="eastAsia" w:ascii="仿宋_GB2312" w:hAnsi="仿宋_GB2312" w:eastAsia="仿宋_GB2312" w:cs="仿宋_GB2312"/>
          <w:sz w:val="21"/>
          <w:szCs w:val="22"/>
        </w:rPr>
      </w:pPr>
      <w:r>
        <w:rPr>
          <w:rFonts w:hint="eastAsia" w:ascii="仿宋_GB2312" w:hAnsi="仿宋_GB2312" w:eastAsia="仿宋_GB2312" w:cs="仿宋_GB2312"/>
          <w:sz w:val="28"/>
          <w:szCs w:val="28"/>
        </w:rPr>
        <w:t>（一）说明项目基本情况，包括项目名称、实施时间、项目预算、联系人等。（二）人员状况，包括</w:t>
      </w:r>
      <w:r>
        <w:rPr>
          <w:rFonts w:hint="eastAsia" w:ascii="仿宋_GB2312" w:hAnsi="仿宋_GB2312" w:eastAsia="仿宋_GB2312" w:cs="仿宋_GB2312"/>
          <w:sz w:val="28"/>
          <w:szCs w:val="28"/>
          <w:lang w:eastAsia="zh-Hans"/>
        </w:rPr>
        <w:t>项目</w:t>
      </w:r>
      <w:r>
        <w:rPr>
          <w:rFonts w:hint="eastAsia" w:ascii="仿宋_GB2312" w:hAnsi="仿宋_GB2312" w:eastAsia="仿宋_GB2312" w:cs="仿宋_GB2312"/>
          <w:sz w:val="28"/>
          <w:szCs w:val="28"/>
        </w:rPr>
        <w:t>和子</w:t>
      </w:r>
      <w:r>
        <w:rPr>
          <w:rFonts w:hint="eastAsia" w:ascii="仿宋_GB2312" w:hAnsi="仿宋_GB2312" w:eastAsia="仿宋_GB2312" w:cs="仿宋_GB2312"/>
          <w:sz w:val="28"/>
          <w:szCs w:val="28"/>
          <w:lang w:eastAsia="zh-Hans"/>
        </w:rPr>
        <w:t>项目</w:t>
      </w:r>
      <w:r>
        <w:rPr>
          <w:rFonts w:hint="eastAsia" w:ascii="仿宋_GB2312" w:hAnsi="仿宋_GB2312" w:eastAsia="仿宋_GB2312" w:cs="仿宋_GB2312"/>
          <w:sz w:val="28"/>
          <w:szCs w:val="28"/>
        </w:rPr>
        <w:t>的负责人及骨干人员情况和职责。（三）项目单位情况，包括单位性质、隶属关系、相关职能业务范围；（四）相关经验，是否承担为省农业农村厅主管的其他同类型项目，并填报下表：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362"/>
        <w:gridCol w:w="1422"/>
        <w:gridCol w:w="1417"/>
        <w:gridCol w:w="141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6"/>
            <w:vAlign w:val="center"/>
          </w:tcPr>
          <w:p>
            <w:pPr>
              <w:adjustRightInd/>
              <w:snapToGrid/>
              <w:spacing w:line="240" w:lineRule="auto"/>
              <w:ind w:firstLine="0" w:firstLineChars="0"/>
              <w:rPr>
                <w:rFonts w:ascii="宋体" w:hAnsi="宋体" w:eastAsia="宋体" w:cs="宋体"/>
                <w:sz w:val="24"/>
                <w:szCs w:val="24"/>
              </w:rPr>
            </w:pPr>
            <w:r>
              <w:rPr>
                <w:rFonts w:hint="eastAsia" w:ascii="宋体" w:hAnsi="宋体" w:eastAsia="宋体" w:cs="宋体"/>
                <w:b/>
                <w:bCs/>
                <w:sz w:val="24"/>
                <w:szCs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7055" w:type="dxa"/>
            <w:gridSpan w:val="5"/>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实施时间</w:t>
            </w:r>
          </w:p>
        </w:tc>
        <w:tc>
          <w:tcPr>
            <w:tcW w:w="7055" w:type="dxa"/>
            <w:gridSpan w:val="5"/>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自      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项目预算</w:t>
            </w:r>
          </w:p>
        </w:tc>
        <w:tc>
          <w:tcPr>
            <w:tcW w:w="136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财政资金</w:t>
            </w:r>
          </w:p>
        </w:tc>
        <w:tc>
          <w:tcPr>
            <w:tcW w:w="2839" w:type="dxa"/>
            <w:gridSpan w:val="2"/>
            <w:vAlign w:val="center"/>
          </w:tcPr>
          <w:p>
            <w:pPr>
              <w:adjustRightInd/>
              <w:snapToGrid/>
              <w:spacing w:line="240" w:lineRule="auto"/>
              <w:ind w:firstLine="0" w:firstLineChars="0"/>
              <w:jc w:val="center"/>
              <w:rPr>
                <w:rFonts w:ascii="宋体" w:hAnsi="宋体" w:eastAsia="宋体" w:cs="宋体"/>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自筹资金</w:t>
            </w:r>
          </w:p>
        </w:tc>
        <w:tc>
          <w:tcPr>
            <w:tcW w:w="1442" w:type="dxa"/>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7" w:type="dxa"/>
            <w:vMerge w:val="restart"/>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项目联系人</w:t>
            </w:r>
          </w:p>
        </w:tc>
        <w:tc>
          <w:tcPr>
            <w:tcW w:w="136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姓名</w:t>
            </w:r>
          </w:p>
        </w:tc>
        <w:tc>
          <w:tcPr>
            <w:tcW w:w="2839" w:type="dxa"/>
            <w:gridSpan w:val="2"/>
            <w:vAlign w:val="center"/>
          </w:tcPr>
          <w:p>
            <w:pPr>
              <w:adjustRightInd/>
              <w:snapToGrid/>
              <w:spacing w:line="240" w:lineRule="auto"/>
              <w:ind w:firstLine="0" w:firstLineChars="0"/>
              <w:jc w:val="center"/>
              <w:rPr>
                <w:rFonts w:ascii="宋体" w:hAnsi="宋体" w:eastAsia="宋体" w:cs="宋体"/>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联系电话</w:t>
            </w:r>
          </w:p>
        </w:tc>
        <w:tc>
          <w:tcPr>
            <w:tcW w:w="1442" w:type="dxa"/>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7" w:type="dxa"/>
            <w:vMerge w:val="continue"/>
            <w:vAlign w:val="center"/>
          </w:tcPr>
          <w:p>
            <w:pPr>
              <w:adjustRightInd/>
              <w:snapToGrid/>
              <w:spacing w:line="240" w:lineRule="auto"/>
              <w:ind w:firstLine="0" w:firstLineChars="0"/>
              <w:jc w:val="center"/>
              <w:rPr>
                <w:rFonts w:ascii="宋体" w:hAnsi="宋体" w:eastAsia="宋体" w:cs="宋体"/>
                <w:b/>
                <w:bCs/>
                <w:sz w:val="24"/>
                <w:szCs w:val="24"/>
              </w:rPr>
            </w:pPr>
          </w:p>
        </w:tc>
        <w:tc>
          <w:tcPr>
            <w:tcW w:w="1362" w:type="dxa"/>
            <w:vAlign w:val="center"/>
          </w:tcPr>
          <w:p>
            <w:pPr>
              <w:adjustRightInd/>
              <w:snapToGrid/>
              <w:spacing w:line="240" w:lineRule="auto"/>
              <w:ind w:firstLine="0" w:firstLineChars="0"/>
              <w:jc w:val="center"/>
              <w:rPr>
                <w:rFonts w:ascii="宋体" w:hAnsi="宋体" w:eastAsia="宋体" w:cs="宋体"/>
                <w:b/>
                <w:bCs/>
                <w:sz w:val="24"/>
                <w:szCs w:val="24"/>
              </w:rPr>
            </w:pPr>
            <w:r>
              <w:rPr>
                <w:rFonts w:hint="eastAsia" w:ascii="宋体" w:hAnsi="宋体" w:eastAsia="宋体" w:cs="宋体"/>
                <w:sz w:val="24"/>
                <w:szCs w:val="24"/>
              </w:rPr>
              <w:t>工作单位</w:t>
            </w:r>
          </w:p>
        </w:tc>
        <w:tc>
          <w:tcPr>
            <w:tcW w:w="2839" w:type="dxa"/>
            <w:gridSpan w:val="2"/>
            <w:vAlign w:val="center"/>
          </w:tcPr>
          <w:p>
            <w:pPr>
              <w:adjustRightInd/>
              <w:snapToGrid/>
              <w:spacing w:line="240" w:lineRule="auto"/>
              <w:ind w:firstLine="0" w:firstLineChars="0"/>
              <w:jc w:val="center"/>
              <w:rPr>
                <w:rFonts w:ascii="宋体" w:hAnsi="宋体" w:eastAsia="宋体" w:cs="宋体"/>
                <w:b/>
                <w:bCs/>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b/>
                <w:bCs/>
                <w:sz w:val="24"/>
                <w:szCs w:val="24"/>
              </w:rPr>
            </w:pPr>
            <w:r>
              <w:rPr>
                <w:rFonts w:hint="eastAsia" w:ascii="宋体" w:hAnsi="宋体" w:eastAsia="宋体" w:cs="宋体"/>
                <w:sz w:val="24"/>
                <w:szCs w:val="24"/>
              </w:rPr>
              <w:t>职务</w:t>
            </w:r>
          </w:p>
        </w:tc>
        <w:tc>
          <w:tcPr>
            <w:tcW w:w="1442" w:type="dxa"/>
            <w:vAlign w:val="center"/>
          </w:tcPr>
          <w:p>
            <w:pPr>
              <w:adjustRightInd/>
              <w:snapToGrid/>
              <w:spacing w:line="240" w:lineRule="auto"/>
              <w:ind w:firstLine="0" w:firstLineChars="0"/>
              <w:jc w:val="left"/>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6"/>
            <w:vAlign w:val="center"/>
          </w:tcPr>
          <w:p>
            <w:pPr>
              <w:adjustRightInd/>
              <w:snapToGrid/>
              <w:spacing w:line="240" w:lineRule="auto"/>
              <w:ind w:firstLine="0" w:firstLineChars="0"/>
              <w:jc w:val="left"/>
              <w:rPr>
                <w:rFonts w:ascii="宋体" w:hAnsi="宋体" w:eastAsia="宋体" w:cs="宋体"/>
                <w:sz w:val="24"/>
                <w:szCs w:val="24"/>
              </w:rPr>
            </w:pPr>
            <w:r>
              <w:rPr>
                <w:rFonts w:hint="eastAsia" w:ascii="宋体" w:hAnsi="宋体" w:eastAsia="宋体" w:cs="宋体"/>
                <w:b/>
                <w:bCs/>
                <w:sz w:val="24"/>
                <w:szCs w:val="24"/>
              </w:rPr>
              <w:t>（二）项目负责人情况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姓名</w:t>
            </w:r>
          </w:p>
        </w:tc>
        <w:tc>
          <w:tcPr>
            <w:tcW w:w="1362" w:type="dxa"/>
            <w:vAlign w:val="center"/>
          </w:tcPr>
          <w:p>
            <w:pPr>
              <w:adjustRightInd/>
              <w:snapToGrid/>
              <w:spacing w:line="240" w:lineRule="auto"/>
              <w:ind w:firstLine="0" w:firstLineChars="0"/>
              <w:jc w:val="center"/>
              <w:rPr>
                <w:rFonts w:ascii="宋体" w:hAnsi="宋体" w:eastAsia="宋体" w:cs="宋体"/>
                <w:sz w:val="24"/>
                <w:szCs w:val="24"/>
              </w:rPr>
            </w:pPr>
          </w:p>
        </w:tc>
        <w:tc>
          <w:tcPr>
            <w:tcW w:w="142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性别</w:t>
            </w:r>
          </w:p>
        </w:tc>
        <w:tc>
          <w:tcPr>
            <w:tcW w:w="1417" w:type="dxa"/>
            <w:vAlign w:val="center"/>
          </w:tcPr>
          <w:p>
            <w:pPr>
              <w:adjustRightInd/>
              <w:snapToGrid/>
              <w:spacing w:line="240" w:lineRule="auto"/>
              <w:ind w:firstLine="0" w:firstLineChars="0"/>
              <w:jc w:val="center"/>
              <w:rPr>
                <w:rFonts w:ascii="宋体" w:hAnsi="宋体" w:eastAsia="宋体" w:cs="宋体"/>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民族</w:t>
            </w:r>
          </w:p>
        </w:tc>
        <w:tc>
          <w:tcPr>
            <w:tcW w:w="1442" w:type="dxa"/>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学历</w:t>
            </w:r>
          </w:p>
        </w:tc>
        <w:tc>
          <w:tcPr>
            <w:tcW w:w="1362" w:type="dxa"/>
            <w:vAlign w:val="center"/>
          </w:tcPr>
          <w:p>
            <w:pPr>
              <w:adjustRightInd/>
              <w:snapToGrid/>
              <w:spacing w:line="240" w:lineRule="auto"/>
              <w:ind w:firstLine="0" w:firstLineChars="0"/>
              <w:jc w:val="center"/>
              <w:rPr>
                <w:rFonts w:ascii="宋体" w:hAnsi="宋体" w:eastAsia="宋体" w:cs="宋体"/>
                <w:sz w:val="24"/>
                <w:szCs w:val="24"/>
              </w:rPr>
            </w:pPr>
          </w:p>
        </w:tc>
        <w:tc>
          <w:tcPr>
            <w:tcW w:w="142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职务</w:t>
            </w:r>
          </w:p>
        </w:tc>
        <w:tc>
          <w:tcPr>
            <w:tcW w:w="1417" w:type="dxa"/>
            <w:vAlign w:val="center"/>
          </w:tcPr>
          <w:p>
            <w:pPr>
              <w:adjustRightInd/>
              <w:snapToGrid/>
              <w:spacing w:line="240" w:lineRule="auto"/>
              <w:ind w:firstLine="0" w:firstLineChars="0"/>
              <w:jc w:val="center"/>
              <w:rPr>
                <w:rFonts w:ascii="宋体" w:hAnsi="宋体" w:eastAsia="宋体" w:cs="宋体"/>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职称</w:t>
            </w:r>
          </w:p>
        </w:tc>
        <w:tc>
          <w:tcPr>
            <w:tcW w:w="1442" w:type="dxa"/>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工作单位</w:t>
            </w:r>
          </w:p>
        </w:tc>
        <w:tc>
          <w:tcPr>
            <w:tcW w:w="4201" w:type="dxa"/>
            <w:gridSpan w:val="3"/>
            <w:vAlign w:val="center"/>
          </w:tcPr>
          <w:p>
            <w:pPr>
              <w:adjustRightInd/>
              <w:snapToGrid/>
              <w:spacing w:line="240" w:lineRule="auto"/>
              <w:ind w:firstLine="0" w:firstLineChars="0"/>
              <w:jc w:val="center"/>
              <w:rPr>
                <w:rFonts w:ascii="宋体" w:hAnsi="宋体" w:eastAsia="宋体" w:cs="宋体"/>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电子邮箱</w:t>
            </w:r>
          </w:p>
        </w:tc>
        <w:tc>
          <w:tcPr>
            <w:tcW w:w="1442" w:type="dxa"/>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办公电话</w:t>
            </w:r>
          </w:p>
        </w:tc>
        <w:tc>
          <w:tcPr>
            <w:tcW w:w="1362" w:type="dxa"/>
            <w:vAlign w:val="center"/>
          </w:tcPr>
          <w:p>
            <w:pPr>
              <w:adjustRightInd/>
              <w:snapToGrid/>
              <w:spacing w:line="240" w:lineRule="auto"/>
              <w:ind w:firstLine="0" w:firstLineChars="0"/>
              <w:jc w:val="center"/>
              <w:rPr>
                <w:rFonts w:ascii="宋体" w:hAnsi="宋体" w:eastAsia="宋体" w:cs="宋体"/>
                <w:sz w:val="24"/>
                <w:szCs w:val="24"/>
              </w:rPr>
            </w:pPr>
          </w:p>
        </w:tc>
        <w:tc>
          <w:tcPr>
            <w:tcW w:w="142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手机</w:t>
            </w:r>
          </w:p>
        </w:tc>
        <w:tc>
          <w:tcPr>
            <w:tcW w:w="1417" w:type="dxa"/>
            <w:vAlign w:val="center"/>
          </w:tcPr>
          <w:p>
            <w:pPr>
              <w:adjustRightInd/>
              <w:snapToGrid/>
              <w:spacing w:line="240" w:lineRule="auto"/>
              <w:ind w:firstLine="0" w:firstLineChars="0"/>
              <w:jc w:val="center"/>
              <w:rPr>
                <w:rFonts w:ascii="宋体" w:hAnsi="宋体" w:eastAsia="宋体" w:cs="宋体"/>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传真</w:t>
            </w:r>
          </w:p>
        </w:tc>
        <w:tc>
          <w:tcPr>
            <w:tcW w:w="1442" w:type="dxa"/>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7"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通讯地址</w:t>
            </w:r>
          </w:p>
        </w:tc>
        <w:tc>
          <w:tcPr>
            <w:tcW w:w="4201" w:type="dxa"/>
            <w:gridSpan w:val="3"/>
            <w:vAlign w:val="center"/>
          </w:tcPr>
          <w:p>
            <w:pPr>
              <w:adjustRightInd/>
              <w:snapToGrid/>
              <w:spacing w:line="240" w:lineRule="auto"/>
              <w:ind w:firstLine="0" w:firstLineChars="0"/>
              <w:jc w:val="center"/>
              <w:rPr>
                <w:rFonts w:ascii="宋体" w:hAnsi="宋体" w:eastAsia="宋体" w:cs="宋体"/>
                <w:sz w:val="24"/>
                <w:szCs w:val="24"/>
              </w:rPr>
            </w:pPr>
          </w:p>
        </w:tc>
        <w:tc>
          <w:tcPr>
            <w:tcW w:w="1412" w:type="dxa"/>
            <w:vAlign w:val="center"/>
          </w:tcPr>
          <w:p>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邮编</w:t>
            </w:r>
          </w:p>
        </w:tc>
        <w:tc>
          <w:tcPr>
            <w:tcW w:w="1442" w:type="dxa"/>
            <w:vAlign w:val="center"/>
          </w:tcPr>
          <w:p>
            <w:pPr>
              <w:adjustRightInd/>
              <w:snapToGrid/>
              <w:spacing w:line="24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22" w:type="dxa"/>
            <w:gridSpan w:val="6"/>
          </w:tcPr>
          <w:p>
            <w:pPr>
              <w:adjustRightInd/>
              <w:snapToGrid/>
              <w:spacing w:line="240" w:lineRule="auto"/>
              <w:ind w:firstLine="0" w:firstLineChars="0"/>
              <w:rPr>
                <w:rFonts w:ascii="宋体" w:hAnsi="宋体" w:eastAsia="宋体" w:cs="宋体"/>
                <w:sz w:val="24"/>
                <w:szCs w:val="24"/>
              </w:rPr>
            </w:pPr>
            <w:r>
              <w:rPr>
                <w:rFonts w:hint="eastAsia" w:ascii="宋体" w:hAnsi="宋体" w:eastAsia="宋体" w:cs="宋体"/>
                <w:b/>
                <w:bCs/>
                <w:sz w:val="24"/>
                <w:szCs w:val="24"/>
              </w:rPr>
              <w:t>（三）牵头申报单位和参与单位情况。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22" w:type="dxa"/>
            <w:gridSpan w:val="6"/>
          </w:tcPr>
          <w:p>
            <w:pPr>
              <w:adjustRightInd/>
              <w:snapToGrid/>
              <w:spacing w:line="240" w:lineRule="auto"/>
              <w:ind w:firstLine="0" w:firstLineChars="0"/>
              <w:rPr>
                <w:rFonts w:ascii="宋体" w:hAnsi="宋体" w:eastAsia="宋体" w:cs="宋体"/>
                <w:b/>
                <w:bCs/>
                <w:sz w:val="24"/>
                <w:szCs w:val="24"/>
              </w:rPr>
            </w:pPr>
            <w:r>
              <w:rPr>
                <w:rFonts w:hint="eastAsia" w:ascii="宋体" w:hAnsi="宋体" w:eastAsia="宋体" w:cs="宋体"/>
                <w:b/>
                <w:bCs/>
                <w:sz w:val="24"/>
                <w:szCs w:val="24"/>
              </w:rPr>
              <w:t>（四）参与过其他同类型农业农村领域财政补助项目。</w:t>
            </w:r>
          </w:p>
        </w:tc>
      </w:tr>
    </w:tbl>
    <w:p>
      <w:pPr>
        <w:adjustRightInd w:val="0"/>
        <w:spacing w:line="360" w:lineRule="auto"/>
        <w:ind w:firstLine="560" w:firstLineChars="200"/>
        <w:rPr>
          <w:rFonts w:ascii="黑体" w:hAnsi="黑体" w:eastAsia="黑体" w:cs="黑体"/>
          <w:bCs/>
          <w:kern w:val="0"/>
          <w:sz w:val="28"/>
          <w:szCs w:val="28"/>
        </w:rPr>
        <w:sectPr>
          <w:footerReference r:id="rId4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val="0"/>
        <w:widowControl w:val="0"/>
        <w:kinsoku/>
        <w:wordWrap/>
        <w:overflowPunct/>
        <w:topLinePunct w:val="0"/>
        <w:bidi w:val="0"/>
        <w:adjustRightInd w:val="0"/>
        <w:snapToGrid/>
        <w:spacing w:line="420" w:lineRule="exact"/>
        <w:ind w:firstLine="560" w:firstLineChars="200"/>
        <w:textAlignment w:val="auto"/>
        <w:outlineLvl w:val="0"/>
        <w:rPr>
          <w:rFonts w:ascii="黑体" w:hAnsi="黑体" w:eastAsia="黑体" w:cs="黑体"/>
          <w:bCs/>
          <w:kern w:val="0"/>
          <w:sz w:val="28"/>
          <w:szCs w:val="28"/>
        </w:rPr>
      </w:pPr>
      <w:r>
        <w:rPr>
          <w:rFonts w:hint="eastAsia" w:ascii="黑体" w:hAnsi="黑体" w:eastAsia="黑体" w:cs="黑体"/>
          <w:bCs/>
          <w:kern w:val="0"/>
          <w:sz w:val="28"/>
          <w:szCs w:val="28"/>
        </w:rPr>
        <w:t>二、项目立项依据</w:t>
      </w:r>
    </w:p>
    <w:p>
      <w:pPr>
        <w:pageBreakBefore w:val="0"/>
        <w:widowControl w:val="0"/>
        <w:kinsoku/>
        <w:wordWrap/>
        <w:overflowPunct/>
        <w:topLinePunct w:val="0"/>
        <w:bidi w:val="0"/>
        <w:adjustRightInd/>
        <w:snapToGrid/>
        <w:spacing w:line="420" w:lineRule="exact"/>
        <w:ind w:firstLine="640" w:firstLineChars="200"/>
        <w:textAlignment w:val="auto"/>
        <w:outlineLvl w:val="1"/>
        <w:rPr>
          <w:rFonts w:ascii="楷体" w:hAnsi="楷体" w:eastAsia="楷体" w:cs="楷体"/>
          <w:bCs/>
          <w:kern w:val="0"/>
          <w:sz w:val="32"/>
          <w:szCs w:val="32"/>
        </w:rPr>
      </w:pPr>
      <w:r>
        <w:rPr>
          <w:rFonts w:hint="eastAsia" w:ascii="楷体" w:hAnsi="楷体" w:eastAsia="楷体" w:cs="楷体"/>
          <w:bCs/>
          <w:kern w:val="0"/>
          <w:sz w:val="32"/>
          <w:szCs w:val="32"/>
        </w:rPr>
        <w:t>（一）项目申报依据。</w:t>
      </w:r>
    </w:p>
    <w:p>
      <w:pPr>
        <w:keepNext/>
        <w:keepLines/>
        <w:pageBreakBefore w:val="0"/>
        <w:widowControl w:val="0"/>
        <w:numPr>
          <w:ilvl w:val="2"/>
          <w:numId w:val="0"/>
        </w:numPr>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说明申请项目立项的背景、政策依据及拟解决的问题，描述符合中央、广东省国民经济社会发展规划、行业发展规划和相关政策文件的情况。</w:t>
      </w:r>
    </w:p>
    <w:p>
      <w:pPr>
        <w:pageBreakBefore w:val="0"/>
        <w:widowControl w:val="0"/>
        <w:kinsoku/>
        <w:wordWrap/>
        <w:overflowPunct/>
        <w:topLinePunct w:val="0"/>
        <w:bidi w:val="0"/>
        <w:adjustRightInd/>
        <w:snapToGrid/>
        <w:spacing w:line="420" w:lineRule="exact"/>
        <w:ind w:firstLine="640" w:firstLineChars="200"/>
        <w:textAlignment w:val="auto"/>
        <w:outlineLvl w:val="1"/>
        <w:rPr>
          <w:rFonts w:ascii="楷体" w:hAnsi="楷体" w:eastAsia="楷体" w:cs="楷体"/>
          <w:bCs/>
          <w:kern w:val="0"/>
          <w:sz w:val="32"/>
          <w:szCs w:val="32"/>
        </w:rPr>
      </w:pPr>
      <w:r>
        <w:rPr>
          <w:rFonts w:hint="eastAsia" w:ascii="楷体" w:hAnsi="楷体" w:eastAsia="楷体" w:cs="楷体"/>
          <w:bCs/>
          <w:kern w:val="0"/>
          <w:sz w:val="32"/>
          <w:szCs w:val="32"/>
        </w:rPr>
        <w:t>（二）项目必要性分析。</w:t>
      </w:r>
    </w:p>
    <w:p>
      <w:pPr>
        <w:keepNext/>
        <w:keepLines/>
        <w:pageBreakBefore w:val="0"/>
        <w:widowControl w:val="0"/>
        <w:numPr>
          <w:ilvl w:val="2"/>
          <w:numId w:val="0"/>
        </w:numPr>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说明项目实施对完成农业农村领域</w:t>
      </w:r>
      <w:r>
        <w:rPr>
          <w:rFonts w:hint="eastAsia" w:ascii="仿宋_GB2312" w:hAnsi="仿宋_GB2312" w:eastAsia="仿宋_GB2312" w:cs="仿宋_GB2312"/>
          <w:b w:val="0"/>
          <w:bCs w:val="0"/>
          <w:color w:val="auto"/>
          <w:sz w:val="28"/>
          <w:szCs w:val="28"/>
        </w:rPr>
        <w:t>特定</w:t>
      </w:r>
      <w:r>
        <w:rPr>
          <w:rFonts w:hint="eastAsia" w:ascii="仿宋_GB2312" w:hAnsi="仿宋_GB2312" w:eastAsia="仿宋_GB2312" w:cs="仿宋_GB2312"/>
          <w:color w:val="auto"/>
          <w:sz w:val="28"/>
          <w:szCs w:val="28"/>
        </w:rPr>
        <w:t>工作任务或事业发展的意义与作用。拟实施内容与广东省相关农业监测、检测工作任务或事业发展计划之间的关联性等。论证说明申请财政资金补助的必要性。</w:t>
      </w:r>
    </w:p>
    <w:p>
      <w:pPr>
        <w:pageBreakBefore w:val="0"/>
        <w:widowControl w:val="0"/>
        <w:numPr>
          <w:ilvl w:val="0"/>
          <w:numId w:val="5"/>
        </w:numPr>
        <w:kinsoku/>
        <w:wordWrap/>
        <w:overflowPunct/>
        <w:topLinePunct w:val="0"/>
        <w:bidi w:val="0"/>
        <w:adjustRightInd/>
        <w:snapToGrid/>
        <w:spacing w:line="420" w:lineRule="exact"/>
        <w:ind w:firstLine="560" w:firstLineChars="200"/>
        <w:textAlignment w:val="auto"/>
        <w:outlineLvl w:val="1"/>
        <w:rPr>
          <w:rFonts w:ascii="楷体" w:hAnsi="楷体" w:eastAsia="楷体" w:cs="楷体"/>
          <w:sz w:val="28"/>
          <w:szCs w:val="28"/>
        </w:rPr>
      </w:pPr>
      <w:r>
        <w:rPr>
          <w:rFonts w:hint="eastAsia" w:ascii="楷体" w:hAnsi="楷体" w:eastAsia="楷体" w:cs="楷体"/>
          <w:sz w:val="28"/>
          <w:szCs w:val="28"/>
        </w:rPr>
        <w:t>项目前期工作情况。</w:t>
      </w:r>
    </w:p>
    <w:p>
      <w:pPr>
        <w:keepNext/>
        <w:keepLines/>
        <w:pageBreakBefore w:val="0"/>
        <w:widowControl w:val="0"/>
        <w:numPr>
          <w:ilvl w:val="2"/>
          <w:numId w:val="0"/>
        </w:numPr>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基建工程类项目需说明：1.是否有四证：《国有土地使用证》《建设用地规划许可证》《建设工程规划许可证》和《建设工程施工许可证》等相关手续。2.是否需发改部门审批立项手续。3.是否完成实施方案制定、施工图设计、征地、报建等前期工作。4.是否完成了用地审批手续和环境评估手续。5.项目一经批复，何时可以动工实施。</w:t>
      </w:r>
    </w:p>
    <w:p>
      <w:pPr>
        <w:pStyle w:val="18"/>
        <w:pageBreakBefore w:val="0"/>
        <w:widowControl w:val="0"/>
        <w:kinsoku/>
        <w:wordWrap/>
        <w:overflowPunct/>
        <w:topLinePunct w:val="0"/>
        <w:bidi w:val="0"/>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非基建类项目需说明：项目人员到位情况。项目所需的场地、仪器设备、信息系统准备情况。自有资金保障情况。项目所需的技术是自有还是需要其他主体提供，是否随时可用。项目实施所需的关键物资是否有联系供应渠道并提供询价依据。</w:t>
      </w:r>
    </w:p>
    <w:p>
      <w:pPr>
        <w:pStyle w:val="18"/>
        <w:pageBreakBefore w:val="0"/>
        <w:widowControl w:val="0"/>
        <w:kinsoku/>
        <w:wordWrap/>
        <w:overflowPunct/>
        <w:topLinePunct w:val="0"/>
        <w:bidi w:val="0"/>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3.项目参与人员是否熟悉项目实施全过程管理制度、是否有参与过同类项目主管部门的项目经验。</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outlineLvl w:val="0"/>
        <w:rPr>
          <w:rFonts w:ascii="黑体" w:hAnsi="黑体" w:eastAsia="黑体" w:cs="黑体"/>
          <w:bCs/>
          <w:kern w:val="0"/>
          <w:sz w:val="28"/>
          <w:szCs w:val="28"/>
        </w:rPr>
      </w:pPr>
      <w:r>
        <w:rPr>
          <w:rFonts w:hint="eastAsia" w:ascii="黑体" w:hAnsi="黑体" w:eastAsia="黑体" w:cs="黑体"/>
          <w:bCs/>
          <w:kern w:val="0"/>
          <w:sz w:val="28"/>
          <w:szCs w:val="28"/>
        </w:rPr>
        <w:t>三、项目目标和建设内容</w:t>
      </w:r>
    </w:p>
    <w:p>
      <w:pPr>
        <w:keepNext w:val="0"/>
        <w:keepLines w:val="0"/>
        <w:pageBreakBefore w:val="0"/>
        <w:widowControl w:val="0"/>
        <w:kinsoku/>
        <w:wordWrap/>
        <w:overflowPunct/>
        <w:topLinePunct w:val="0"/>
        <w:bidi w:val="0"/>
        <w:adjustRightInd/>
        <w:snapToGrid/>
        <w:spacing w:line="420" w:lineRule="exact"/>
        <w:ind w:firstLine="640" w:firstLineChars="200"/>
        <w:textAlignment w:val="auto"/>
        <w:outlineLvl w:val="1"/>
        <w:rPr>
          <w:rFonts w:ascii="楷体" w:hAnsi="楷体" w:eastAsia="楷体" w:cs="楷体"/>
          <w:bCs/>
          <w:kern w:val="0"/>
          <w:sz w:val="32"/>
          <w:szCs w:val="32"/>
        </w:rPr>
      </w:pPr>
      <w:r>
        <w:rPr>
          <w:rFonts w:hint="eastAsia" w:ascii="楷体" w:hAnsi="楷体" w:eastAsia="楷体" w:cs="楷体"/>
          <w:sz w:val="32"/>
          <w:szCs w:val="32"/>
        </w:rPr>
        <w:t>（一）</w:t>
      </w:r>
      <w:r>
        <w:rPr>
          <w:rFonts w:hint="eastAsia" w:ascii="楷体" w:hAnsi="楷体" w:eastAsia="楷体" w:cs="楷体"/>
          <w:bCs/>
          <w:kern w:val="0"/>
          <w:sz w:val="32"/>
          <w:szCs w:val="32"/>
        </w:rPr>
        <w:t>项目目标。</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1.对项目总体目标进行描述，项目实施要实现何种结果，建成何种设施，具有什么样的经济、社会、生态效益。</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2.对具体绩效目标进行描述，绩效目标需清晰明确、全面反映项目实施效果、便于进行考核。包括：目标任务的具体数量参数，工作成果的质量标准，产出类指标和效益类指标。</w:t>
      </w:r>
    </w:p>
    <w:p>
      <w:pPr>
        <w:keepNext w:val="0"/>
        <w:keepLines w:val="0"/>
        <w:pageBreakBefore w:val="0"/>
        <w:widowControl w:val="0"/>
        <w:kinsoku/>
        <w:wordWrap/>
        <w:overflowPunct/>
        <w:topLinePunct w:val="0"/>
        <w:bidi w:val="0"/>
        <w:adjustRightInd/>
        <w:snapToGrid/>
        <w:spacing w:line="42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（二）建设内容。</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1.XX项目建设内容。</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其中，需通过财政资金给予补助的内容包括：</w:t>
      </w:r>
    </w:p>
    <w:p>
      <w:pPr>
        <w:pStyle w:val="18"/>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通过自筹资金实施的内容包括：</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（如用于道路建设、土地平整与改良等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请说明</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2.XX项目建设内容。</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其中，需通过财政资金给予补助的内容包括：</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通过自筹资金实施的内容包括：</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3.XX项目建设内容。</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其中，需通过财政资金给予补助的内容包括：</w:t>
      </w:r>
    </w:p>
    <w:p>
      <w:pPr>
        <w:keepNext w:val="0"/>
        <w:keepLines w:val="0"/>
        <w:pageBreakBefore w:val="0"/>
        <w:widowControl w:val="0"/>
        <w:kinsoku/>
        <w:wordWrap/>
        <w:overflowPunct/>
        <w:topLinePunct w:val="0"/>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通过自筹资金实施的内容包括：</w:t>
      </w:r>
    </w:p>
    <w:p>
      <w:pPr>
        <w:pStyle w:val="18"/>
        <w:keepNext w:val="0"/>
        <w:keepLines w:val="0"/>
        <w:pageBreakBefore w:val="0"/>
        <w:widowControl w:val="0"/>
        <w:kinsoku/>
        <w:wordWrap/>
        <w:overflowPunct/>
        <w:topLinePunct w:val="0"/>
        <w:bidi w:val="0"/>
        <w:spacing w:line="420" w:lineRule="exact"/>
        <w:ind w:firstLine="640" w:firstLineChars="200"/>
        <w:jc w:val="both"/>
        <w:textAlignment w:val="auto"/>
        <w:outlineLvl w:val="1"/>
        <w:rPr>
          <w:rFonts w:ascii="楷体" w:hAnsi="楷体" w:eastAsia="楷体" w:cs="楷体"/>
          <w:color w:val="auto"/>
          <w:kern w:val="2"/>
          <w:sz w:val="32"/>
          <w:szCs w:val="32"/>
        </w:rPr>
      </w:pPr>
      <w:r>
        <w:rPr>
          <w:rFonts w:hint="eastAsia" w:ascii="楷体" w:hAnsi="楷体" w:eastAsia="楷体" w:cs="楷体"/>
          <w:color w:val="auto"/>
          <w:kern w:val="2"/>
          <w:sz w:val="32"/>
          <w:szCs w:val="32"/>
        </w:rPr>
        <w:t>（三）技术路线。</w:t>
      </w:r>
    </w:p>
    <w:p>
      <w:pPr>
        <w:pStyle w:val="18"/>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1.论证项目实施所选的技术路线与实现项目目标之间的关联性。</w:t>
      </w:r>
    </w:p>
    <w:p>
      <w:pPr>
        <w:pStyle w:val="18"/>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2.论证项目实施方案的路径选择是否最优的说明（是否有其他代方案，为何选择本方案）；</w:t>
      </w:r>
    </w:p>
    <w:p>
      <w:pPr>
        <w:keepNext w:val="0"/>
        <w:keepLines w:val="0"/>
        <w:pageBreakBefore w:val="0"/>
        <w:widowControl w:val="0"/>
        <w:kinsoku/>
        <w:wordWrap/>
        <w:overflowPunct/>
        <w:topLinePunct w:val="0"/>
        <w:bidi w:val="0"/>
        <w:adjustRightInd w:val="0"/>
        <w:snapToGrid/>
        <w:spacing w:line="420" w:lineRule="exact"/>
        <w:ind w:firstLine="560" w:firstLineChars="200"/>
        <w:textAlignment w:val="auto"/>
        <w:outlineLvl w:val="0"/>
        <w:rPr>
          <w:rFonts w:ascii="黑体" w:hAnsi="黑体" w:eastAsia="黑体" w:cs="黑体"/>
          <w:bCs/>
          <w:kern w:val="0"/>
          <w:sz w:val="28"/>
          <w:szCs w:val="28"/>
        </w:rPr>
      </w:pPr>
      <w:r>
        <w:rPr>
          <w:rFonts w:hint="eastAsia" w:ascii="黑体" w:hAnsi="黑体" w:eastAsia="黑体" w:cs="黑体"/>
          <w:bCs/>
          <w:kern w:val="0"/>
          <w:sz w:val="28"/>
          <w:szCs w:val="28"/>
        </w:rPr>
        <w:t>四、项目实施方案及进度安排</w:t>
      </w:r>
    </w:p>
    <w:p>
      <w:pPr>
        <w:keepNext w:val="0"/>
        <w:keepLines w:val="0"/>
        <w:pageBreakBefore w:val="0"/>
        <w:widowControl w:val="0"/>
        <w:kinsoku/>
        <w:wordWrap/>
        <w:overflowPunct/>
        <w:topLinePunct w:val="0"/>
        <w:bidi w:val="0"/>
        <w:adjustRightInd w:val="0"/>
        <w:snapToGrid w:val="0"/>
        <w:spacing w:line="420" w:lineRule="exact"/>
        <w:ind w:firstLine="562" w:firstLineChars="200"/>
        <w:textAlignment w:val="auto"/>
        <w:outlineLvl w:val="1"/>
        <w:rPr>
          <w:rFonts w:ascii="仿宋" w:hAnsi="仿宋" w:eastAsia="仿宋" w:cs="仿宋"/>
          <w:bCs/>
          <w:color w:val="000000"/>
          <w:sz w:val="28"/>
          <w:szCs w:val="28"/>
        </w:rPr>
      </w:pPr>
      <w:r>
        <w:rPr>
          <w:rFonts w:hint="eastAsia" w:ascii="仿宋" w:hAnsi="仿宋" w:eastAsia="仿宋" w:cs="仿宋"/>
          <w:b/>
          <w:kern w:val="0"/>
          <w:sz w:val="28"/>
          <w:szCs w:val="28"/>
        </w:rPr>
        <w:t>（一）</w:t>
      </w:r>
      <w:r>
        <w:rPr>
          <w:rFonts w:hint="eastAsia" w:ascii="仿宋" w:hAnsi="仿宋" w:eastAsia="仿宋" w:cs="仿宋"/>
          <w:bCs/>
          <w:color w:val="000000"/>
          <w:sz w:val="28"/>
          <w:szCs w:val="28"/>
        </w:rPr>
        <w:t>项目实施计划、进度安排。</w:t>
      </w:r>
    </w:p>
    <w:p>
      <w:pPr>
        <w:keepNext w:val="0"/>
        <w:keepLines w:val="0"/>
        <w:pageBreakBefore w:val="0"/>
        <w:widowControl w:val="0"/>
        <w:kinsoku/>
        <w:wordWrap/>
        <w:overflowPunct/>
        <w:topLinePunct w:val="0"/>
        <w:bidi w:val="0"/>
        <w:adjustRightInd w:val="0"/>
        <w:snapToGrid w:val="0"/>
        <w:spacing w:line="42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1.项目是否需要分包、采购或招投标。</w:t>
      </w:r>
      <w:r>
        <w:rPr>
          <w:rFonts w:hint="eastAsia" w:ascii="仿宋_GB2312" w:hAnsi="仿宋_GB2312" w:eastAsia="仿宋_GB2312" w:cs="仿宋_GB2312"/>
          <w:color w:val="auto"/>
          <w:sz w:val="28"/>
          <w:szCs w:val="28"/>
        </w:rPr>
        <w:t>项目负责人及项目组成员任务分工等。</w:t>
      </w:r>
      <w:r>
        <w:rPr>
          <w:rFonts w:hint="eastAsia" w:ascii="仿宋_GB2312" w:hAnsi="仿宋_GB2312" w:eastAsia="仿宋_GB2312" w:cs="仿宋_GB2312"/>
          <w:bCs/>
          <w:color w:val="auto"/>
          <w:sz w:val="28"/>
          <w:szCs w:val="28"/>
        </w:rPr>
        <w:t>按照项目实施阶段来撰写，思路通顺，把项目实施情况说明清楚。完成情况要说明项目完工、验收（初验、终验等）情况，如何组织验收，预计验收时间等。</w:t>
      </w:r>
    </w:p>
    <w:p>
      <w:pPr>
        <w:adjustRightInd/>
        <w:snapToGrid/>
        <w:spacing w:line="360" w:lineRule="auto"/>
        <w:ind w:firstLine="0" w:firstLineChars="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表4-1：项目实施进度计划表</w:t>
      </w:r>
    </w:p>
    <w:tbl>
      <w:tblPr>
        <w:tblStyle w:val="14"/>
        <w:tblW w:w="8522" w:type="dxa"/>
        <w:tblInd w:w="0" w:type="dxa"/>
        <w:tblLayout w:type="fixed"/>
        <w:tblCellMar>
          <w:top w:w="0" w:type="dxa"/>
          <w:left w:w="108" w:type="dxa"/>
          <w:bottom w:w="0" w:type="dxa"/>
          <w:right w:w="108" w:type="dxa"/>
        </w:tblCellMar>
      </w:tblPr>
      <w:tblGrid>
        <w:gridCol w:w="1065"/>
        <w:gridCol w:w="1737"/>
        <w:gridCol w:w="2984"/>
        <w:gridCol w:w="2736"/>
      </w:tblGrid>
      <w:tr>
        <w:tblPrEx>
          <w:tblCellMar>
            <w:top w:w="0" w:type="dxa"/>
            <w:left w:w="108" w:type="dxa"/>
            <w:bottom w:w="0" w:type="dxa"/>
            <w:right w:w="108" w:type="dxa"/>
          </w:tblCellMar>
        </w:tblPrEx>
        <w:trPr>
          <w:trHeight w:val="578" w:hRule="atLeast"/>
          <w:tblHeader/>
        </w:trPr>
        <w:tc>
          <w:tcPr>
            <w:tcW w:w="1065" w:type="dxa"/>
            <w:tcBorders>
              <w:top w:val="single" w:color="auto" w:sz="4" w:space="0"/>
              <w:left w:val="single" w:color="auto" w:sz="4" w:space="0"/>
              <w:bottom w:val="single" w:color="auto" w:sz="4" w:space="0"/>
              <w:right w:val="single" w:color="auto" w:sz="4" w:space="0"/>
            </w:tcBorders>
            <w:shd w:val="clear" w:color="auto" w:fill="E5E5E5"/>
            <w:vAlign w:val="center"/>
          </w:tcPr>
          <w:p>
            <w:pPr>
              <w:widowControl/>
              <w:adjustRightInd/>
              <w:snapToGrid/>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737" w:type="dxa"/>
            <w:tcBorders>
              <w:top w:val="single" w:color="auto" w:sz="4" w:space="0"/>
              <w:left w:val="nil"/>
              <w:bottom w:val="single" w:color="auto" w:sz="4" w:space="0"/>
              <w:right w:val="single" w:color="auto" w:sz="4" w:space="0"/>
            </w:tcBorders>
            <w:shd w:val="clear" w:color="auto" w:fill="E5E5E5"/>
            <w:vAlign w:val="center"/>
          </w:tcPr>
          <w:p>
            <w:pPr>
              <w:widowControl/>
              <w:adjustRightInd/>
              <w:snapToGrid/>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实施阶段</w:t>
            </w:r>
          </w:p>
        </w:tc>
        <w:tc>
          <w:tcPr>
            <w:tcW w:w="2984" w:type="dxa"/>
            <w:tcBorders>
              <w:top w:val="single" w:color="auto" w:sz="4" w:space="0"/>
              <w:left w:val="nil"/>
              <w:bottom w:val="single" w:color="auto" w:sz="4" w:space="0"/>
              <w:right w:val="single" w:color="auto" w:sz="4" w:space="0"/>
            </w:tcBorders>
            <w:shd w:val="clear" w:color="auto" w:fill="E5E5E5"/>
            <w:vAlign w:val="center"/>
          </w:tcPr>
          <w:p>
            <w:pPr>
              <w:widowControl/>
              <w:adjustRightInd/>
              <w:snapToGrid/>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工作内容</w:t>
            </w:r>
          </w:p>
        </w:tc>
        <w:tc>
          <w:tcPr>
            <w:tcW w:w="2736" w:type="dxa"/>
            <w:tcBorders>
              <w:top w:val="single" w:color="auto" w:sz="4" w:space="0"/>
              <w:left w:val="nil"/>
              <w:bottom w:val="single" w:color="auto" w:sz="4" w:space="0"/>
              <w:right w:val="single" w:color="auto" w:sz="4" w:space="0"/>
            </w:tcBorders>
            <w:shd w:val="clear" w:color="auto" w:fill="E5E5E5"/>
            <w:vAlign w:val="center"/>
          </w:tcPr>
          <w:p>
            <w:pPr>
              <w:widowControl/>
              <w:adjustRightInd/>
              <w:snapToGrid/>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工作进度</w:t>
            </w: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3</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4</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5</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6</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7</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8</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065" w:type="dxa"/>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4"/>
                <w:szCs w:val="24"/>
              </w:rPr>
            </w:pPr>
            <w:r>
              <w:rPr>
                <w:rFonts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rPr>
              <w:t>0</w:t>
            </w:r>
          </w:p>
        </w:tc>
        <w:tc>
          <w:tcPr>
            <w:tcW w:w="1737"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984"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c>
          <w:tcPr>
            <w:tcW w:w="2736" w:type="dxa"/>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s="宋体"/>
                <w:color w:val="000000"/>
                <w:kern w:val="0"/>
                <w:sz w:val="21"/>
                <w:szCs w:val="21"/>
              </w:rPr>
            </w:pPr>
          </w:p>
        </w:tc>
      </w:tr>
    </w:tbl>
    <w:p>
      <w:pPr>
        <w:adjustRightInd w:val="0"/>
        <w:snapToGrid w:val="0"/>
        <w:spacing w:line="560" w:lineRule="exact"/>
        <w:ind w:firstLine="588" w:firstLineChars="0"/>
        <w:rPr>
          <w:rFonts w:ascii="仿宋_GB2312" w:hAnsi="仿宋_GB2312" w:eastAsia="仿宋_GB2312" w:cs="仿宋_GB2312"/>
          <w:bCs/>
          <w:color w:val="000000"/>
          <w:sz w:val="28"/>
          <w:szCs w:val="28"/>
        </w:rPr>
      </w:pPr>
      <w:r>
        <w:rPr>
          <w:rFonts w:hint="eastAsia" w:ascii="仿宋" w:hAnsi="仿宋" w:eastAsia="仿宋" w:cs="仿宋"/>
          <w:sz w:val="28"/>
          <w:szCs w:val="28"/>
        </w:rPr>
        <w:t>2.</w:t>
      </w:r>
      <w:r>
        <w:rPr>
          <w:rFonts w:hint="eastAsia" w:ascii="仿宋" w:hAnsi="仿宋" w:eastAsia="仿宋" w:cs="仿宋"/>
          <w:bCs/>
          <w:color w:val="000000"/>
          <w:sz w:val="28"/>
          <w:szCs w:val="28"/>
        </w:rPr>
        <w:t>项目实施过程中可能的目标、计划调整情况。如果项目有调整（包括设计、施工等方面）情况，要说明项目调整可能的原因，如何减少不必要的调整，相关风险管理措施等。</w:t>
      </w:r>
    </w:p>
    <w:p>
      <w:pPr>
        <w:adjustRightInd w:val="0"/>
        <w:snapToGrid w:val="0"/>
        <w:spacing w:line="560" w:lineRule="exact"/>
        <w:ind w:firstLine="590" w:firstLineChars="0"/>
        <w:outlineLvl w:val="1"/>
        <w:rPr>
          <w:rFonts w:ascii="楷体" w:hAnsi="楷体" w:eastAsia="楷体" w:cs="楷体"/>
          <w:bCs/>
          <w:color w:val="000000"/>
          <w:sz w:val="28"/>
          <w:szCs w:val="28"/>
        </w:rPr>
      </w:pPr>
      <w:r>
        <w:rPr>
          <w:rFonts w:hint="eastAsia" w:ascii="楷体" w:hAnsi="楷体" w:eastAsia="楷体" w:cs="楷体"/>
          <w:bCs/>
          <w:color w:val="000000"/>
          <w:sz w:val="28"/>
          <w:szCs w:val="28"/>
        </w:rPr>
        <w:t>（二）项目管理制度。</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为推进项目实施遵守哪些已有的规章制度，还需要新制定了哪些规章和规则。如果项目是合同管理，预计需要签订、制定哪些合同，如何对合同单位管理。</w:t>
      </w:r>
    </w:p>
    <w:p>
      <w:pPr>
        <w:adjustRightInd w:val="0"/>
        <w:snapToGrid w:val="0"/>
        <w:spacing w:line="360" w:lineRule="auto"/>
        <w:ind w:firstLine="560" w:firstLineChars="200"/>
        <w:outlineLvl w:val="1"/>
        <w:rPr>
          <w:rFonts w:ascii="楷体" w:hAnsi="楷体" w:eastAsia="楷体" w:cs="楷体"/>
          <w:bCs/>
          <w:color w:val="000000"/>
          <w:sz w:val="28"/>
          <w:szCs w:val="28"/>
        </w:rPr>
      </w:pPr>
      <w:r>
        <w:rPr>
          <w:rFonts w:hint="eastAsia" w:ascii="楷体" w:hAnsi="楷体" w:eastAsia="楷体" w:cs="楷体"/>
          <w:bCs/>
          <w:color w:val="000000"/>
          <w:sz w:val="28"/>
          <w:szCs w:val="28"/>
        </w:rPr>
        <w:t>（三）财务管理制度。</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阐述和说明项目实施中遵守哪些中央、省级和单位内部财务管理制度，为本项目实施需新制定了哪些财务管理规则，资金申请、审批和使用的简单程序说明。</w:t>
      </w:r>
    </w:p>
    <w:p>
      <w:pPr>
        <w:numPr>
          <w:ilvl w:val="0"/>
          <w:numId w:val="5"/>
        </w:numPr>
        <w:adjustRightInd w:val="0"/>
        <w:snapToGrid w:val="0"/>
        <w:spacing w:line="360" w:lineRule="auto"/>
        <w:ind w:firstLine="560" w:firstLineChars="200"/>
        <w:outlineLvl w:val="1"/>
        <w:rPr>
          <w:rFonts w:ascii="楷体" w:hAnsi="楷体" w:eastAsia="楷体" w:cs="楷体"/>
          <w:bCs/>
          <w:color w:val="000000"/>
          <w:sz w:val="28"/>
          <w:szCs w:val="28"/>
        </w:rPr>
      </w:pPr>
      <w:r>
        <w:rPr>
          <w:rFonts w:hint="eastAsia" w:ascii="楷体" w:hAnsi="楷体" w:eastAsia="楷体" w:cs="楷体"/>
          <w:bCs/>
          <w:color w:val="000000"/>
          <w:sz w:val="28"/>
          <w:szCs w:val="28"/>
        </w:rPr>
        <w:t>内部控制制度。</w:t>
      </w:r>
    </w:p>
    <w:p>
      <w:pPr>
        <w:adjustRightInd w:val="0"/>
        <w:snapToGrid w:val="0"/>
        <w:spacing w:line="360" w:lineRule="auto"/>
        <w:ind w:firstLine="560" w:firstLineChars="200"/>
        <w:rPr>
          <w:rFonts w:ascii="Times New Roman" w:hAnsi="Times New Roman" w:eastAsia="宋体" w:cs="Times New Roman"/>
          <w:sz w:val="21"/>
          <w:szCs w:val="22"/>
        </w:rPr>
      </w:pPr>
      <w:r>
        <w:rPr>
          <w:rFonts w:hint="eastAsia" w:ascii="仿宋_GB2312" w:hAnsi="仿宋_GB2312" w:eastAsia="仿宋_GB2312" w:cs="仿宋_GB2312"/>
          <w:bCs/>
          <w:color w:val="000000"/>
          <w:sz w:val="28"/>
          <w:szCs w:val="28"/>
        </w:rPr>
        <w:t>阐述和说明项目实施中遵守哪些中央、省级和单位内部控制制度，为本项目实施需新制定或更新了哪些内部控制规则。</w:t>
      </w:r>
    </w:p>
    <w:p>
      <w:pPr>
        <w:adjustRightInd w:val="0"/>
        <w:snapToGrid/>
        <w:spacing w:line="360" w:lineRule="auto"/>
        <w:ind w:firstLine="560" w:firstLineChars="200"/>
        <w:outlineLvl w:val="0"/>
        <w:rPr>
          <w:rFonts w:ascii="黑体" w:hAnsi="黑体" w:eastAsia="黑体" w:cs="黑体"/>
          <w:bCs/>
          <w:kern w:val="0"/>
          <w:sz w:val="28"/>
          <w:szCs w:val="28"/>
        </w:rPr>
      </w:pPr>
      <w:r>
        <w:rPr>
          <w:rFonts w:hint="eastAsia" w:ascii="黑体" w:hAnsi="黑体" w:eastAsia="黑体" w:cs="黑体"/>
          <w:bCs/>
          <w:kern w:val="0"/>
          <w:sz w:val="28"/>
          <w:szCs w:val="28"/>
        </w:rPr>
        <w:t>五、项目实施可行性分析</w:t>
      </w:r>
    </w:p>
    <w:p>
      <w:pPr>
        <w:adjustRightInd w:val="0"/>
        <w:snapToGrid w:val="0"/>
        <w:spacing w:line="360"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如已通过发改部门批复可行性研究报告，则附上报告。</w:t>
      </w:r>
    </w:p>
    <w:p>
      <w:pPr>
        <w:adjustRightInd w:val="0"/>
        <w:snapToGrid w:val="0"/>
        <w:spacing w:line="360"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如不需要发改部门批复立项，则简要论证项目实施的可行性，如:预算的合理性可靠性，项目风险与不确定性，人员条件、资金条件、基础设施、制度条件等项目实施保障条件等）。</w:t>
      </w:r>
    </w:p>
    <w:p>
      <w:pPr>
        <w:adjustRightInd w:val="0"/>
        <w:snapToGrid/>
        <w:spacing w:line="360" w:lineRule="auto"/>
        <w:ind w:firstLine="560" w:firstLineChars="200"/>
        <w:outlineLvl w:val="0"/>
        <w:rPr>
          <w:rFonts w:ascii="黑体" w:hAnsi="黑体" w:eastAsia="黑体" w:cs="黑体"/>
          <w:bCs/>
          <w:kern w:val="0"/>
          <w:sz w:val="28"/>
          <w:szCs w:val="28"/>
        </w:rPr>
      </w:pPr>
      <w:r>
        <w:rPr>
          <w:rFonts w:hint="eastAsia" w:ascii="黑体" w:hAnsi="黑体" w:eastAsia="黑体" w:cs="黑体"/>
          <w:bCs/>
          <w:kern w:val="0"/>
          <w:sz w:val="28"/>
          <w:szCs w:val="28"/>
        </w:rPr>
        <w:t>六、项目绩效目标</w:t>
      </w:r>
    </w:p>
    <w:p>
      <w:pPr>
        <w:adjustRightInd w:val="0"/>
        <w:snapToGrid w:val="0"/>
        <w:spacing w:line="360"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（简要介绍项目预计实现的整体目标，并对目标进行必要的分解，明确具体的目标和目标的考核指标，并提出明确的考核指标值；对预计产生的绩效效益逐项进行说明）</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1.总体目标；</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2.产出指标(含数量指标、质量指标、时效指标、成本指标)；</w:t>
      </w:r>
    </w:p>
    <w:p>
      <w:pPr>
        <w:adjustRightInd w:val="0"/>
        <w:snapToGrid w:val="0"/>
        <w:spacing w:line="360" w:lineRule="auto"/>
        <w:ind w:firstLine="560" w:firstLineChars="200"/>
        <w:rPr>
          <w:rFonts w:ascii="仿宋_GB2312" w:hAnsi="仿宋_GB2312" w:eastAsia="仿宋_GB2312" w:cs="仿宋_GB2312"/>
          <w:bCs/>
          <w:color w:val="000000"/>
          <w:sz w:val="28"/>
          <w:szCs w:val="28"/>
        </w:rPr>
        <w:sectPr>
          <w:pgSz w:w="11906" w:h="16838"/>
          <w:pgMar w:top="1803" w:right="1440" w:bottom="1803"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bCs/>
          <w:color w:val="000000"/>
          <w:sz w:val="28"/>
          <w:szCs w:val="28"/>
        </w:rPr>
        <w:t>3.效益指标(含经济效益指标、生态效益指标、社会效益指标、可持续发展指标、服务对象满意度指标)；</w:t>
      </w:r>
    </w:p>
    <w:p>
      <w:pPr>
        <w:adjustRightInd w:val="0"/>
        <w:snapToGrid/>
        <w:spacing w:line="360" w:lineRule="auto"/>
        <w:ind w:firstLine="560" w:firstLineChars="200"/>
        <w:outlineLvl w:val="0"/>
        <w:rPr>
          <w:rFonts w:ascii="黑体" w:hAnsi="黑体" w:eastAsia="黑体" w:cs="黑体"/>
          <w:bCs/>
          <w:kern w:val="0"/>
          <w:sz w:val="28"/>
          <w:szCs w:val="28"/>
        </w:rPr>
      </w:pPr>
      <w:r>
        <w:rPr>
          <w:rFonts w:hint="eastAsia" w:ascii="黑体" w:hAnsi="黑体" w:eastAsia="黑体" w:cs="黑体"/>
          <w:bCs/>
          <w:kern w:val="0"/>
          <w:sz w:val="28"/>
          <w:szCs w:val="28"/>
        </w:rPr>
        <w:t>七、项目支出预算编制</w:t>
      </w:r>
    </w:p>
    <w:p>
      <w:pPr>
        <w:autoSpaceDE w:val="0"/>
        <w:autoSpaceDN w:val="0"/>
        <w:adjustRightInd/>
        <w:snapToGrid/>
        <w:spacing w:line="360" w:lineRule="auto"/>
        <w:ind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项目支出预算汇总表</w:t>
      </w:r>
    </w:p>
    <w:p>
      <w:pPr>
        <w:autoSpaceDE w:val="0"/>
        <w:autoSpaceDN w:val="0"/>
        <w:adjustRightInd w:val="0"/>
        <w:snapToGrid w:val="0"/>
        <w:spacing w:line="300" w:lineRule="auto"/>
        <w:ind w:firstLine="0" w:firstLineChars="0"/>
        <w:jc w:val="right"/>
        <w:rPr>
          <w:rFonts w:ascii="宋体" w:hAnsi="宋体" w:eastAsia="宋体" w:cs="宋体"/>
          <w:b/>
          <w:bCs/>
          <w:sz w:val="24"/>
          <w:szCs w:val="24"/>
        </w:rPr>
      </w:pPr>
      <w:r>
        <w:rPr>
          <w:rFonts w:hint="eastAsia" w:ascii="宋体" w:hAnsi="宋体" w:eastAsia="宋体" w:cs="宋体"/>
          <w:b/>
          <w:bCs/>
          <w:sz w:val="24"/>
          <w:szCs w:val="24"/>
        </w:rPr>
        <w:t>单位：元</w:t>
      </w:r>
    </w:p>
    <w:tbl>
      <w:tblPr>
        <w:tblStyle w:val="14"/>
        <w:tblW w:w="85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89"/>
        <w:gridCol w:w="2025"/>
        <w:gridCol w:w="2100"/>
        <w:gridCol w:w="2133"/>
        <w:gridCol w:w="1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689" w:type="dxa"/>
            <w:vAlign w:val="center"/>
          </w:tcPr>
          <w:p>
            <w:pPr>
              <w:autoSpaceDE w:val="0"/>
              <w:autoSpaceDN w:val="0"/>
              <w:adjustRightInd w:val="0"/>
              <w:snapToGrid w:val="0"/>
              <w:spacing w:line="300" w:lineRule="auto"/>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序号</w:t>
            </w:r>
          </w:p>
        </w:tc>
        <w:tc>
          <w:tcPr>
            <w:tcW w:w="2025" w:type="dxa"/>
            <w:vAlign w:val="center"/>
          </w:tcPr>
          <w:p>
            <w:pPr>
              <w:autoSpaceDE w:val="0"/>
              <w:autoSpaceDN w:val="0"/>
              <w:adjustRightInd w:val="0"/>
              <w:snapToGrid w:val="0"/>
              <w:spacing w:line="300" w:lineRule="auto"/>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项目类别</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hint="eastAsia" w:ascii="黑体" w:hAnsi="黑体" w:eastAsia="黑体" w:cs="黑体"/>
                <w:b/>
                <w:bCs/>
                <w:sz w:val="24"/>
                <w:szCs w:val="24"/>
              </w:rPr>
            </w:pPr>
            <w:r>
              <w:rPr>
                <w:rFonts w:hint="eastAsia" w:ascii="黑体" w:hAnsi="黑体" w:eastAsia="黑体" w:cs="黑体"/>
                <w:b/>
                <w:bCs/>
                <w:sz w:val="24"/>
                <w:szCs w:val="24"/>
              </w:rPr>
              <w:t>合计</w:t>
            </w: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财政资金</w:t>
            </w:r>
          </w:p>
        </w:tc>
        <w:tc>
          <w:tcPr>
            <w:tcW w:w="1644"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自筹资金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2714" w:type="dxa"/>
            <w:gridSpan w:val="2"/>
            <w:vAlign w:val="center"/>
          </w:tcPr>
          <w:p>
            <w:pPr>
              <w:autoSpaceDE w:val="0"/>
              <w:autoSpaceDN w:val="0"/>
              <w:adjustRightInd w:val="0"/>
              <w:snapToGrid w:val="0"/>
              <w:spacing w:line="30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合计</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宋体" w:hAnsi="宋体" w:eastAsia="宋体" w:cs="宋体"/>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宋体" w:hAnsi="宋体" w:eastAsia="宋体" w:cs="宋体"/>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689"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25"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农业设施</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689"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25"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土地流转</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19" w:hRule="atLeast"/>
          <w:jc w:val="center"/>
        </w:trPr>
        <w:tc>
          <w:tcPr>
            <w:tcW w:w="689"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25"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产业融合</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689"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25"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科技研发与信息支撑</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689"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25"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农业品牌</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689"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25"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贷款贴息</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689"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025" w:type="dxa"/>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2100" w:type="dxa"/>
            <w:tcBorders>
              <w:right w:val="single" w:color="auto" w:sz="4" w:space="0"/>
            </w:tcBorders>
            <w:vAlign w:val="center"/>
          </w:tcPr>
          <w:p>
            <w:pPr>
              <w:autoSpaceDE w:val="0"/>
              <w:autoSpaceDN w:val="0"/>
              <w:adjustRightInd w:val="0"/>
              <w:snapToGrid w:val="0"/>
              <w:spacing w:line="300" w:lineRule="auto"/>
              <w:ind w:firstLine="0" w:firstLineChars="0"/>
              <w:jc w:val="center"/>
              <w:rPr>
                <w:rFonts w:ascii="仿宋_GB2312" w:hAnsi="仿宋_GB2312" w:eastAsia="仿宋_GB2312" w:cs="仿宋_GB2312"/>
                <w:b/>
                <w:bCs/>
                <w:sz w:val="24"/>
                <w:szCs w:val="24"/>
              </w:rPr>
            </w:pPr>
          </w:p>
        </w:tc>
        <w:tc>
          <w:tcPr>
            <w:tcW w:w="2133" w:type="dxa"/>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c>
          <w:tcPr>
            <w:tcW w:w="1644" w:type="dxa"/>
            <w:tcBorders>
              <w:right w:val="single" w:color="auto" w:sz="4" w:space="0"/>
            </w:tcBorders>
          </w:tcPr>
          <w:p>
            <w:pPr>
              <w:autoSpaceDE w:val="0"/>
              <w:autoSpaceDN w:val="0"/>
              <w:adjustRightInd w:val="0"/>
              <w:snapToGrid w:val="0"/>
              <w:spacing w:line="300" w:lineRule="auto"/>
              <w:ind w:firstLine="0" w:firstLineChars="0"/>
              <w:rPr>
                <w:rFonts w:ascii="仿宋_GB2312" w:hAnsi="仿宋_GB2312" w:eastAsia="仿宋_GB2312" w:cs="仿宋_GB2312"/>
                <w:sz w:val="24"/>
                <w:szCs w:val="24"/>
              </w:rPr>
            </w:pPr>
          </w:p>
        </w:tc>
      </w:tr>
    </w:tbl>
    <w:p>
      <w:pPr>
        <w:autoSpaceDE w:val="0"/>
        <w:autoSpaceDN w:val="0"/>
        <w:adjustRightInd w:val="0"/>
        <w:snapToGrid w:val="0"/>
        <w:spacing w:line="300" w:lineRule="auto"/>
        <w:ind w:firstLine="0" w:firstLine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注：需提供相应明细表；</w:t>
      </w:r>
    </w:p>
    <w:p>
      <w:pPr>
        <w:adjustRightInd/>
        <w:snapToGrid/>
        <w:spacing w:line="240" w:lineRule="auto"/>
        <w:ind w:firstLine="0" w:firstLineChars="0"/>
        <w:rPr>
          <w:rFonts w:ascii="Times New Roman" w:hAnsi="Times New Roman" w:eastAsia="宋体" w:cs="Times New Roman"/>
          <w:sz w:val="21"/>
          <w:szCs w:val="22"/>
        </w:rPr>
      </w:pPr>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snapToGrid/>
        <w:spacing w:line="300" w:lineRule="auto"/>
        <w:ind w:firstLine="0" w:firstLineChars="0"/>
        <w:jc w:val="center"/>
        <w:rPr>
          <w:rFonts w:hint="eastAsia" w:ascii="方正小标宋简体" w:hAnsi="方正小标宋简体" w:eastAsia="方正小标宋简体" w:cs="方正小标宋简体"/>
          <w:b w:val="0"/>
          <w:bCs w:val="0"/>
          <w:sz w:val="32"/>
          <w:szCs w:val="24"/>
        </w:rPr>
      </w:pPr>
      <w:r>
        <w:rPr>
          <w:rFonts w:hint="eastAsia" w:ascii="方正小标宋简体" w:hAnsi="方正小标宋简体" w:eastAsia="方正小标宋简体" w:cs="方正小标宋简体"/>
          <w:b w:val="0"/>
          <w:bCs w:val="0"/>
          <w:sz w:val="32"/>
          <w:szCs w:val="24"/>
        </w:rPr>
        <w:t>1.农业设施预算明细表</w:t>
      </w:r>
    </w:p>
    <w:p>
      <w:pPr>
        <w:adjustRightInd/>
        <w:snapToGrid/>
        <w:spacing w:line="240" w:lineRule="auto"/>
        <w:ind w:firstLine="0" w:firstLineChars="0"/>
        <w:jc w:val="righ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单位：元</w:t>
      </w:r>
    </w:p>
    <w:tbl>
      <w:tblPr>
        <w:tblStyle w:val="14"/>
        <w:tblW w:w="13970" w:type="dxa"/>
        <w:tblInd w:w="0" w:type="dxa"/>
        <w:tblLayout w:type="fixed"/>
        <w:tblCellMar>
          <w:top w:w="0" w:type="dxa"/>
          <w:left w:w="0" w:type="dxa"/>
          <w:bottom w:w="0" w:type="dxa"/>
          <w:right w:w="0" w:type="dxa"/>
        </w:tblCellMar>
      </w:tblPr>
      <w:tblGrid>
        <w:gridCol w:w="1232"/>
        <w:gridCol w:w="930"/>
        <w:gridCol w:w="983"/>
        <w:gridCol w:w="1808"/>
        <w:gridCol w:w="1185"/>
        <w:gridCol w:w="1319"/>
        <w:gridCol w:w="1268"/>
        <w:gridCol w:w="1310"/>
        <w:gridCol w:w="1160"/>
        <w:gridCol w:w="1906"/>
        <w:gridCol w:w="869"/>
      </w:tblGrid>
      <w:tr>
        <w:tblPrEx>
          <w:tblCellMar>
            <w:top w:w="0" w:type="dxa"/>
            <w:left w:w="0" w:type="dxa"/>
            <w:bottom w:w="0" w:type="dxa"/>
            <w:right w:w="0" w:type="dxa"/>
          </w:tblCellMar>
        </w:tblPrEx>
        <w:trPr>
          <w:trHeight w:val="397" w:hRule="atLeast"/>
          <w:tblHeader/>
        </w:trPr>
        <w:tc>
          <w:tcPr>
            <w:tcW w:w="3145" w:type="dxa"/>
            <w:gridSpan w:val="3"/>
            <w:vMerge w:val="restart"/>
            <w:tcBorders>
              <w:top w:val="single" w:color="000000" w:sz="4" w:space="0"/>
              <w:left w:val="single" w:color="000000" w:sz="4" w:space="0"/>
              <w:right w:val="single" w:color="auto"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项目类别</w:t>
            </w:r>
          </w:p>
        </w:tc>
        <w:tc>
          <w:tcPr>
            <w:tcW w:w="1808" w:type="dxa"/>
            <w:vMerge w:val="restart"/>
            <w:tcBorders>
              <w:top w:val="single" w:color="000000" w:sz="4" w:space="0"/>
              <w:left w:val="single" w:color="auto"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项目支出内容</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数量</w:t>
            </w:r>
          </w:p>
        </w:tc>
        <w:tc>
          <w:tcPr>
            <w:tcW w:w="1310"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单价</w:t>
            </w:r>
          </w:p>
        </w:tc>
        <w:tc>
          <w:tcPr>
            <w:tcW w:w="1160"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金额</w:t>
            </w:r>
          </w:p>
        </w:tc>
        <w:tc>
          <w:tcPr>
            <w:tcW w:w="1906"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编制依据</w:t>
            </w:r>
          </w:p>
        </w:tc>
        <w:tc>
          <w:tcPr>
            <w:tcW w:w="869"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CellMar>
            <w:top w:w="0" w:type="dxa"/>
            <w:left w:w="0" w:type="dxa"/>
            <w:bottom w:w="0" w:type="dxa"/>
            <w:right w:w="0" w:type="dxa"/>
          </w:tblCellMar>
        </w:tblPrEx>
        <w:trPr>
          <w:trHeight w:val="397" w:hRule="atLeast"/>
          <w:tblHeader/>
        </w:trPr>
        <w:tc>
          <w:tcPr>
            <w:tcW w:w="3145" w:type="dxa"/>
            <w:gridSpan w:val="3"/>
            <w:vMerge w:val="continue"/>
            <w:tcBorders>
              <w:left w:val="single" w:color="000000" w:sz="4" w:space="0"/>
              <w:bottom w:val="single" w:color="000000" w:sz="4" w:space="0"/>
              <w:right w:val="single" w:color="auto"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808" w:type="dxa"/>
            <w:vMerge w:val="continue"/>
            <w:tcBorders>
              <w:left w:val="single" w:color="auto"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面积</w:t>
            </w:r>
          </w:p>
        </w:tc>
        <w:tc>
          <w:tcPr>
            <w:tcW w:w="131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长度</w:t>
            </w:r>
          </w:p>
        </w:tc>
        <w:tc>
          <w:tcPr>
            <w:tcW w:w="126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个/件数</w:t>
            </w:r>
          </w:p>
        </w:tc>
        <w:tc>
          <w:tcPr>
            <w:tcW w:w="1310"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1160"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1906"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869"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r>
      <w:tr>
        <w:tblPrEx>
          <w:tblCellMar>
            <w:top w:w="0" w:type="dxa"/>
            <w:left w:w="0" w:type="dxa"/>
            <w:bottom w:w="0" w:type="dxa"/>
            <w:right w:w="0" w:type="dxa"/>
          </w:tblCellMar>
        </w:tblPrEx>
        <w:trPr>
          <w:trHeight w:val="420" w:hRule="atLeast"/>
        </w:trPr>
        <w:tc>
          <w:tcPr>
            <w:tcW w:w="10035"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lang w:bidi="ar"/>
              </w:rPr>
              <w:t>——</w:t>
            </w:r>
          </w:p>
        </w:tc>
      </w:tr>
      <w:tr>
        <w:tblPrEx>
          <w:tblCellMar>
            <w:top w:w="0" w:type="dxa"/>
            <w:left w:w="0" w:type="dxa"/>
            <w:bottom w:w="0" w:type="dxa"/>
            <w:right w:w="0" w:type="dxa"/>
          </w:tblCellMar>
        </w:tblPrEx>
        <w:trPr>
          <w:trHeight w:val="245" w:hRule="atLeast"/>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农业基础设施建设</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交通</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道路建设</w:t>
            </w:r>
          </w:p>
        </w:tc>
        <w:tc>
          <w:tcPr>
            <w:tcW w:w="1808"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道路硬化</w:t>
            </w:r>
          </w:p>
        </w:tc>
        <w:tc>
          <w:tcPr>
            <w:tcW w:w="1808" w:type="dxa"/>
            <w:vMerge w:val="continue"/>
            <w:tcBorders>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8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26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6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90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86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r>
      <w:tr>
        <w:tblPrEx>
          <w:tblCellMar>
            <w:top w:w="0" w:type="dxa"/>
            <w:left w:w="0" w:type="dxa"/>
            <w:bottom w:w="0" w:type="dxa"/>
            <w:right w:w="0" w:type="dxa"/>
          </w:tblCellMar>
        </w:tblPrEx>
        <w:trPr>
          <w:trHeight w:val="245"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w:t>
            </w:r>
          </w:p>
        </w:tc>
        <w:tc>
          <w:tcPr>
            <w:tcW w:w="1808" w:type="dxa"/>
            <w:tcBorders>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85"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9"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268"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0"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60"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906"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869"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r>
      <w:tr>
        <w:tblPrEx>
          <w:tblCellMar>
            <w:top w:w="0" w:type="dxa"/>
            <w:left w:w="0" w:type="dxa"/>
            <w:bottom w:w="0" w:type="dxa"/>
            <w:right w:w="0" w:type="dxa"/>
          </w:tblCellMar>
        </w:tblPrEx>
        <w:trPr>
          <w:trHeight w:val="166"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水利</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农田灌溉水利建设</w:t>
            </w:r>
          </w:p>
        </w:tc>
        <w:tc>
          <w:tcPr>
            <w:tcW w:w="1808" w:type="dxa"/>
            <w:vMerge w:val="restart"/>
            <w:tcBorders>
              <w:top w:val="single" w:color="auto" w:sz="4" w:space="0"/>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6"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蓄水池</w:t>
            </w:r>
          </w:p>
        </w:tc>
        <w:tc>
          <w:tcPr>
            <w:tcW w:w="1808"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8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26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6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90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86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r>
      <w:tr>
        <w:tblPrEx>
          <w:tblCellMar>
            <w:top w:w="0" w:type="dxa"/>
            <w:left w:w="0" w:type="dxa"/>
            <w:bottom w:w="0" w:type="dxa"/>
            <w:right w:w="0" w:type="dxa"/>
          </w:tblCellMar>
        </w:tblPrEx>
        <w:trPr>
          <w:trHeight w:val="166"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w:t>
            </w:r>
          </w:p>
        </w:tc>
        <w:tc>
          <w:tcPr>
            <w:tcW w:w="1808"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8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26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31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16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190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86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电力和能源</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电网改造</w:t>
            </w:r>
          </w:p>
        </w:tc>
        <w:tc>
          <w:tcPr>
            <w:tcW w:w="1808"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w:t>
            </w:r>
          </w:p>
        </w:tc>
        <w:tc>
          <w:tcPr>
            <w:tcW w:w="1808"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农业产业</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产业基地的建设</w:t>
            </w:r>
          </w:p>
        </w:tc>
        <w:tc>
          <w:tcPr>
            <w:tcW w:w="1808"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环境生态</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垃圾处理设施建设</w:t>
            </w:r>
          </w:p>
        </w:tc>
        <w:tc>
          <w:tcPr>
            <w:tcW w:w="1808"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污水处理建设</w:t>
            </w:r>
          </w:p>
        </w:tc>
        <w:tc>
          <w:tcPr>
            <w:tcW w:w="1808"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w:t>
            </w:r>
          </w:p>
        </w:tc>
        <w:tc>
          <w:tcPr>
            <w:tcW w:w="1808"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村部建设</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办公场所建设</w:t>
            </w:r>
          </w:p>
        </w:tc>
        <w:tc>
          <w:tcPr>
            <w:tcW w:w="1808"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cs="Times New Roman" w:eastAsiaTheme="minorEastAsia"/>
                <w:sz w:val="21"/>
                <w:szCs w:val="22"/>
              </w:rPr>
            </w:pPr>
            <w:r>
              <w:rPr>
                <w:rFonts w:ascii="Times New Roman" w:hAnsi="Times New Roman" w:cs="Times New Roman" w:eastAsiaTheme="minorEastAsia"/>
                <w:sz w:val="21"/>
                <w:szCs w:val="22"/>
              </w:rPr>
              <w:t>生产大棚</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Times New Roman" w:hAnsi="Times New Roman" w:eastAsia="宋体" w:cs="Times New Roman"/>
                <w:sz w:val="21"/>
                <w:szCs w:val="22"/>
              </w:rPr>
              <w:t>种植大棚</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Times New Roman" w:hAnsi="Times New Roman" w:eastAsia="宋体" w:cs="Times New Roman"/>
                <w:sz w:val="21"/>
                <w:szCs w:val="22"/>
              </w:rPr>
              <w:t>蔬菜设施大棚</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cs="Times New Roman" w:eastAsiaTheme="minorEastAsia"/>
                <w:sz w:val="21"/>
                <w:szCs w:val="22"/>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Times New Roman" w:hAnsi="Times New Roman" w:eastAsia="宋体" w:cs="Times New Roman"/>
                <w:sz w:val="21"/>
                <w:szCs w:val="22"/>
              </w:rPr>
              <w:t>蔬菜薄膜大棚</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cs="Times New Roman" w:eastAsiaTheme="minorEastAsia"/>
                <w:sz w:val="21"/>
                <w:szCs w:val="22"/>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Times New Roman" w:hAnsi="Times New Roman" w:eastAsia="宋体" w:cs="Times New Roman"/>
                <w:sz w:val="21"/>
                <w:szCs w:val="22"/>
              </w:rPr>
              <w:t>蔬菜温室大棚</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cs="Times New Roman" w:eastAsiaTheme="minorEastAsia"/>
                <w:sz w:val="21"/>
                <w:szCs w:val="22"/>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Times New Roman" w:hAnsi="Times New Roman" w:eastAsia="宋体" w:cs="Times New Roman"/>
                <w:sz w:val="21"/>
                <w:szCs w:val="22"/>
              </w:rPr>
              <w:t>育苗大棚</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cs="Times New Roman" w:eastAsiaTheme="minorEastAsia"/>
                <w:sz w:val="21"/>
                <w:szCs w:val="22"/>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宋体" w:hAnsi="宋体" w:eastAsia="宋体" w:cs="宋体"/>
                <w:bCs/>
                <w:color w:val="000000"/>
                <w:sz w:val="20"/>
                <w:szCs w:val="20"/>
              </w:rPr>
              <w:t>......</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cs="Times New Roman" w:eastAsiaTheme="minorEastAsia"/>
                <w:sz w:val="21"/>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Times New Roman" w:hAnsi="Times New Roman" w:eastAsia="宋体" w:cs="Times New Roman"/>
                <w:sz w:val="21"/>
                <w:szCs w:val="22"/>
              </w:rPr>
              <w:t>养殖大棚</w:t>
            </w:r>
          </w:p>
        </w:tc>
        <w:tc>
          <w:tcPr>
            <w:tcW w:w="9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r>
              <w:rPr>
                <w:rFonts w:hint="eastAsia" w:ascii="宋体" w:hAnsi="宋体" w:eastAsia="宋体" w:cs="宋体"/>
                <w:bCs/>
                <w:color w:val="000000"/>
                <w:sz w:val="20"/>
                <w:szCs w:val="20"/>
              </w:rPr>
              <w:t>......</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加工用房</w:t>
            </w: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加工用房建设</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节水灌溉</w:t>
            </w: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喷灌</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微喷灌</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滴灌</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微喷带</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bCs/>
                <w:color w:val="000000"/>
                <w:sz w:val="20"/>
                <w:szCs w:val="20"/>
              </w:rPr>
              <w:t>......</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水肥一体化</w:t>
            </w: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水肥一体化设备</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bCs/>
                <w:color w:val="000000"/>
                <w:sz w:val="20"/>
                <w:szCs w:val="20"/>
              </w:rPr>
              <w:t>......</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品种培育、引进</w:t>
            </w: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品种培育、引进</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土壤改良</w:t>
            </w: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土壤改良</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绿色防控</w:t>
            </w:r>
          </w:p>
        </w:tc>
        <w:tc>
          <w:tcPr>
            <w:tcW w:w="191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绿色防控</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45"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970" w:type="dxa"/>
            <w:gridSpan w:val="11"/>
            <w:tcBorders>
              <w:top w:val="single" w:color="auto" w:sz="4" w:space="0"/>
              <w:left w:val="nil"/>
              <w:bottom w:val="nil"/>
              <w:right w:val="nil"/>
            </w:tcBorders>
            <w:shd w:val="clear" w:color="auto" w:fill="auto"/>
            <w:tcMar>
              <w:top w:w="10" w:type="dxa"/>
              <w:left w:w="10" w:type="dxa"/>
              <w:right w:w="10" w:type="dxa"/>
            </w:tcMar>
            <w:vAlign w:val="center"/>
          </w:tcPr>
          <w:p>
            <w:pPr>
              <w:adjustRightInd/>
              <w:snapToGrid/>
              <w:spacing w:line="240" w:lineRule="auto"/>
              <w:ind w:firstLine="0" w:firstLineChars="0"/>
              <w:jc w:val="left"/>
              <w:rPr>
                <w:rFonts w:ascii="宋体" w:hAnsi="宋体" w:eastAsia="宋体" w:cs="宋体"/>
                <w:color w:val="000000"/>
                <w:sz w:val="20"/>
                <w:szCs w:val="20"/>
              </w:rPr>
            </w:pPr>
          </w:p>
        </w:tc>
      </w:tr>
    </w:tbl>
    <w:p>
      <w:pPr>
        <w:jc w:val="right"/>
        <w:rPr>
          <w:b/>
          <w:bCs/>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snapToGrid/>
        <w:spacing w:line="300" w:lineRule="auto"/>
        <w:ind w:firstLine="0" w:firstLineChars="0"/>
        <w:jc w:val="center"/>
        <w:rPr>
          <w:rFonts w:hint="eastAsia" w:ascii="方正小标宋简体" w:hAnsi="方正小标宋简体" w:eastAsia="方正小标宋简体" w:cs="方正小标宋简体"/>
          <w:b w:val="0"/>
          <w:bCs w:val="0"/>
          <w:sz w:val="32"/>
          <w:szCs w:val="24"/>
        </w:rPr>
      </w:pPr>
      <w:r>
        <w:rPr>
          <w:rFonts w:hint="eastAsia" w:ascii="方正小标宋简体" w:hAnsi="方正小标宋简体" w:eastAsia="方正小标宋简体" w:cs="方正小标宋简体"/>
          <w:b w:val="0"/>
          <w:bCs w:val="0"/>
          <w:sz w:val="32"/>
          <w:szCs w:val="24"/>
        </w:rPr>
        <w:t>2.土地流转预算明细表</w:t>
      </w:r>
    </w:p>
    <w:p>
      <w:pPr>
        <w:adjustRightInd/>
        <w:snapToGrid/>
        <w:spacing w:line="240" w:lineRule="auto"/>
        <w:ind w:firstLine="0" w:firstLineChars="0"/>
        <w:jc w:val="right"/>
        <w:rPr>
          <w:rFonts w:ascii="Times New Roman" w:hAnsi="Times New Roman" w:eastAsia="宋体" w:cs="Times New Roman"/>
          <w:sz w:val="21"/>
          <w:szCs w:val="22"/>
        </w:rPr>
      </w:pPr>
      <w:r>
        <w:rPr>
          <w:rFonts w:hint="eastAsia" w:ascii="Times New Roman" w:hAnsi="Times New Roman" w:eastAsia="宋体" w:cs="Times New Roman"/>
          <w:b/>
          <w:bCs/>
          <w:sz w:val="28"/>
          <w:szCs w:val="28"/>
        </w:rPr>
        <w:t>单位：元</w:t>
      </w:r>
    </w:p>
    <w:tbl>
      <w:tblPr>
        <w:tblStyle w:val="14"/>
        <w:tblW w:w="13970" w:type="dxa"/>
        <w:tblInd w:w="0" w:type="dxa"/>
        <w:tblLayout w:type="fixed"/>
        <w:tblCellMar>
          <w:top w:w="0" w:type="dxa"/>
          <w:left w:w="0" w:type="dxa"/>
          <w:bottom w:w="0" w:type="dxa"/>
          <w:right w:w="0" w:type="dxa"/>
        </w:tblCellMar>
      </w:tblPr>
      <w:tblGrid>
        <w:gridCol w:w="1592"/>
        <w:gridCol w:w="1614"/>
        <w:gridCol w:w="1808"/>
        <w:gridCol w:w="3775"/>
        <w:gridCol w:w="1224"/>
        <w:gridCol w:w="1199"/>
        <w:gridCol w:w="1886"/>
        <w:gridCol w:w="872"/>
      </w:tblGrid>
      <w:tr>
        <w:tblPrEx>
          <w:tblCellMar>
            <w:top w:w="0" w:type="dxa"/>
            <w:left w:w="0" w:type="dxa"/>
            <w:bottom w:w="0" w:type="dxa"/>
            <w:right w:w="0" w:type="dxa"/>
          </w:tblCellMar>
        </w:tblPrEx>
        <w:trPr>
          <w:trHeight w:val="1426" w:hRule="atLeast"/>
          <w:tblHeader/>
        </w:trPr>
        <w:tc>
          <w:tcPr>
            <w:tcW w:w="3206" w:type="dxa"/>
            <w:gridSpan w:val="2"/>
            <w:tcBorders>
              <w:top w:val="single" w:color="000000" w:sz="4" w:space="0"/>
              <w:left w:val="single" w:color="000000" w:sz="4" w:space="0"/>
              <w:right w:val="single" w:color="auto"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项目类别</w:t>
            </w:r>
          </w:p>
        </w:tc>
        <w:tc>
          <w:tcPr>
            <w:tcW w:w="1808" w:type="dxa"/>
            <w:tcBorders>
              <w:top w:val="single" w:color="000000" w:sz="4" w:space="0"/>
              <w:left w:val="single" w:color="auto"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项目支出内容</w:t>
            </w:r>
          </w:p>
        </w:tc>
        <w:tc>
          <w:tcPr>
            <w:tcW w:w="377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数量（亩）</w:t>
            </w:r>
          </w:p>
        </w:tc>
        <w:tc>
          <w:tcPr>
            <w:tcW w:w="1224" w:type="dxa"/>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单价</w:t>
            </w:r>
          </w:p>
        </w:tc>
        <w:tc>
          <w:tcPr>
            <w:tcW w:w="1199" w:type="dxa"/>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金额</w:t>
            </w:r>
          </w:p>
        </w:tc>
        <w:tc>
          <w:tcPr>
            <w:tcW w:w="1886" w:type="dxa"/>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编制依据</w:t>
            </w:r>
          </w:p>
        </w:tc>
        <w:tc>
          <w:tcPr>
            <w:tcW w:w="872" w:type="dxa"/>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CellMar>
            <w:top w:w="0" w:type="dxa"/>
            <w:left w:w="0" w:type="dxa"/>
            <w:bottom w:w="0" w:type="dxa"/>
            <w:right w:w="0" w:type="dxa"/>
          </w:tblCellMar>
        </w:tblPrEx>
        <w:trPr>
          <w:trHeight w:val="480" w:hRule="atLeast"/>
        </w:trPr>
        <w:tc>
          <w:tcPr>
            <w:tcW w:w="10013" w:type="dxa"/>
            <w:gridSpan w:val="5"/>
            <w:tcBorders>
              <w:top w:val="single" w:color="000000"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r>
              <w:rPr>
                <w:rFonts w:hint="eastAsia" w:ascii="宋体" w:hAnsi="宋体" w:eastAsia="宋体" w:cs="宋体"/>
                <w:b/>
                <w:bCs/>
                <w:color w:val="000000"/>
                <w:kern w:val="0"/>
                <w:sz w:val="20"/>
                <w:szCs w:val="20"/>
                <w:lang w:bidi="ar"/>
              </w:rPr>
              <w:t>小计</w:t>
            </w:r>
          </w:p>
        </w:tc>
        <w:tc>
          <w:tcPr>
            <w:tcW w:w="1199"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bCs/>
                <w:color w:val="000000"/>
                <w:kern w:val="0"/>
                <w:sz w:val="20"/>
                <w:szCs w:val="20"/>
                <w:lang w:bidi="ar"/>
              </w:rPr>
            </w:pPr>
          </w:p>
        </w:tc>
        <w:tc>
          <w:tcPr>
            <w:tcW w:w="188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7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92"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租用</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山地</w:t>
            </w:r>
          </w:p>
        </w:tc>
        <w:tc>
          <w:tcPr>
            <w:tcW w:w="1808"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24"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6"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72"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92"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耕地</w:t>
            </w:r>
          </w:p>
        </w:tc>
        <w:tc>
          <w:tcPr>
            <w:tcW w:w="1808"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24"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9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6"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72"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592"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加工厂地</w:t>
            </w:r>
          </w:p>
        </w:tc>
        <w:tc>
          <w:tcPr>
            <w:tcW w:w="1808"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24"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9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6"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72"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592"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80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24"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9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6"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72"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480"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转包</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入股</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转让</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互换</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970" w:type="dxa"/>
            <w:gridSpan w:val="8"/>
            <w:tcBorders>
              <w:top w:val="single" w:color="auto" w:sz="4" w:space="0"/>
              <w:left w:val="nil"/>
              <w:bottom w:val="nil"/>
              <w:right w:val="nil"/>
            </w:tcBorders>
            <w:shd w:val="clear" w:color="auto" w:fill="auto"/>
            <w:tcMar>
              <w:top w:w="10" w:type="dxa"/>
              <w:left w:w="10" w:type="dxa"/>
              <w:right w:w="10" w:type="dxa"/>
            </w:tcMar>
            <w:vAlign w:val="center"/>
          </w:tcPr>
          <w:p>
            <w:pPr>
              <w:adjustRightInd/>
              <w:snapToGrid/>
              <w:spacing w:line="240" w:lineRule="auto"/>
              <w:ind w:firstLine="0" w:firstLineChars="0"/>
              <w:jc w:val="left"/>
              <w:rPr>
                <w:rFonts w:ascii="宋体" w:hAnsi="宋体" w:eastAsia="宋体" w:cs="宋体"/>
                <w:color w:val="000000"/>
                <w:sz w:val="20"/>
                <w:szCs w:val="20"/>
              </w:rPr>
            </w:pP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snapToGrid/>
        <w:spacing w:line="300" w:lineRule="auto"/>
        <w:ind w:firstLine="0" w:firstLineChars="0"/>
        <w:jc w:val="center"/>
        <w:rPr>
          <w:rFonts w:hint="eastAsia" w:ascii="方正小标宋简体" w:hAnsi="方正小标宋简体" w:eastAsia="方正小标宋简体" w:cs="方正小标宋简体"/>
          <w:b w:val="0"/>
          <w:bCs w:val="0"/>
          <w:sz w:val="32"/>
          <w:szCs w:val="24"/>
        </w:rPr>
      </w:pPr>
      <w:r>
        <w:rPr>
          <w:rFonts w:hint="eastAsia" w:ascii="方正小标宋简体" w:hAnsi="方正小标宋简体" w:eastAsia="方正小标宋简体" w:cs="方正小标宋简体"/>
          <w:b w:val="0"/>
          <w:bCs w:val="0"/>
          <w:sz w:val="32"/>
          <w:szCs w:val="24"/>
        </w:rPr>
        <w:t>3.产业融合预算明细表</w:t>
      </w:r>
    </w:p>
    <w:p>
      <w:pPr>
        <w:adjustRightInd/>
        <w:snapToGrid/>
        <w:spacing w:line="240" w:lineRule="auto"/>
        <w:ind w:firstLine="0" w:firstLineChars="0"/>
        <w:jc w:val="righ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单位：元</w:t>
      </w:r>
    </w:p>
    <w:tbl>
      <w:tblPr>
        <w:tblStyle w:val="14"/>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2"/>
        <w:gridCol w:w="2132"/>
        <w:gridCol w:w="2115"/>
        <w:gridCol w:w="989"/>
        <w:gridCol w:w="881"/>
        <w:gridCol w:w="1476"/>
        <w:gridCol w:w="1451"/>
        <w:gridCol w:w="220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814" w:type="dxa"/>
            <w:gridSpan w:val="2"/>
            <w:vMerge w:val="restart"/>
            <w:shd w:val="clear" w:color="auto" w:fill="BEBEBE"/>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项目类别</w:t>
            </w:r>
          </w:p>
        </w:tc>
        <w:tc>
          <w:tcPr>
            <w:tcW w:w="2115" w:type="dxa"/>
            <w:vMerge w:val="restart"/>
            <w:shd w:val="clear" w:color="auto" w:fill="BEBEBE"/>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项目支出内容</w:t>
            </w:r>
          </w:p>
        </w:tc>
        <w:tc>
          <w:tcPr>
            <w:tcW w:w="1870" w:type="dxa"/>
            <w:gridSpan w:val="2"/>
            <w:shd w:val="clear" w:color="auto" w:fill="BEBEBE"/>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数量</w:t>
            </w:r>
          </w:p>
        </w:tc>
        <w:tc>
          <w:tcPr>
            <w:tcW w:w="1476" w:type="dxa"/>
            <w:vMerge w:val="restart"/>
            <w:shd w:val="clear" w:color="auto" w:fill="BEBEBE"/>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单价</w:t>
            </w:r>
          </w:p>
        </w:tc>
        <w:tc>
          <w:tcPr>
            <w:tcW w:w="1451" w:type="dxa"/>
            <w:vMerge w:val="restart"/>
            <w:shd w:val="clear" w:color="auto" w:fill="BEBEBE"/>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金额</w:t>
            </w:r>
          </w:p>
        </w:tc>
        <w:tc>
          <w:tcPr>
            <w:tcW w:w="2204" w:type="dxa"/>
            <w:vMerge w:val="restart"/>
            <w:shd w:val="clear" w:color="auto" w:fill="BEBEBE"/>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编制依据</w:t>
            </w:r>
          </w:p>
        </w:tc>
        <w:tc>
          <w:tcPr>
            <w:tcW w:w="964" w:type="dxa"/>
            <w:vMerge w:val="restart"/>
            <w:shd w:val="clear" w:color="auto" w:fill="BEBEBE"/>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blHeader/>
          <w:jc w:val="center"/>
        </w:trPr>
        <w:tc>
          <w:tcPr>
            <w:tcW w:w="3814" w:type="dxa"/>
            <w:gridSpan w:val="2"/>
            <w:vMerge w:val="continue"/>
            <w:tcMar>
              <w:top w:w="20" w:type="dxa"/>
              <w:left w:w="20" w:type="dxa"/>
              <w:bottom w:w="0" w:type="dxa"/>
              <w:right w:w="20" w:type="dxa"/>
            </w:tcMar>
            <w:vAlign w:val="center"/>
          </w:tcPr>
          <w:p>
            <w:pPr>
              <w:widowControl/>
              <w:overflowPunct w:val="0"/>
              <w:autoSpaceDE w:val="0"/>
              <w:autoSpaceDN w:val="0"/>
              <w:adjustRightInd w:val="0"/>
              <w:snapToGrid w:val="0"/>
              <w:spacing w:line="240" w:lineRule="auto"/>
              <w:ind w:firstLine="0" w:firstLineChars="0"/>
              <w:jc w:val="center"/>
              <w:textAlignment w:val="baseline"/>
              <w:rPr>
                <w:rFonts w:ascii="仿宋_GB2312" w:hAnsi="Times New Roman" w:eastAsia="仿宋_GB2312" w:cs="Times New Roman"/>
                <w:b/>
                <w:bCs/>
                <w:sz w:val="24"/>
                <w:szCs w:val="24"/>
              </w:rPr>
            </w:pPr>
          </w:p>
        </w:tc>
        <w:tc>
          <w:tcPr>
            <w:tcW w:w="2115" w:type="dxa"/>
            <w:vMerge w:val="continue"/>
            <w:tcMar>
              <w:top w:w="20" w:type="dxa"/>
              <w:left w:w="20" w:type="dxa"/>
              <w:bottom w:w="0" w:type="dxa"/>
              <w:right w:w="20" w:type="dxa"/>
            </w:tcMar>
            <w:vAlign w:val="center"/>
          </w:tcPr>
          <w:p>
            <w:pPr>
              <w:widowControl/>
              <w:overflowPunct w:val="0"/>
              <w:autoSpaceDE w:val="0"/>
              <w:autoSpaceDN w:val="0"/>
              <w:adjustRightInd w:val="0"/>
              <w:snapToGrid w:val="0"/>
              <w:spacing w:line="240" w:lineRule="auto"/>
              <w:ind w:firstLine="0" w:firstLineChars="0"/>
              <w:jc w:val="center"/>
              <w:textAlignment w:val="baseline"/>
              <w:rPr>
                <w:rFonts w:ascii="仿宋_GB2312" w:hAnsi="Times New Roman" w:eastAsia="仿宋_GB2312" w:cs="Times New Roman"/>
                <w:b/>
                <w:bCs/>
                <w:sz w:val="24"/>
                <w:szCs w:val="24"/>
              </w:rPr>
            </w:pPr>
          </w:p>
        </w:tc>
        <w:tc>
          <w:tcPr>
            <w:tcW w:w="989" w:type="dxa"/>
            <w:shd w:val="clear" w:color="auto" w:fill="BEBEBE"/>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宋体" w:hAnsi="宋体" w:eastAsia="宋体" w:cs="宋体"/>
                <w:b/>
                <w:bCs/>
                <w:sz w:val="20"/>
                <w:szCs w:val="20"/>
              </w:rPr>
            </w:pPr>
            <w:r>
              <w:rPr>
                <w:rFonts w:hint="eastAsia" w:ascii="宋体" w:hAnsi="宋体" w:eastAsia="宋体" w:cs="宋体"/>
                <w:b/>
                <w:bCs/>
                <w:sz w:val="20"/>
                <w:szCs w:val="20"/>
              </w:rPr>
              <w:t>规格</w:t>
            </w:r>
          </w:p>
        </w:tc>
        <w:tc>
          <w:tcPr>
            <w:tcW w:w="881" w:type="dxa"/>
            <w:shd w:val="clear" w:color="auto" w:fill="BEBEBE"/>
            <w:vAlign w:val="center"/>
          </w:tcPr>
          <w:p>
            <w:pPr>
              <w:widowControl/>
              <w:overflowPunct w:val="0"/>
              <w:autoSpaceDE w:val="0"/>
              <w:autoSpaceDN w:val="0"/>
              <w:adjustRightInd w:val="0"/>
              <w:snapToGrid/>
              <w:spacing w:line="240" w:lineRule="auto"/>
              <w:ind w:firstLine="0" w:firstLineChars="0"/>
              <w:jc w:val="center"/>
              <w:textAlignment w:val="baseline"/>
              <w:rPr>
                <w:rFonts w:ascii="宋体" w:hAnsi="宋体" w:eastAsia="宋体" w:cs="宋体"/>
                <w:b/>
                <w:bCs/>
                <w:sz w:val="20"/>
                <w:szCs w:val="20"/>
              </w:rPr>
            </w:pPr>
            <w:r>
              <w:rPr>
                <w:rFonts w:hint="eastAsia" w:ascii="宋体" w:hAnsi="宋体" w:eastAsia="宋体" w:cs="宋体"/>
                <w:b/>
                <w:bCs/>
                <w:sz w:val="20"/>
                <w:szCs w:val="20"/>
              </w:rPr>
              <w:t>个数</w:t>
            </w:r>
          </w:p>
        </w:tc>
        <w:tc>
          <w:tcPr>
            <w:tcW w:w="1476" w:type="dxa"/>
            <w:vMerge w:val="continue"/>
            <w:vAlign w:val="center"/>
          </w:tcPr>
          <w:p>
            <w:pPr>
              <w:widowControl/>
              <w:overflowPunct w:val="0"/>
              <w:autoSpaceDE w:val="0"/>
              <w:autoSpaceDN w:val="0"/>
              <w:adjustRightInd w:val="0"/>
              <w:snapToGrid w:val="0"/>
              <w:spacing w:line="240" w:lineRule="auto"/>
              <w:ind w:firstLine="0" w:firstLineChars="0"/>
              <w:jc w:val="center"/>
              <w:textAlignment w:val="baseline"/>
              <w:rPr>
                <w:rFonts w:ascii="仿宋_GB2312" w:hAnsi="Times New Roman" w:eastAsia="仿宋_GB2312" w:cs="Times New Roman"/>
                <w:b/>
                <w:bCs/>
                <w:sz w:val="24"/>
                <w:szCs w:val="24"/>
              </w:rPr>
            </w:pPr>
          </w:p>
        </w:tc>
        <w:tc>
          <w:tcPr>
            <w:tcW w:w="1451" w:type="dxa"/>
            <w:vMerge w:val="continue"/>
            <w:vAlign w:val="center"/>
          </w:tcPr>
          <w:p>
            <w:pPr>
              <w:widowControl/>
              <w:overflowPunct w:val="0"/>
              <w:autoSpaceDE w:val="0"/>
              <w:autoSpaceDN w:val="0"/>
              <w:adjustRightInd w:val="0"/>
              <w:snapToGrid w:val="0"/>
              <w:spacing w:line="240" w:lineRule="auto"/>
              <w:ind w:firstLine="0" w:firstLineChars="0"/>
              <w:jc w:val="center"/>
              <w:textAlignment w:val="baseline"/>
              <w:rPr>
                <w:rFonts w:ascii="仿宋_GB2312" w:hAnsi="Times New Roman" w:eastAsia="仿宋_GB2312" w:cs="Times New Roman"/>
                <w:b/>
                <w:bCs/>
                <w:sz w:val="24"/>
                <w:szCs w:val="24"/>
              </w:rPr>
            </w:pPr>
          </w:p>
        </w:tc>
        <w:tc>
          <w:tcPr>
            <w:tcW w:w="2204" w:type="dxa"/>
            <w:vMerge w:val="continue"/>
            <w:vAlign w:val="center"/>
          </w:tcPr>
          <w:p>
            <w:pPr>
              <w:widowControl/>
              <w:overflowPunct w:val="0"/>
              <w:autoSpaceDE w:val="0"/>
              <w:autoSpaceDN w:val="0"/>
              <w:adjustRightInd w:val="0"/>
              <w:snapToGrid w:val="0"/>
              <w:spacing w:line="240" w:lineRule="auto"/>
              <w:ind w:firstLine="0" w:firstLineChars="0"/>
              <w:jc w:val="center"/>
              <w:textAlignment w:val="baseline"/>
              <w:rPr>
                <w:rFonts w:ascii="仿宋_GB2312" w:hAnsi="Times New Roman" w:eastAsia="仿宋_GB2312" w:cs="Times New Roman"/>
                <w:b/>
                <w:bCs/>
                <w:sz w:val="24"/>
                <w:szCs w:val="24"/>
              </w:rPr>
            </w:pPr>
          </w:p>
        </w:tc>
        <w:tc>
          <w:tcPr>
            <w:tcW w:w="964" w:type="dxa"/>
            <w:vMerge w:val="continue"/>
            <w:vAlign w:val="center"/>
          </w:tcPr>
          <w:p>
            <w:pPr>
              <w:widowControl/>
              <w:overflowPunct w:val="0"/>
              <w:autoSpaceDE w:val="0"/>
              <w:autoSpaceDN w:val="0"/>
              <w:adjustRightInd w:val="0"/>
              <w:snapToGrid w:val="0"/>
              <w:spacing w:line="240" w:lineRule="auto"/>
              <w:ind w:firstLine="0" w:firstLineChars="0"/>
              <w:jc w:val="center"/>
              <w:textAlignment w:val="baseline"/>
              <w:rPr>
                <w:rFonts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275" w:type="dxa"/>
            <w:gridSpan w:val="6"/>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仿宋_GB2312" w:hAnsi="Times New Roman" w:eastAsia="仿宋_GB2312" w:cs="Times New Roman"/>
                <w:sz w:val="24"/>
                <w:szCs w:val="24"/>
              </w:rPr>
            </w:pPr>
            <w:r>
              <w:rPr>
                <w:rFonts w:hint="eastAsia" w:ascii="宋体" w:hAnsi="宋体" w:eastAsia="宋体" w:cs="宋体"/>
                <w:b/>
                <w:bCs/>
                <w:color w:val="000000"/>
                <w:kern w:val="0"/>
                <w:sz w:val="20"/>
                <w:szCs w:val="20"/>
                <w:lang w:bidi="ar"/>
              </w:rPr>
              <w:t>小计</w:t>
            </w:r>
          </w:p>
        </w:tc>
        <w:tc>
          <w:tcPr>
            <w:tcW w:w="1451" w:type="dxa"/>
            <w:vAlign w:val="center"/>
          </w:tcPr>
          <w:p>
            <w:pPr>
              <w:widowControl/>
              <w:adjustRightInd/>
              <w:snapToGrid/>
              <w:spacing w:line="240" w:lineRule="auto"/>
              <w:ind w:firstLine="0" w:firstLineChars="0"/>
              <w:jc w:val="center"/>
              <w:textAlignment w:val="center"/>
              <w:rPr>
                <w:rFonts w:ascii="仿宋_GB2312" w:hAnsi="Times New Roman" w:eastAsia="仿宋_GB2312" w:cs="Times New Roman"/>
                <w:sz w:val="24"/>
                <w:szCs w:val="24"/>
              </w:rPr>
            </w:pPr>
          </w:p>
        </w:tc>
        <w:tc>
          <w:tcPr>
            <w:tcW w:w="2204" w:type="dxa"/>
            <w:vAlign w:val="center"/>
          </w:tcPr>
          <w:p>
            <w:pPr>
              <w:widowControl/>
              <w:adjustRightInd/>
              <w:snapToGrid/>
              <w:spacing w:line="240" w:lineRule="auto"/>
              <w:ind w:firstLine="0" w:firstLineChars="0"/>
              <w:jc w:val="center"/>
              <w:textAlignment w:val="center"/>
              <w:rPr>
                <w:rFonts w:ascii="仿宋_GB2312" w:hAnsi="Times New Roman" w:eastAsia="仿宋_GB2312" w:cs="Times New Roman"/>
                <w:sz w:val="24"/>
                <w:szCs w:val="24"/>
              </w:rPr>
            </w:pPr>
          </w:p>
        </w:tc>
        <w:tc>
          <w:tcPr>
            <w:tcW w:w="964" w:type="dxa"/>
            <w:vAlign w:val="center"/>
          </w:tcPr>
          <w:p>
            <w:pPr>
              <w:widowControl/>
              <w:adjustRightInd/>
              <w:snapToGrid/>
              <w:spacing w:line="240" w:lineRule="auto"/>
              <w:ind w:firstLine="0" w:firstLineChars="0"/>
              <w:jc w:val="center"/>
              <w:textAlignment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82" w:type="dxa"/>
            <w:vMerge w:val="restart"/>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农产品生产加工设备设施</w:t>
            </w:r>
          </w:p>
        </w:tc>
        <w:tc>
          <w:tcPr>
            <w:tcW w:w="2132" w:type="dxa"/>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装备（含采收、分拣、物流、制冷、检测等）</w:t>
            </w:r>
          </w:p>
        </w:tc>
        <w:tc>
          <w:tcPr>
            <w:tcW w:w="2115"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82" w:type="dxa"/>
            <w:vMerge w:val="continue"/>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32" w:type="dxa"/>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大型成套加工生产线</w:t>
            </w:r>
          </w:p>
        </w:tc>
        <w:tc>
          <w:tcPr>
            <w:tcW w:w="2115"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82" w:type="dxa"/>
            <w:vMerge w:val="continue"/>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32" w:type="dxa"/>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其他设备</w:t>
            </w:r>
          </w:p>
        </w:tc>
        <w:tc>
          <w:tcPr>
            <w:tcW w:w="2115"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82" w:type="dxa"/>
            <w:vMerge w:val="restart"/>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产品储藏和冷链配送</w:t>
            </w:r>
          </w:p>
        </w:tc>
        <w:tc>
          <w:tcPr>
            <w:tcW w:w="2132" w:type="dxa"/>
            <w:tcMar>
              <w:top w:w="20" w:type="dxa"/>
              <w:left w:w="20" w:type="dxa"/>
              <w:bottom w:w="0" w:type="dxa"/>
              <w:right w:w="20" w:type="dxa"/>
            </w:tcMar>
            <w:vAlign w:val="center"/>
          </w:tcPr>
          <w:p>
            <w:pPr>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新建冷库</w:t>
            </w:r>
          </w:p>
        </w:tc>
        <w:tc>
          <w:tcPr>
            <w:tcW w:w="2115"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82" w:type="dxa"/>
            <w:vMerge w:val="continue"/>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32" w:type="dxa"/>
            <w:tcMar>
              <w:top w:w="20" w:type="dxa"/>
              <w:left w:w="20" w:type="dxa"/>
              <w:bottom w:w="0" w:type="dxa"/>
              <w:right w:w="20" w:type="dxa"/>
            </w:tcMar>
            <w:vAlign w:val="center"/>
          </w:tcPr>
          <w:p>
            <w:pPr>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冷库设备购置</w:t>
            </w:r>
          </w:p>
        </w:tc>
        <w:tc>
          <w:tcPr>
            <w:tcW w:w="2115"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4" w:type="dxa"/>
            <w:gridSpan w:val="2"/>
            <w:tcMar>
              <w:top w:w="20" w:type="dxa"/>
              <w:left w:w="20" w:type="dxa"/>
              <w:bottom w:w="0" w:type="dxa"/>
              <w:right w:w="2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流通设施的升级改造</w:t>
            </w:r>
          </w:p>
        </w:tc>
        <w:tc>
          <w:tcPr>
            <w:tcW w:w="2115"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tcMar>
              <w:top w:w="20" w:type="dxa"/>
              <w:left w:w="20" w:type="dxa"/>
              <w:bottom w:w="0" w:type="dxa"/>
              <w:right w:w="2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82" w:type="dxa"/>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新产业新业态设施配套</w:t>
            </w:r>
          </w:p>
        </w:tc>
        <w:tc>
          <w:tcPr>
            <w:tcW w:w="2132" w:type="dxa"/>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新建加工、厂房、仓库用房</w:t>
            </w:r>
          </w:p>
        </w:tc>
        <w:tc>
          <w:tcPr>
            <w:tcW w:w="2115"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82" w:type="dxa"/>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园区建设</w:t>
            </w:r>
          </w:p>
        </w:tc>
        <w:tc>
          <w:tcPr>
            <w:tcW w:w="2132" w:type="dxa"/>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装修、宣传费用</w:t>
            </w:r>
          </w:p>
        </w:tc>
        <w:tc>
          <w:tcPr>
            <w:tcW w:w="2115"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814" w:type="dxa"/>
            <w:gridSpan w:val="2"/>
            <w:tcBorders>
              <w:bottom w:val="single" w:color="auto" w:sz="4" w:space="0"/>
            </w:tcBorders>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2115" w:type="dxa"/>
            <w:tcBorders>
              <w:bottom w:val="single" w:color="auto" w:sz="4" w:space="0"/>
            </w:tcBorders>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89" w:type="dxa"/>
            <w:tcBorders>
              <w:bottom w:val="single" w:color="auto" w:sz="4" w:space="0"/>
            </w:tcBorders>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881" w:type="dxa"/>
            <w:tcBorders>
              <w:bottom w:val="single" w:color="auto" w:sz="4" w:space="0"/>
            </w:tcBorders>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76" w:type="dxa"/>
            <w:tcBorders>
              <w:bottom w:val="single" w:color="auto" w:sz="4" w:space="0"/>
            </w:tcBorders>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1451" w:type="dxa"/>
            <w:tcBorders>
              <w:bottom w:val="single" w:color="auto" w:sz="4" w:space="0"/>
            </w:tcBorders>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2204" w:type="dxa"/>
            <w:tcBorders>
              <w:bottom w:val="single" w:color="auto" w:sz="4" w:space="0"/>
            </w:tcBorders>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c>
          <w:tcPr>
            <w:tcW w:w="964" w:type="dxa"/>
            <w:tcBorders>
              <w:bottom w:val="single" w:color="auto" w:sz="4" w:space="0"/>
            </w:tcBorders>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snapToGrid/>
        <w:spacing w:line="300" w:lineRule="auto"/>
        <w:ind w:firstLine="0" w:firstLineChars="0"/>
        <w:jc w:val="center"/>
        <w:rPr>
          <w:rFonts w:hint="eastAsia" w:ascii="方正小标宋简体" w:hAnsi="方正小标宋简体" w:eastAsia="方正小标宋简体" w:cs="方正小标宋简体"/>
          <w:b w:val="0"/>
          <w:bCs w:val="0"/>
          <w:sz w:val="32"/>
          <w:szCs w:val="24"/>
        </w:rPr>
      </w:pPr>
      <w:r>
        <w:rPr>
          <w:rFonts w:hint="eastAsia" w:ascii="方正小标宋简体" w:hAnsi="方正小标宋简体" w:eastAsia="方正小标宋简体" w:cs="方正小标宋简体"/>
          <w:b w:val="0"/>
          <w:bCs w:val="0"/>
          <w:sz w:val="32"/>
          <w:szCs w:val="24"/>
        </w:rPr>
        <w:t>4.科技研发与信息支撑预算明细表</w:t>
      </w:r>
    </w:p>
    <w:p>
      <w:pPr>
        <w:adjustRightInd/>
        <w:snapToGrid/>
        <w:spacing w:line="240" w:lineRule="auto"/>
        <w:ind w:firstLine="0" w:firstLineChars="0"/>
        <w:jc w:val="righ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单位：元</w:t>
      </w:r>
    </w:p>
    <w:tbl>
      <w:tblPr>
        <w:tblStyle w:val="14"/>
        <w:tblW w:w="13970" w:type="dxa"/>
        <w:tblInd w:w="0" w:type="dxa"/>
        <w:tblLayout w:type="fixed"/>
        <w:tblCellMar>
          <w:top w:w="0" w:type="dxa"/>
          <w:left w:w="0" w:type="dxa"/>
          <w:bottom w:w="0" w:type="dxa"/>
          <w:right w:w="0" w:type="dxa"/>
        </w:tblCellMar>
      </w:tblPr>
      <w:tblGrid>
        <w:gridCol w:w="1248"/>
        <w:gridCol w:w="1907"/>
        <w:gridCol w:w="1808"/>
        <w:gridCol w:w="942"/>
        <w:gridCol w:w="942"/>
        <w:gridCol w:w="942"/>
        <w:gridCol w:w="947"/>
        <w:gridCol w:w="1294"/>
        <w:gridCol w:w="1168"/>
        <w:gridCol w:w="1906"/>
        <w:gridCol w:w="866"/>
      </w:tblGrid>
      <w:tr>
        <w:tblPrEx>
          <w:tblCellMar>
            <w:top w:w="0" w:type="dxa"/>
            <w:left w:w="0" w:type="dxa"/>
            <w:bottom w:w="0" w:type="dxa"/>
            <w:right w:w="0" w:type="dxa"/>
          </w:tblCellMar>
        </w:tblPrEx>
        <w:trPr>
          <w:trHeight w:val="397" w:hRule="atLeast"/>
          <w:tblHeader/>
        </w:trPr>
        <w:tc>
          <w:tcPr>
            <w:tcW w:w="3155" w:type="dxa"/>
            <w:gridSpan w:val="2"/>
            <w:vMerge w:val="restart"/>
            <w:tcBorders>
              <w:top w:val="single" w:color="000000" w:sz="4" w:space="0"/>
              <w:left w:val="single" w:color="000000" w:sz="4" w:space="0"/>
              <w:right w:val="single" w:color="auto"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项目类别</w:t>
            </w:r>
          </w:p>
        </w:tc>
        <w:tc>
          <w:tcPr>
            <w:tcW w:w="1808" w:type="dxa"/>
            <w:vMerge w:val="restart"/>
            <w:tcBorders>
              <w:top w:val="single" w:color="000000" w:sz="4" w:space="0"/>
              <w:left w:val="single" w:color="auto"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项目支出内容</w:t>
            </w:r>
          </w:p>
        </w:tc>
        <w:tc>
          <w:tcPr>
            <w:tcW w:w="3773"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数量</w:t>
            </w:r>
          </w:p>
        </w:tc>
        <w:tc>
          <w:tcPr>
            <w:tcW w:w="1294"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单价</w:t>
            </w:r>
          </w:p>
        </w:tc>
        <w:tc>
          <w:tcPr>
            <w:tcW w:w="1168"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金额</w:t>
            </w:r>
          </w:p>
        </w:tc>
        <w:tc>
          <w:tcPr>
            <w:tcW w:w="1906"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编制依据</w:t>
            </w:r>
          </w:p>
        </w:tc>
        <w:tc>
          <w:tcPr>
            <w:tcW w:w="866"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CellMar>
            <w:top w:w="0" w:type="dxa"/>
            <w:left w:w="0" w:type="dxa"/>
            <w:bottom w:w="0" w:type="dxa"/>
            <w:right w:w="0" w:type="dxa"/>
          </w:tblCellMar>
        </w:tblPrEx>
        <w:trPr>
          <w:trHeight w:val="397" w:hRule="atLeast"/>
          <w:tblHeader/>
        </w:trPr>
        <w:tc>
          <w:tcPr>
            <w:tcW w:w="3155" w:type="dxa"/>
            <w:gridSpan w:val="2"/>
            <w:vMerge w:val="continue"/>
            <w:tcBorders>
              <w:left w:val="single" w:color="000000" w:sz="4" w:space="0"/>
              <w:bottom w:val="single" w:color="000000" w:sz="4" w:space="0"/>
              <w:right w:val="single" w:color="auto"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808" w:type="dxa"/>
            <w:vMerge w:val="continue"/>
            <w:tcBorders>
              <w:left w:val="single" w:color="auto"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个数</w:t>
            </w:r>
          </w:p>
        </w:tc>
        <w:tc>
          <w:tcPr>
            <w:tcW w:w="94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次数</w:t>
            </w:r>
          </w:p>
        </w:tc>
        <w:tc>
          <w:tcPr>
            <w:tcW w:w="94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人数</w:t>
            </w:r>
          </w:p>
        </w:tc>
        <w:tc>
          <w:tcPr>
            <w:tcW w:w="94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天数</w:t>
            </w:r>
          </w:p>
        </w:tc>
        <w:tc>
          <w:tcPr>
            <w:tcW w:w="1294"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1168"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1906"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866"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r>
      <w:tr>
        <w:tblPrEx>
          <w:tblCellMar>
            <w:top w:w="0" w:type="dxa"/>
            <w:left w:w="0" w:type="dxa"/>
            <w:bottom w:w="0" w:type="dxa"/>
            <w:right w:w="0" w:type="dxa"/>
          </w:tblCellMar>
        </w:tblPrEx>
        <w:trPr>
          <w:trHeight w:val="420" w:hRule="atLeast"/>
        </w:trPr>
        <w:tc>
          <w:tcPr>
            <w:tcW w:w="10030"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小计</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lang w:bidi="ar"/>
              </w:rPr>
              <w:t>——</w:t>
            </w:r>
          </w:p>
        </w:tc>
      </w:tr>
      <w:tr>
        <w:tblPrEx>
          <w:tblCellMar>
            <w:top w:w="0" w:type="dxa"/>
            <w:left w:w="0" w:type="dxa"/>
            <w:bottom w:w="0" w:type="dxa"/>
            <w:right w:w="0" w:type="dxa"/>
          </w:tblCellMar>
        </w:tblPrEx>
        <w:trPr>
          <w:trHeight w:val="240" w:hRule="atLeast"/>
        </w:trPr>
        <w:tc>
          <w:tcPr>
            <w:tcW w:w="1248"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设备费</w:t>
            </w:r>
          </w:p>
        </w:tc>
        <w:tc>
          <w:tcPr>
            <w:tcW w:w="19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Times New Roman"/>
                <w:kern w:val="0"/>
                <w:sz w:val="20"/>
                <w:szCs w:val="20"/>
              </w:rPr>
              <w:t>购置设备</w:t>
            </w:r>
          </w:p>
        </w:tc>
        <w:tc>
          <w:tcPr>
            <w:tcW w:w="1808"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9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trPr>
        <w:tc>
          <w:tcPr>
            <w:tcW w:w="124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Times New Roman"/>
                <w:kern w:val="0"/>
                <w:sz w:val="20"/>
                <w:szCs w:val="20"/>
              </w:rPr>
            </w:pPr>
            <w:r>
              <w:rPr>
                <w:rFonts w:hint="eastAsia" w:ascii="宋体" w:hAnsi="宋体" w:eastAsia="宋体" w:cs="Times New Roman"/>
                <w:kern w:val="0"/>
                <w:sz w:val="20"/>
                <w:szCs w:val="20"/>
              </w:rPr>
              <w:t>设备租赁</w:t>
            </w:r>
          </w:p>
        </w:tc>
        <w:tc>
          <w:tcPr>
            <w:tcW w:w="1808" w:type="dxa"/>
            <w:vMerge w:val="continue"/>
            <w:tcBorders>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9" w:type="dxa"/>
            <w:gridSpan w:val="2"/>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9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6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0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6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40" w:hRule="atLeast"/>
        </w:trPr>
        <w:tc>
          <w:tcPr>
            <w:tcW w:w="124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Times New Roman"/>
                <w:kern w:val="0"/>
                <w:sz w:val="20"/>
                <w:szCs w:val="20"/>
              </w:rPr>
              <w:t>试制设备</w:t>
            </w:r>
          </w:p>
        </w:tc>
        <w:tc>
          <w:tcPr>
            <w:tcW w:w="1808" w:type="dxa"/>
            <w:vMerge w:val="continue"/>
            <w:tcBorders>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9" w:type="dxa"/>
            <w:gridSpan w:val="2"/>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9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6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90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6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材料费</w:t>
            </w:r>
          </w:p>
        </w:tc>
        <w:tc>
          <w:tcPr>
            <w:tcW w:w="1808"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测试化验加工费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r>
              <w:rPr>
                <w:rFonts w:hint="eastAsia" w:ascii="宋体" w:hAnsi="宋体" w:eastAsia="宋体" w:cs="宋体"/>
                <w:b/>
                <w:color w:val="000000"/>
                <w:kern w:val="0"/>
                <w:sz w:val="20"/>
                <w:szCs w:val="20"/>
                <w:lang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燃料动力费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r>
              <w:rPr>
                <w:rFonts w:hint="eastAsia" w:ascii="宋体" w:hAnsi="宋体" w:eastAsia="宋体" w:cs="宋体"/>
                <w:b/>
                <w:color w:val="000000"/>
                <w:kern w:val="0"/>
                <w:sz w:val="20"/>
                <w:szCs w:val="20"/>
                <w:lang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出版/文献/信息传播/知识产权事务费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会议费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差旅费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国际合作交流费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培训费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劳务费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专家咨询费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基本建设费</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其他费用</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间接费用</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55" w:type="dxa"/>
            <w:gridSpan w:val="2"/>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color w:val="000000"/>
                <w:kern w:val="0"/>
                <w:sz w:val="20"/>
                <w:szCs w:val="20"/>
                <w:lang w:bidi="ar"/>
              </w:rPr>
            </w:pPr>
          </w:p>
        </w:tc>
        <w:tc>
          <w:tcPr>
            <w:tcW w:w="129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9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6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970" w:type="dxa"/>
            <w:gridSpan w:val="11"/>
            <w:tcBorders>
              <w:top w:val="single" w:color="auto" w:sz="4" w:space="0"/>
              <w:left w:val="nil"/>
              <w:bottom w:val="nil"/>
              <w:right w:val="nil"/>
            </w:tcBorders>
            <w:shd w:val="clear" w:color="auto" w:fill="auto"/>
            <w:tcMar>
              <w:top w:w="10" w:type="dxa"/>
              <w:left w:w="10" w:type="dxa"/>
              <w:right w:w="10" w:type="dxa"/>
            </w:tcMar>
            <w:vAlign w:val="center"/>
          </w:tcPr>
          <w:p>
            <w:pPr>
              <w:adjustRightInd/>
              <w:snapToGrid/>
              <w:spacing w:line="240" w:lineRule="auto"/>
              <w:ind w:firstLine="0" w:firstLineChars="0"/>
              <w:jc w:val="left"/>
              <w:rPr>
                <w:rFonts w:ascii="宋体" w:hAnsi="宋体" w:eastAsia="宋体" w:cs="宋体"/>
                <w:color w:val="000000"/>
                <w:sz w:val="20"/>
                <w:szCs w:val="20"/>
              </w:rPr>
            </w:pP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snapToGrid/>
        <w:spacing w:line="300" w:lineRule="auto"/>
        <w:ind w:firstLine="0" w:firstLineChars="0"/>
        <w:jc w:val="center"/>
        <w:rPr>
          <w:rFonts w:hint="eastAsia" w:ascii="方正小标宋简体" w:hAnsi="方正小标宋简体" w:eastAsia="方正小标宋简体" w:cs="方正小标宋简体"/>
          <w:b w:val="0"/>
          <w:bCs w:val="0"/>
          <w:sz w:val="32"/>
          <w:szCs w:val="24"/>
        </w:rPr>
      </w:pPr>
      <w:r>
        <w:rPr>
          <w:rFonts w:hint="eastAsia" w:ascii="方正小标宋简体" w:hAnsi="方正小标宋简体" w:eastAsia="方正小标宋简体" w:cs="方正小标宋简体"/>
          <w:b w:val="0"/>
          <w:bCs w:val="0"/>
          <w:sz w:val="32"/>
          <w:szCs w:val="24"/>
        </w:rPr>
        <w:t>5.农业品牌预算明细表</w:t>
      </w:r>
    </w:p>
    <w:p>
      <w:pPr>
        <w:adjustRightInd/>
        <w:snapToGrid/>
        <w:spacing w:line="240" w:lineRule="auto"/>
        <w:ind w:firstLine="0" w:firstLineChars="0"/>
        <w:jc w:val="righ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单位：元</w:t>
      </w:r>
    </w:p>
    <w:tbl>
      <w:tblPr>
        <w:tblStyle w:val="14"/>
        <w:tblW w:w="13970" w:type="dxa"/>
        <w:tblInd w:w="0" w:type="dxa"/>
        <w:tblLayout w:type="fixed"/>
        <w:tblCellMar>
          <w:top w:w="0" w:type="dxa"/>
          <w:left w:w="0" w:type="dxa"/>
          <w:bottom w:w="0" w:type="dxa"/>
          <w:right w:w="0" w:type="dxa"/>
        </w:tblCellMar>
      </w:tblPr>
      <w:tblGrid>
        <w:gridCol w:w="1455"/>
        <w:gridCol w:w="751"/>
        <w:gridCol w:w="8"/>
        <w:gridCol w:w="6"/>
        <w:gridCol w:w="813"/>
        <w:gridCol w:w="2596"/>
        <w:gridCol w:w="2501"/>
        <w:gridCol w:w="1464"/>
        <w:gridCol w:w="1280"/>
        <w:gridCol w:w="2107"/>
        <w:gridCol w:w="989"/>
      </w:tblGrid>
      <w:tr>
        <w:tblPrEx>
          <w:tblCellMar>
            <w:top w:w="0" w:type="dxa"/>
            <w:left w:w="0" w:type="dxa"/>
            <w:bottom w:w="0" w:type="dxa"/>
            <w:right w:w="0" w:type="dxa"/>
          </w:tblCellMar>
        </w:tblPrEx>
        <w:trPr>
          <w:trHeight w:val="397" w:hRule="atLeast"/>
          <w:tblHeader/>
        </w:trPr>
        <w:tc>
          <w:tcPr>
            <w:tcW w:w="3033" w:type="dxa"/>
            <w:gridSpan w:val="5"/>
            <w:vMerge w:val="restart"/>
            <w:tcBorders>
              <w:top w:val="single" w:color="000000" w:sz="4" w:space="0"/>
              <w:left w:val="single" w:color="000000" w:sz="4" w:space="0"/>
              <w:right w:val="single" w:color="auto"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项目类别</w:t>
            </w:r>
          </w:p>
        </w:tc>
        <w:tc>
          <w:tcPr>
            <w:tcW w:w="2596" w:type="dxa"/>
            <w:vMerge w:val="restart"/>
            <w:tcBorders>
              <w:top w:val="single" w:color="000000" w:sz="4" w:space="0"/>
              <w:left w:val="single" w:color="auto"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项目支出内容</w:t>
            </w:r>
          </w:p>
        </w:tc>
        <w:tc>
          <w:tcPr>
            <w:tcW w:w="250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数量</w:t>
            </w:r>
          </w:p>
        </w:tc>
        <w:tc>
          <w:tcPr>
            <w:tcW w:w="1464"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单价</w:t>
            </w:r>
          </w:p>
        </w:tc>
        <w:tc>
          <w:tcPr>
            <w:tcW w:w="1280"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金额</w:t>
            </w:r>
          </w:p>
        </w:tc>
        <w:tc>
          <w:tcPr>
            <w:tcW w:w="2107"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编制依据</w:t>
            </w:r>
          </w:p>
        </w:tc>
        <w:tc>
          <w:tcPr>
            <w:tcW w:w="989"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CellMar>
            <w:top w:w="0" w:type="dxa"/>
            <w:left w:w="0" w:type="dxa"/>
            <w:bottom w:w="0" w:type="dxa"/>
            <w:right w:w="0" w:type="dxa"/>
          </w:tblCellMar>
        </w:tblPrEx>
        <w:trPr>
          <w:trHeight w:val="397" w:hRule="atLeast"/>
          <w:tblHeader/>
        </w:trPr>
        <w:tc>
          <w:tcPr>
            <w:tcW w:w="3033" w:type="dxa"/>
            <w:gridSpan w:val="5"/>
            <w:vMerge w:val="continue"/>
            <w:tcBorders>
              <w:left w:val="single" w:color="000000" w:sz="4" w:space="0"/>
              <w:bottom w:val="single" w:color="000000" w:sz="4" w:space="0"/>
              <w:right w:val="single" w:color="auto"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2596" w:type="dxa"/>
            <w:vMerge w:val="continue"/>
            <w:tcBorders>
              <w:left w:val="single" w:color="auto"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2501"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个数/平米/米等</w:t>
            </w:r>
          </w:p>
        </w:tc>
        <w:tc>
          <w:tcPr>
            <w:tcW w:w="1464"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r>
      <w:tr>
        <w:tblPrEx>
          <w:tblCellMar>
            <w:top w:w="0" w:type="dxa"/>
            <w:left w:w="0" w:type="dxa"/>
            <w:bottom w:w="0" w:type="dxa"/>
            <w:right w:w="0" w:type="dxa"/>
          </w:tblCellMar>
        </w:tblPrEx>
        <w:trPr>
          <w:trHeight w:val="480" w:hRule="atLeast"/>
        </w:trPr>
        <w:tc>
          <w:tcPr>
            <w:tcW w:w="9594"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b/>
                <w:color w:val="000000"/>
                <w:kern w:val="0"/>
                <w:sz w:val="20"/>
                <w:szCs w:val="20"/>
                <w:lang w:bidi="ar"/>
              </w:rPr>
              <w:t>小计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注明相关物料的材质、规格等</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r>
        <w:tblPrEx>
          <w:tblCellMar>
            <w:top w:w="0" w:type="dxa"/>
            <w:left w:w="0" w:type="dxa"/>
            <w:bottom w:w="0" w:type="dxa"/>
            <w:right w:w="0" w:type="dxa"/>
          </w:tblCellMar>
        </w:tblPrEx>
        <w:trPr>
          <w:trHeight w:val="480" w:hRule="atLeast"/>
        </w:trPr>
        <w:tc>
          <w:tcPr>
            <w:tcW w:w="303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媒体宣传及品牌推广</w:t>
            </w:r>
          </w:p>
        </w:tc>
        <w:tc>
          <w:tcPr>
            <w:tcW w:w="2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信息筛选</w:t>
            </w:r>
          </w:p>
        </w:tc>
        <w:tc>
          <w:tcPr>
            <w:tcW w:w="15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bCs/>
                <w:color w:val="000000"/>
                <w:sz w:val="20"/>
                <w:szCs w:val="20"/>
              </w:rPr>
              <w:t>信息征集</w:t>
            </w:r>
          </w:p>
        </w:tc>
        <w:tc>
          <w:tcPr>
            <w:tcW w:w="2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bCs/>
                <w:color w:val="000000"/>
                <w:sz w:val="20"/>
                <w:szCs w:val="20"/>
              </w:rPr>
              <w:t>信息调研</w:t>
            </w:r>
          </w:p>
        </w:tc>
        <w:tc>
          <w:tcPr>
            <w:tcW w:w="2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Times New Roman" w:hAnsi="Times New Roman" w:eastAsia="宋体" w:cs="Times New Roman"/>
                <w:sz w:val="21"/>
                <w:szCs w:val="22"/>
              </w:rPr>
              <w:t>信息评选</w:t>
            </w:r>
          </w:p>
        </w:tc>
        <w:tc>
          <w:tcPr>
            <w:tcW w:w="2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活动设计</w:t>
            </w:r>
          </w:p>
        </w:tc>
        <w:tc>
          <w:tcPr>
            <w:tcW w:w="15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455"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媒体投放</w:t>
            </w:r>
          </w:p>
        </w:tc>
        <w:tc>
          <w:tcPr>
            <w:tcW w:w="751"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平面媒体</w:t>
            </w: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报纸</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杂志</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期刊</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广播电台</w:t>
            </w: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中央广播电台</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省级广播电台</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地市级广播电台</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电视台</w:t>
            </w: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中央电视台</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省级电视台</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地级市电视台</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多媒体</w:t>
            </w: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交互式网络电视(IPTV)</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车载移动电视</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楼宇电视</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2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新媒体</w:t>
            </w: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网站</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APP</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2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微信公众号</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2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微博公众号</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4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户外广告</w:t>
            </w: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广告牌</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电子大屏</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480" w:hRule="atLeast"/>
        </w:trPr>
        <w:tc>
          <w:tcPr>
            <w:tcW w:w="1455"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内容制作</w:t>
            </w: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图解产品</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宣传标识</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6"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vMerge w:val="restart"/>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图文稿件</w:t>
            </w:r>
          </w:p>
        </w:tc>
        <w:tc>
          <w:tcPr>
            <w:tcW w:w="827" w:type="dxa"/>
            <w:gridSpan w:val="3"/>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原创</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6" w:hRule="atLeast"/>
        </w:trPr>
        <w:tc>
          <w:tcPr>
            <w:tcW w:w="1455" w:type="dxa"/>
            <w:vMerge w:val="continue"/>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top w:val="single" w:color="auto"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转载</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6"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编辑</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6"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视频</w:t>
            </w: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微视频</w:t>
            </w:r>
          </w:p>
        </w:tc>
        <w:tc>
          <w:tcPr>
            <w:tcW w:w="259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6"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1"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宣传片</w:t>
            </w:r>
          </w:p>
        </w:tc>
        <w:tc>
          <w:tcPr>
            <w:tcW w:w="259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6"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751"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827"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文化产品</w:t>
            </w:r>
          </w:p>
        </w:tc>
        <w:tc>
          <w:tcPr>
            <w:tcW w:w="259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45"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1"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H5</w:t>
            </w:r>
          </w:p>
        </w:tc>
        <w:tc>
          <w:tcPr>
            <w:tcW w:w="827" w:type="dxa"/>
            <w:gridSpan w:val="3"/>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推广型H5</w:t>
            </w:r>
          </w:p>
        </w:tc>
        <w:tc>
          <w:tcPr>
            <w:tcW w:w="2596"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现场物料</w:t>
            </w: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背景幕布</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喷绘桁架</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宣传海报/宣传画册</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易拉宝</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X展架</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指示牌</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道旗</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横幅</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地毯</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桌签</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手提袋</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kern w:val="0"/>
                <w:sz w:val="20"/>
                <w:szCs w:val="20"/>
                <w:lang w:bidi="ar"/>
              </w:rPr>
              <w:t>参会证</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8"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sz w:val="24"/>
                <w:szCs w:val="24"/>
              </w:rPr>
            </w:pPr>
            <w:r>
              <w:rPr>
                <w:rFonts w:hint="eastAsia" w:ascii="宋体" w:hAnsi="宋体" w:eastAsia="宋体" w:cs="宋体"/>
                <w:color w:val="000000"/>
                <w:kern w:val="0"/>
                <w:sz w:val="20"/>
                <w:szCs w:val="20"/>
                <w:lang w:bidi="ar"/>
              </w:rPr>
              <w:t>表彰表奖用品</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奖杯</w:t>
            </w:r>
          </w:p>
        </w:tc>
        <w:tc>
          <w:tcPr>
            <w:tcW w:w="2596"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8"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759" w:type="dxa"/>
            <w:gridSpan w:val="2"/>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Times New Roman" w:hAnsi="Times New Roman" w:eastAsia="宋体" w:cs="Times New Roman"/>
                <w:sz w:val="21"/>
                <w:szCs w:val="22"/>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牌匾</w:t>
            </w:r>
          </w:p>
        </w:tc>
        <w:tc>
          <w:tcPr>
            <w:tcW w:w="2596"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8"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奖状</w:t>
            </w:r>
          </w:p>
        </w:tc>
        <w:tc>
          <w:tcPr>
            <w:tcW w:w="2596"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8"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证书</w:t>
            </w:r>
          </w:p>
        </w:tc>
        <w:tc>
          <w:tcPr>
            <w:tcW w:w="2596"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8"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锦旗</w:t>
            </w:r>
          </w:p>
        </w:tc>
        <w:tc>
          <w:tcPr>
            <w:tcW w:w="2596"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8"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光荣册</w:t>
            </w:r>
          </w:p>
        </w:tc>
        <w:tc>
          <w:tcPr>
            <w:tcW w:w="2596"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46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0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98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8"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奖牌</w:t>
            </w:r>
          </w:p>
        </w:tc>
        <w:tc>
          <w:tcPr>
            <w:tcW w:w="2596" w:type="dxa"/>
            <w:vMerge w:val="continue"/>
            <w:tcBorders>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464"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280"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107"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989"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160" w:hRule="atLeast"/>
        </w:trPr>
        <w:tc>
          <w:tcPr>
            <w:tcW w:w="1455"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场地租赁</w:t>
            </w:r>
          </w:p>
        </w:tc>
        <w:tc>
          <w:tcPr>
            <w:tcW w:w="759" w:type="dxa"/>
            <w:gridSpan w:val="2"/>
            <w:vMerge w:val="restart"/>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展位租赁</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空地展位</w:t>
            </w:r>
          </w:p>
        </w:tc>
        <w:tc>
          <w:tcPr>
            <w:tcW w:w="259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标准展位</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r>
      <w:tr>
        <w:tblPrEx>
          <w:tblCellMar>
            <w:top w:w="0" w:type="dxa"/>
            <w:left w:w="0" w:type="dxa"/>
            <w:bottom w:w="0" w:type="dxa"/>
            <w:right w:w="0" w:type="dxa"/>
          </w:tblCellMar>
        </w:tblPrEx>
        <w:trPr>
          <w:trHeight w:val="16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759"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其它展位</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r>
      <w:tr>
        <w:tblPrEx>
          <w:tblCellMar>
            <w:top w:w="0" w:type="dxa"/>
            <w:left w:w="0" w:type="dxa"/>
            <w:bottom w:w="0" w:type="dxa"/>
            <w:right w:w="0" w:type="dxa"/>
          </w:tblCellMar>
        </w:tblPrEx>
        <w:trPr>
          <w:trHeight w:val="12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会议室租赁</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≤50人</w:t>
            </w:r>
          </w:p>
        </w:tc>
        <w:tc>
          <w:tcPr>
            <w:tcW w:w="259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≤100人</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r>
      <w:tr>
        <w:tblPrEx>
          <w:tblCellMar>
            <w:top w:w="0" w:type="dxa"/>
            <w:left w:w="0" w:type="dxa"/>
            <w:bottom w:w="0" w:type="dxa"/>
            <w:right w:w="0" w:type="dxa"/>
          </w:tblCellMar>
        </w:tblPrEx>
        <w:trPr>
          <w:trHeight w:val="12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759"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≤200人</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r>
      <w:tr>
        <w:tblPrEx>
          <w:tblCellMar>
            <w:top w:w="0" w:type="dxa"/>
            <w:left w:w="0" w:type="dxa"/>
            <w:bottom w:w="0" w:type="dxa"/>
            <w:right w:w="0" w:type="dxa"/>
          </w:tblCellMar>
        </w:tblPrEx>
        <w:trPr>
          <w:trHeight w:val="12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759"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≤500人</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r>
      <w:tr>
        <w:tblPrEx>
          <w:tblCellMar>
            <w:top w:w="0" w:type="dxa"/>
            <w:left w:w="0" w:type="dxa"/>
            <w:bottom w:w="0" w:type="dxa"/>
            <w:right w:w="0" w:type="dxa"/>
          </w:tblCellMar>
        </w:tblPrEx>
        <w:trPr>
          <w:trHeight w:val="24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展厅租赁</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室内展厅</w:t>
            </w:r>
          </w:p>
        </w:tc>
        <w:tc>
          <w:tcPr>
            <w:tcW w:w="259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室外场地</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仿宋_GB2312" w:hAnsi="Times New Roman" w:eastAsia="仿宋_GB2312" w:cs="Times New Roman"/>
                <w:sz w:val="24"/>
                <w:szCs w:val="24"/>
              </w:rPr>
            </w:pPr>
          </w:p>
        </w:tc>
      </w:tr>
      <w:tr>
        <w:tblPrEx>
          <w:tblCellMar>
            <w:top w:w="0" w:type="dxa"/>
            <w:left w:w="0" w:type="dxa"/>
            <w:bottom w:w="0" w:type="dxa"/>
            <w:right w:w="0" w:type="dxa"/>
          </w:tblCellMar>
        </w:tblPrEx>
        <w:trPr>
          <w:trHeight w:val="480" w:hRule="atLeast"/>
        </w:trPr>
        <w:tc>
          <w:tcPr>
            <w:tcW w:w="145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展位搭建</w:t>
            </w: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标准展位搭建</w:t>
            </w:r>
          </w:p>
        </w:tc>
        <w:tc>
          <w:tcPr>
            <w:tcW w:w="259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设备租赁</w:t>
            </w: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投影设备</w:t>
            </w:r>
          </w:p>
        </w:tc>
        <w:tc>
          <w:tcPr>
            <w:tcW w:w="2596"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摄影摄像设备</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音响设备</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灯光设备</w:t>
            </w:r>
          </w:p>
        </w:tc>
        <w:tc>
          <w:tcPr>
            <w:tcW w:w="259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5"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LED屏</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ascii="宋体" w:hAnsi="宋体" w:eastAsia="宋体" w:cs="宋体"/>
                <w:color w:val="000000"/>
                <w:sz w:val="20"/>
                <w:szCs w:val="20"/>
              </w:rPr>
              <w:t>室内LED屏</w:t>
            </w:r>
          </w:p>
        </w:tc>
        <w:tc>
          <w:tcPr>
            <w:tcW w:w="2596"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5"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ascii="宋体" w:hAnsi="宋体" w:eastAsia="宋体" w:cs="宋体"/>
                <w:color w:val="000000"/>
                <w:sz w:val="20"/>
                <w:szCs w:val="20"/>
              </w:rPr>
              <w:t>室</w:t>
            </w:r>
            <w:r>
              <w:rPr>
                <w:rFonts w:hint="eastAsia" w:ascii="宋体" w:hAnsi="宋体" w:eastAsia="宋体" w:cs="宋体"/>
                <w:color w:val="000000"/>
                <w:sz w:val="20"/>
                <w:szCs w:val="20"/>
              </w:rPr>
              <w:t>外</w:t>
            </w:r>
            <w:r>
              <w:rPr>
                <w:rFonts w:ascii="宋体" w:hAnsi="宋体" w:eastAsia="宋体" w:cs="宋体"/>
                <w:color w:val="000000"/>
                <w:sz w:val="20"/>
                <w:szCs w:val="20"/>
              </w:rPr>
              <w:t>LED屏</w:t>
            </w:r>
          </w:p>
        </w:tc>
        <w:tc>
          <w:tcPr>
            <w:tcW w:w="2596" w:type="dxa"/>
            <w:vMerge w:val="continue"/>
            <w:tcBorders>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人员劳务</w:t>
            </w: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嘉宾</w:t>
            </w:r>
          </w:p>
        </w:tc>
        <w:tc>
          <w:tcPr>
            <w:tcW w:w="259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578"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工作人员</w:t>
            </w:r>
          </w:p>
        </w:tc>
        <w:tc>
          <w:tcPr>
            <w:tcW w:w="259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5"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专业人员</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投影设备操作员</w:t>
            </w:r>
          </w:p>
        </w:tc>
        <w:tc>
          <w:tcPr>
            <w:tcW w:w="259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5"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摄像师</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5"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75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音响师</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5"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75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灯光师</w:t>
            </w:r>
          </w:p>
        </w:tc>
        <w:tc>
          <w:tcPr>
            <w:tcW w:w="259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主持人</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一般主持人</w:t>
            </w:r>
          </w:p>
        </w:tc>
        <w:tc>
          <w:tcPr>
            <w:tcW w:w="259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5" w:hRule="atLeast"/>
        </w:trPr>
        <w:tc>
          <w:tcPr>
            <w:tcW w:w="1455"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其他保障</w:t>
            </w:r>
          </w:p>
        </w:tc>
        <w:tc>
          <w:tcPr>
            <w:tcW w:w="765" w:type="dxa"/>
            <w:gridSpan w:val="3"/>
            <w:vMerge w:val="restart"/>
            <w:tcBorders>
              <w:top w:val="single" w:color="auto"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技术保障</w:t>
            </w:r>
          </w:p>
        </w:tc>
        <w:tc>
          <w:tcPr>
            <w:tcW w:w="813"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技术1</w:t>
            </w:r>
          </w:p>
        </w:tc>
        <w:tc>
          <w:tcPr>
            <w:tcW w:w="2596" w:type="dxa"/>
            <w:vMerge w:val="restart"/>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5"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65" w:type="dxa"/>
            <w:gridSpan w:val="3"/>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1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技术2</w:t>
            </w:r>
          </w:p>
        </w:tc>
        <w:tc>
          <w:tcPr>
            <w:tcW w:w="2596" w:type="dxa"/>
            <w:vMerge w:val="continue"/>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50"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医疗保障</w:t>
            </w:r>
          </w:p>
        </w:tc>
        <w:tc>
          <w:tcPr>
            <w:tcW w:w="819"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药物</w:t>
            </w:r>
          </w:p>
        </w:tc>
        <w:tc>
          <w:tcPr>
            <w:tcW w:w="2596" w:type="dxa"/>
            <w:vMerge w:val="restart"/>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50"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19"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医疗设备</w:t>
            </w:r>
          </w:p>
        </w:tc>
        <w:tc>
          <w:tcPr>
            <w:tcW w:w="2596" w:type="dxa"/>
            <w:vMerge w:val="continue"/>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6"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后勤保障</w:t>
            </w:r>
          </w:p>
        </w:tc>
        <w:tc>
          <w:tcPr>
            <w:tcW w:w="819"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餐饮</w:t>
            </w:r>
          </w:p>
        </w:tc>
        <w:tc>
          <w:tcPr>
            <w:tcW w:w="2596" w:type="dxa"/>
            <w:vMerge w:val="restart"/>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6"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19"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保洁</w:t>
            </w:r>
          </w:p>
        </w:tc>
        <w:tc>
          <w:tcPr>
            <w:tcW w:w="2596" w:type="dxa"/>
            <w:vMerge w:val="continue"/>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6" w:hRule="atLeast"/>
        </w:trPr>
        <w:tc>
          <w:tcPr>
            <w:tcW w:w="1455"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759" w:type="dxa"/>
            <w:gridSpan w:val="2"/>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819"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运输</w:t>
            </w:r>
          </w:p>
        </w:tc>
        <w:tc>
          <w:tcPr>
            <w:tcW w:w="2596" w:type="dxa"/>
            <w:vMerge w:val="continue"/>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5"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759" w:type="dxa"/>
            <w:gridSpan w:val="2"/>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sz w:val="24"/>
                <w:szCs w:val="24"/>
              </w:rPr>
            </w:pPr>
            <w:r>
              <w:rPr>
                <w:rFonts w:hint="eastAsia" w:ascii="宋体" w:hAnsi="宋体" w:eastAsia="宋体" w:cs="宋体"/>
                <w:color w:val="000000"/>
                <w:sz w:val="20"/>
                <w:szCs w:val="20"/>
              </w:rPr>
              <w:t>安全保障</w:t>
            </w:r>
          </w:p>
        </w:tc>
        <w:tc>
          <w:tcPr>
            <w:tcW w:w="819"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消防</w:t>
            </w:r>
          </w:p>
        </w:tc>
        <w:tc>
          <w:tcPr>
            <w:tcW w:w="2596" w:type="dxa"/>
            <w:vMerge w:val="restart"/>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5" w:hRule="atLeast"/>
        </w:trPr>
        <w:tc>
          <w:tcPr>
            <w:tcW w:w="1455"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759" w:type="dxa"/>
            <w:gridSpan w:val="2"/>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Times New Roman" w:hAnsi="Times New Roman" w:eastAsia="宋体" w:cs="Times New Roman"/>
                <w:sz w:val="21"/>
                <w:szCs w:val="22"/>
              </w:rPr>
            </w:pPr>
          </w:p>
        </w:tc>
        <w:tc>
          <w:tcPr>
            <w:tcW w:w="819"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安检</w:t>
            </w:r>
          </w:p>
        </w:tc>
        <w:tc>
          <w:tcPr>
            <w:tcW w:w="2596" w:type="dxa"/>
            <w:vMerge w:val="continue"/>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c>
          <w:tcPr>
            <w:tcW w:w="989" w:type="dxa"/>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autoSpaceDE w:val="0"/>
              <w:autoSpaceDN w:val="0"/>
              <w:adjustRightInd w:val="0"/>
              <w:snapToGrid w:val="0"/>
              <w:spacing w:line="30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033" w:type="dxa"/>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259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250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8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970" w:type="dxa"/>
            <w:gridSpan w:val="11"/>
            <w:tcBorders>
              <w:top w:val="single" w:color="auto" w:sz="4" w:space="0"/>
              <w:left w:val="nil"/>
              <w:bottom w:val="nil"/>
              <w:right w:val="nil"/>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snapToGrid/>
        <w:spacing w:line="300" w:lineRule="auto"/>
        <w:ind w:firstLine="0" w:firstLineChars="0"/>
        <w:jc w:val="center"/>
        <w:rPr>
          <w:rFonts w:hint="eastAsia" w:ascii="方正小标宋简体" w:hAnsi="方正小标宋简体" w:eastAsia="方正小标宋简体" w:cs="方正小标宋简体"/>
          <w:b w:val="0"/>
          <w:bCs w:val="0"/>
          <w:sz w:val="32"/>
          <w:szCs w:val="24"/>
        </w:rPr>
      </w:pPr>
      <w:r>
        <w:rPr>
          <w:rFonts w:hint="eastAsia" w:ascii="方正小标宋简体" w:hAnsi="方正小标宋简体" w:eastAsia="方正小标宋简体" w:cs="方正小标宋简体"/>
          <w:b w:val="0"/>
          <w:bCs w:val="0"/>
          <w:sz w:val="32"/>
          <w:szCs w:val="24"/>
        </w:rPr>
        <w:t>6.贷款贴息预算明细表</w:t>
      </w:r>
    </w:p>
    <w:p>
      <w:pPr>
        <w:adjustRightInd/>
        <w:snapToGrid/>
        <w:spacing w:line="240" w:lineRule="auto"/>
        <w:ind w:firstLine="0" w:firstLineChars="0"/>
        <w:jc w:val="righ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单位：元</w:t>
      </w:r>
    </w:p>
    <w:tbl>
      <w:tblPr>
        <w:tblStyle w:val="14"/>
        <w:tblW w:w="13970" w:type="dxa"/>
        <w:tblInd w:w="0" w:type="dxa"/>
        <w:tblLayout w:type="fixed"/>
        <w:tblCellMar>
          <w:top w:w="0" w:type="dxa"/>
          <w:left w:w="0" w:type="dxa"/>
          <w:bottom w:w="0" w:type="dxa"/>
          <w:right w:w="0" w:type="dxa"/>
        </w:tblCellMar>
      </w:tblPr>
      <w:tblGrid>
        <w:gridCol w:w="1331"/>
        <w:gridCol w:w="1912"/>
        <w:gridCol w:w="1811"/>
        <w:gridCol w:w="1193"/>
        <w:gridCol w:w="1318"/>
        <w:gridCol w:w="1271"/>
        <w:gridCol w:w="1188"/>
        <w:gridCol w:w="978"/>
        <w:gridCol w:w="2110"/>
        <w:gridCol w:w="858"/>
      </w:tblGrid>
      <w:tr>
        <w:tblPrEx>
          <w:tblCellMar>
            <w:top w:w="0" w:type="dxa"/>
            <w:left w:w="0" w:type="dxa"/>
            <w:bottom w:w="0" w:type="dxa"/>
            <w:right w:w="0" w:type="dxa"/>
          </w:tblCellMar>
        </w:tblPrEx>
        <w:trPr>
          <w:trHeight w:val="397" w:hRule="atLeast"/>
          <w:tblHeader/>
        </w:trPr>
        <w:tc>
          <w:tcPr>
            <w:tcW w:w="3243" w:type="dxa"/>
            <w:gridSpan w:val="2"/>
            <w:vMerge w:val="restart"/>
            <w:tcBorders>
              <w:top w:val="single" w:color="000000" w:sz="4" w:space="0"/>
              <w:left w:val="single" w:color="000000" w:sz="4" w:space="0"/>
              <w:right w:val="single" w:color="auto"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项目类别</w:t>
            </w:r>
          </w:p>
        </w:tc>
        <w:tc>
          <w:tcPr>
            <w:tcW w:w="1811" w:type="dxa"/>
            <w:vMerge w:val="restart"/>
            <w:tcBorders>
              <w:top w:val="single" w:color="000000" w:sz="4" w:space="0"/>
              <w:left w:val="single" w:color="auto"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项目支出内容</w:t>
            </w:r>
          </w:p>
        </w:tc>
        <w:tc>
          <w:tcPr>
            <w:tcW w:w="3782"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数量</w:t>
            </w:r>
          </w:p>
        </w:tc>
        <w:tc>
          <w:tcPr>
            <w:tcW w:w="1188"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单价</w:t>
            </w:r>
          </w:p>
        </w:tc>
        <w:tc>
          <w:tcPr>
            <w:tcW w:w="978"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金额</w:t>
            </w:r>
          </w:p>
        </w:tc>
        <w:tc>
          <w:tcPr>
            <w:tcW w:w="2110"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编制依据</w:t>
            </w:r>
          </w:p>
        </w:tc>
        <w:tc>
          <w:tcPr>
            <w:tcW w:w="858"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CellMar>
            <w:top w:w="0" w:type="dxa"/>
            <w:left w:w="0" w:type="dxa"/>
            <w:bottom w:w="0" w:type="dxa"/>
            <w:right w:w="0" w:type="dxa"/>
          </w:tblCellMar>
        </w:tblPrEx>
        <w:trPr>
          <w:trHeight w:val="397" w:hRule="atLeast"/>
          <w:tblHeader/>
        </w:trPr>
        <w:tc>
          <w:tcPr>
            <w:tcW w:w="3243" w:type="dxa"/>
            <w:gridSpan w:val="2"/>
            <w:vMerge w:val="continue"/>
            <w:tcBorders>
              <w:left w:val="single" w:color="000000" w:sz="4" w:space="0"/>
              <w:bottom w:val="single" w:color="000000" w:sz="4" w:space="0"/>
              <w:right w:val="single" w:color="auto"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811" w:type="dxa"/>
            <w:vMerge w:val="continue"/>
            <w:tcBorders>
              <w:left w:val="single" w:color="auto"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3782"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年限数</w:t>
            </w:r>
          </w:p>
        </w:tc>
        <w:tc>
          <w:tcPr>
            <w:tcW w:w="1188"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978"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2110"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858"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r>
      <w:tr>
        <w:tblPrEx>
          <w:tblCellMar>
            <w:top w:w="0" w:type="dxa"/>
            <w:left w:w="0" w:type="dxa"/>
            <w:bottom w:w="0" w:type="dxa"/>
            <w:right w:w="0" w:type="dxa"/>
          </w:tblCellMar>
        </w:tblPrEx>
        <w:trPr>
          <w:trHeight w:val="480" w:hRule="atLeast"/>
        </w:trPr>
        <w:tc>
          <w:tcPr>
            <w:tcW w:w="10024" w:type="dxa"/>
            <w:gridSpan w:val="7"/>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r>
              <w:rPr>
                <w:rFonts w:hint="eastAsia" w:ascii="宋体" w:hAnsi="宋体" w:eastAsia="宋体" w:cs="宋体"/>
                <w:b/>
                <w:color w:val="000000"/>
                <w:kern w:val="0"/>
                <w:sz w:val="20"/>
                <w:szCs w:val="20"/>
                <w:lang w:bidi="ar"/>
              </w:rPr>
              <w:t>小计</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3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贷款贴息</w:t>
            </w:r>
          </w:p>
        </w:tc>
        <w:tc>
          <w:tcPr>
            <w:tcW w:w="1912"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贴息额不超过该企业产业</w:t>
            </w:r>
            <w:r>
              <w:rPr>
                <w:rFonts w:hint="eastAsia" w:ascii="宋体" w:hAnsi="宋体" w:eastAsia="宋体" w:cs="宋体"/>
                <w:color w:val="000000"/>
                <w:kern w:val="0"/>
                <w:sz w:val="20"/>
                <w:szCs w:val="20"/>
                <w:lang w:eastAsia="zh-CN" w:bidi="ar"/>
              </w:rPr>
              <w:t>发展</w:t>
            </w:r>
            <w:r>
              <w:rPr>
                <w:rFonts w:hint="eastAsia" w:ascii="宋体" w:hAnsi="宋体" w:eastAsia="宋体" w:cs="宋体"/>
                <w:color w:val="000000"/>
                <w:kern w:val="0"/>
                <w:sz w:val="20"/>
                <w:szCs w:val="20"/>
                <w:lang w:bidi="ar"/>
              </w:rPr>
              <w:t>项目贷款利息总额的50%（按基准贷款利率计算）</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243"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overflowPunct w:val="0"/>
              <w:autoSpaceDE w:val="0"/>
              <w:autoSpaceDN w:val="0"/>
              <w:adjustRightInd w:val="0"/>
              <w:snapToGrid/>
              <w:spacing w:line="240" w:lineRule="auto"/>
              <w:ind w:firstLine="0" w:firstLineChars="0"/>
              <w:jc w:val="center"/>
              <w:textAlignment w:val="baseline"/>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18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31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7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9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211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970" w:type="dxa"/>
            <w:gridSpan w:val="10"/>
            <w:tcBorders>
              <w:top w:val="single" w:color="auto" w:sz="4" w:space="0"/>
              <w:left w:val="nil"/>
              <w:bottom w:val="nil"/>
              <w:right w:val="nil"/>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bl>
    <w:p>
      <w:pPr>
        <w:jc w:val="right"/>
        <w:rPr>
          <w:b/>
          <w:bCs/>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snapToGrid/>
        <w:spacing w:line="300" w:lineRule="auto"/>
        <w:ind w:firstLine="0" w:firstLineChars="0"/>
        <w:jc w:val="center"/>
        <w:rPr>
          <w:rFonts w:hint="eastAsia" w:ascii="方正小标宋简体" w:hAnsi="方正小标宋简体" w:eastAsia="方正小标宋简体" w:cs="方正小标宋简体"/>
          <w:b w:val="0"/>
          <w:bCs w:val="0"/>
          <w:sz w:val="32"/>
          <w:szCs w:val="24"/>
        </w:rPr>
      </w:pPr>
      <w:r>
        <w:rPr>
          <w:rFonts w:hint="eastAsia" w:ascii="方正小标宋简体" w:hAnsi="方正小标宋简体" w:eastAsia="方正小标宋简体" w:cs="方正小标宋简体"/>
          <w:b w:val="0"/>
          <w:bCs w:val="0"/>
          <w:sz w:val="32"/>
          <w:szCs w:val="24"/>
        </w:rPr>
        <w:t>7.其他预算明细表</w:t>
      </w:r>
    </w:p>
    <w:p>
      <w:pPr>
        <w:adjustRightInd/>
        <w:snapToGrid/>
        <w:spacing w:line="240" w:lineRule="auto"/>
        <w:ind w:firstLine="0" w:firstLineChars="0"/>
        <w:jc w:val="righ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单位：元</w:t>
      </w:r>
    </w:p>
    <w:tbl>
      <w:tblPr>
        <w:tblStyle w:val="14"/>
        <w:tblW w:w="13970" w:type="dxa"/>
        <w:tblInd w:w="0" w:type="dxa"/>
        <w:tblLayout w:type="fixed"/>
        <w:tblCellMar>
          <w:top w:w="0" w:type="dxa"/>
          <w:left w:w="0" w:type="dxa"/>
          <w:bottom w:w="0" w:type="dxa"/>
          <w:right w:w="0" w:type="dxa"/>
        </w:tblCellMar>
      </w:tblPr>
      <w:tblGrid>
        <w:gridCol w:w="1568"/>
        <w:gridCol w:w="1613"/>
        <w:gridCol w:w="1809"/>
        <w:gridCol w:w="1258"/>
        <w:gridCol w:w="1258"/>
        <w:gridCol w:w="1261"/>
        <w:gridCol w:w="1230"/>
        <w:gridCol w:w="1199"/>
        <w:gridCol w:w="1887"/>
        <w:gridCol w:w="887"/>
      </w:tblGrid>
      <w:tr>
        <w:tblPrEx>
          <w:tblCellMar>
            <w:top w:w="0" w:type="dxa"/>
            <w:left w:w="0" w:type="dxa"/>
            <w:bottom w:w="0" w:type="dxa"/>
            <w:right w:w="0" w:type="dxa"/>
          </w:tblCellMar>
        </w:tblPrEx>
        <w:trPr>
          <w:trHeight w:val="397" w:hRule="atLeast"/>
          <w:tblHeader/>
        </w:trPr>
        <w:tc>
          <w:tcPr>
            <w:tcW w:w="3181" w:type="dxa"/>
            <w:gridSpan w:val="2"/>
            <w:vMerge w:val="restart"/>
            <w:tcBorders>
              <w:top w:val="single" w:color="000000" w:sz="4" w:space="0"/>
              <w:left w:val="single" w:color="000000" w:sz="4" w:space="0"/>
              <w:right w:val="single" w:color="auto"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项目类别</w:t>
            </w:r>
          </w:p>
        </w:tc>
        <w:tc>
          <w:tcPr>
            <w:tcW w:w="1809" w:type="dxa"/>
            <w:vMerge w:val="restart"/>
            <w:tcBorders>
              <w:top w:val="single" w:color="000000" w:sz="4" w:space="0"/>
              <w:left w:val="single" w:color="auto"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项目支出内容</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数量</w:t>
            </w:r>
          </w:p>
        </w:tc>
        <w:tc>
          <w:tcPr>
            <w:tcW w:w="1230"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单价</w:t>
            </w:r>
          </w:p>
        </w:tc>
        <w:tc>
          <w:tcPr>
            <w:tcW w:w="1199"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金额</w:t>
            </w:r>
          </w:p>
        </w:tc>
        <w:tc>
          <w:tcPr>
            <w:tcW w:w="1887"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编制依据</w:t>
            </w:r>
          </w:p>
        </w:tc>
        <w:tc>
          <w:tcPr>
            <w:tcW w:w="887" w:type="dxa"/>
            <w:vMerge w:val="restart"/>
            <w:tcBorders>
              <w:top w:val="single" w:color="000000" w:sz="4" w:space="0"/>
              <w:left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CellMar>
            <w:top w:w="0" w:type="dxa"/>
            <w:left w:w="0" w:type="dxa"/>
            <w:bottom w:w="0" w:type="dxa"/>
            <w:right w:w="0" w:type="dxa"/>
          </w:tblCellMar>
        </w:tblPrEx>
        <w:trPr>
          <w:trHeight w:val="397" w:hRule="atLeast"/>
          <w:tblHeader/>
        </w:trPr>
        <w:tc>
          <w:tcPr>
            <w:tcW w:w="3181" w:type="dxa"/>
            <w:gridSpan w:val="2"/>
            <w:vMerge w:val="continue"/>
            <w:tcBorders>
              <w:left w:val="single" w:color="000000" w:sz="4" w:space="0"/>
              <w:bottom w:val="single" w:color="000000" w:sz="4" w:space="0"/>
              <w:right w:val="single" w:color="auto"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809" w:type="dxa"/>
            <w:vMerge w:val="continue"/>
            <w:tcBorders>
              <w:left w:val="single" w:color="auto"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sz w:val="20"/>
                <w:szCs w:val="20"/>
              </w:rPr>
            </w:pPr>
          </w:p>
        </w:tc>
        <w:tc>
          <w:tcPr>
            <w:tcW w:w="1258"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人数</w:t>
            </w:r>
          </w:p>
        </w:tc>
        <w:tc>
          <w:tcPr>
            <w:tcW w:w="1258"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shd w:val="clear" w:color="auto" w:fill="BEBEBE" w:themeFill="background1" w:themeFillShade="BF"/>
                <w:lang w:bidi="ar"/>
              </w:rPr>
            </w:pPr>
            <w:r>
              <w:rPr>
                <w:rFonts w:hint="eastAsia" w:ascii="宋体" w:hAnsi="宋体" w:eastAsia="宋体" w:cs="宋体"/>
                <w:b/>
                <w:color w:val="000000"/>
                <w:kern w:val="0"/>
                <w:sz w:val="20"/>
                <w:szCs w:val="20"/>
                <w:lang w:bidi="ar"/>
              </w:rPr>
              <w:t>天数</w:t>
            </w:r>
          </w:p>
        </w:tc>
        <w:tc>
          <w:tcPr>
            <w:tcW w:w="1261"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shd w:val="clear" w:color="auto" w:fill="BEBEBE" w:themeFill="background1" w:themeFillShade="BF"/>
                <w:lang w:bidi="ar"/>
              </w:rPr>
            </w:pPr>
            <w:r>
              <w:rPr>
                <w:rFonts w:hint="eastAsia" w:ascii="宋体" w:hAnsi="宋体" w:eastAsia="宋体" w:cs="宋体"/>
                <w:b/>
                <w:color w:val="000000"/>
                <w:kern w:val="0"/>
                <w:sz w:val="20"/>
                <w:szCs w:val="20"/>
                <w:lang w:bidi="ar"/>
              </w:rPr>
              <w:t>次数</w:t>
            </w:r>
          </w:p>
        </w:tc>
        <w:tc>
          <w:tcPr>
            <w:tcW w:w="1230"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1199"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1887"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c>
          <w:tcPr>
            <w:tcW w:w="887" w:type="dxa"/>
            <w:vMerge w:val="continue"/>
            <w:tcBorders>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
                <w:color w:val="000000"/>
                <w:kern w:val="0"/>
                <w:sz w:val="20"/>
                <w:szCs w:val="20"/>
                <w:lang w:bidi="ar"/>
              </w:rPr>
            </w:pPr>
          </w:p>
        </w:tc>
      </w:tr>
      <w:tr>
        <w:tblPrEx>
          <w:tblCellMar>
            <w:top w:w="0" w:type="dxa"/>
            <w:left w:w="0" w:type="dxa"/>
            <w:bottom w:w="0" w:type="dxa"/>
            <w:right w:w="0" w:type="dxa"/>
          </w:tblCellMar>
        </w:tblPrEx>
        <w:trPr>
          <w:trHeight w:val="480" w:hRule="atLeast"/>
        </w:trPr>
        <w:tc>
          <w:tcPr>
            <w:tcW w:w="9997" w:type="dxa"/>
            <w:gridSpan w:val="7"/>
            <w:tcBorders>
              <w:top w:val="single" w:color="000000"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r>
              <w:rPr>
                <w:rFonts w:hint="eastAsia" w:ascii="宋体" w:hAnsi="宋体" w:eastAsia="宋体" w:cs="宋体"/>
                <w:b/>
                <w:bCs/>
                <w:color w:val="000000"/>
                <w:kern w:val="0"/>
                <w:sz w:val="20"/>
                <w:szCs w:val="20"/>
                <w:lang w:bidi="ar"/>
              </w:rPr>
              <w:t>小计</w:t>
            </w:r>
          </w:p>
        </w:tc>
        <w:tc>
          <w:tcPr>
            <w:tcW w:w="1199" w:type="dxa"/>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b/>
                <w:bCs/>
                <w:color w:val="000000"/>
                <w:kern w:val="0"/>
                <w:sz w:val="20"/>
                <w:szCs w:val="20"/>
                <w:lang w:bidi="ar"/>
              </w:rPr>
            </w:pPr>
          </w:p>
        </w:tc>
        <w:tc>
          <w:tcPr>
            <w:tcW w:w="188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b/>
                <w:color w:val="000000"/>
                <w:kern w:val="0"/>
                <w:sz w:val="20"/>
                <w:szCs w:val="20"/>
                <w:lang w:bidi="ar"/>
              </w:rPr>
              <w:t>——</w:t>
            </w:r>
          </w:p>
        </w:tc>
        <w:tc>
          <w:tcPr>
            <w:tcW w:w="88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r>
        <w:tblPrEx>
          <w:tblCellMar>
            <w:top w:w="0" w:type="dxa"/>
            <w:left w:w="0" w:type="dxa"/>
            <w:bottom w:w="0" w:type="dxa"/>
            <w:right w:w="0" w:type="dxa"/>
          </w:tblCellMar>
        </w:tblPrEx>
        <w:trPr>
          <w:trHeight w:val="480" w:hRule="atLeast"/>
        </w:trPr>
        <w:tc>
          <w:tcPr>
            <w:tcW w:w="3181"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相关技术、咨询服务</w:t>
            </w:r>
          </w:p>
        </w:tc>
        <w:tc>
          <w:tcPr>
            <w:tcW w:w="180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7"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技术咨询</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差旅费</w:t>
            </w:r>
          </w:p>
        </w:tc>
        <w:tc>
          <w:tcPr>
            <w:tcW w:w="180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7" w:type="dxa"/>
            <w:gridSpan w:val="3"/>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30"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会议费</w:t>
            </w:r>
          </w:p>
        </w:tc>
        <w:tc>
          <w:tcPr>
            <w:tcW w:w="180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专家/顾问咨询费</w:t>
            </w:r>
          </w:p>
        </w:tc>
        <w:tc>
          <w:tcPr>
            <w:tcW w:w="180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项目管理</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差旅费</w:t>
            </w:r>
          </w:p>
        </w:tc>
        <w:tc>
          <w:tcPr>
            <w:tcW w:w="180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7" w:type="dxa"/>
            <w:gridSpan w:val="3"/>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30"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会议费</w:t>
            </w:r>
          </w:p>
        </w:tc>
        <w:tc>
          <w:tcPr>
            <w:tcW w:w="180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专家/顾问咨询费</w:t>
            </w:r>
          </w:p>
        </w:tc>
        <w:tc>
          <w:tcPr>
            <w:tcW w:w="180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项目论证</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差旅费</w:t>
            </w:r>
          </w:p>
        </w:tc>
        <w:tc>
          <w:tcPr>
            <w:tcW w:w="180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7" w:type="dxa"/>
            <w:gridSpan w:val="3"/>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30"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会议费</w:t>
            </w:r>
          </w:p>
        </w:tc>
        <w:tc>
          <w:tcPr>
            <w:tcW w:w="180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专家/顾问咨询费</w:t>
            </w:r>
          </w:p>
        </w:tc>
        <w:tc>
          <w:tcPr>
            <w:tcW w:w="180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项目考核</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差旅费</w:t>
            </w:r>
          </w:p>
        </w:tc>
        <w:tc>
          <w:tcPr>
            <w:tcW w:w="180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7" w:type="dxa"/>
            <w:gridSpan w:val="3"/>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30"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会议费</w:t>
            </w:r>
          </w:p>
        </w:tc>
        <w:tc>
          <w:tcPr>
            <w:tcW w:w="180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专家/顾问咨询费</w:t>
            </w:r>
          </w:p>
        </w:tc>
        <w:tc>
          <w:tcPr>
            <w:tcW w:w="180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项目审计</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差旅费</w:t>
            </w:r>
          </w:p>
        </w:tc>
        <w:tc>
          <w:tcPr>
            <w:tcW w:w="180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7" w:type="dxa"/>
            <w:gridSpan w:val="3"/>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30"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8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会议费</w:t>
            </w:r>
          </w:p>
        </w:tc>
        <w:tc>
          <w:tcPr>
            <w:tcW w:w="180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60" w:hRule="atLeast"/>
        </w:trPr>
        <w:tc>
          <w:tcPr>
            <w:tcW w:w="1568"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bCs/>
                <w:color w:val="000000"/>
                <w:sz w:val="20"/>
                <w:szCs w:val="20"/>
              </w:rPr>
            </w:pPr>
            <w:r>
              <w:rPr>
                <w:rFonts w:hint="eastAsia" w:ascii="宋体" w:hAnsi="宋体" w:eastAsia="宋体" w:cs="宋体"/>
                <w:bCs/>
                <w:color w:val="000000"/>
                <w:sz w:val="20"/>
                <w:szCs w:val="20"/>
              </w:rPr>
              <w:t>专家/顾问咨询费</w:t>
            </w:r>
          </w:p>
        </w:tc>
        <w:tc>
          <w:tcPr>
            <w:tcW w:w="180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3777" w:type="dxa"/>
            <w:gridSpan w:val="3"/>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230"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199"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1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c>
          <w:tcPr>
            <w:tcW w:w="88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3181"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80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adjustRightInd/>
              <w:snapToGrid/>
              <w:spacing w:line="240" w:lineRule="auto"/>
              <w:ind w:firstLine="0" w:firstLineChars="0"/>
              <w:jc w:val="center"/>
              <w:textAlignment w:val="center"/>
              <w:rPr>
                <w:rFonts w:ascii="宋体" w:hAnsi="宋体" w:eastAsia="宋体" w:cs="宋体"/>
                <w:color w:val="000000"/>
                <w:kern w:val="0"/>
                <w:sz w:val="20"/>
                <w:szCs w:val="20"/>
                <w:lang w:bidi="ar"/>
              </w:rPr>
            </w:pPr>
          </w:p>
        </w:tc>
        <w:tc>
          <w:tcPr>
            <w:tcW w:w="3777"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18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c>
          <w:tcPr>
            <w:tcW w:w="8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adjustRightInd/>
              <w:snapToGrid/>
              <w:spacing w:line="240" w:lineRule="auto"/>
              <w:ind w:firstLine="0" w:firstLineChars="0"/>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13970" w:type="dxa"/>
            <w:gridSpan w:val="10"/>
            <w:tcBorders>
              <w:top w:val="single" w:color="auto" w:sz="4" w:space="0"/>
              <w:left w:val="nil"/>
              <w:bottom w:val="nil"/>
              <w:right w:val="nil"/>
            </w:tcBorders>
            <w:shd w:val="clear" w:color="auto" w:fill="auto"/>
            <w:tcMar>
              <w:top w:w="10" w:type="dxa"/>
              <w:left w:w="10" w:type="dxa"/>
              <w:right w:w="10" w:type="dxa"/>
            </w:tcMar>
            <w:vAlign w:val="center"/>
          </w:tcPr>
          <w:p>
            <w:pPr>
              <w:adjustRightInd/>
              <w:snapToGrid/>
              <w:spacing w:line="240" w:lineRule="auto"/>
              <w:ind w:firstLine="0" w:firstLineChars="0"/>
              <w:jc w:val="left"/>
              <w:rPr>
                <w:rFonts w:ascii="宋体" w:hAnsi="宋体" w:eastAsia="宋体" w:cs="宋体"/>
                <w:color w:val="000000"/>
                <w:sz w:val="20"/>
                <w:szCs w:val="20"/>
              </w:rPr>
            </w:pPr>
            <w:r>
              <w:rPr>
                <w:rFonts w:hint="eastAsia" w:ascii="宋体" w:hAnsi="宋体" w:eastAsia="宋体" w:cs="宋体"/>
                <w:color w:val="000000"/>
                <w:sz w:val="20"/>
                <w:szCs w:val="20"/>
              </w:rPr>
              <w:t>注:涉及多个出差、会议的分别列支。</w:t>
            </w: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napToGrid/>
        <w:spacing w:line="360" w:lineRule="auto"/>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八、项目申报单位意见</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vAlign w:val="top"/>
          </w:tcPr>
          <w:p>
            <w:pPr>
              <w:adjustRightInd/>
              <w:snapToGrid/>
              <w:spacing w:line="24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负责人签字:             </w:t>
            </w: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         单位公章:              </w:t>
            </w: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  年   月    日        </w:t>
            </w:r>
          </w:p>
          <w:p>
            <w:pPr>
              <w:adjustRightInd/>
              <w:snapToGrid/>
              <w:spacing w:line="240" w:lineRule="auto"/>
              <w:ind w:firstLine="0" w:firstLineChars="0"/>
              <w:rPr>
                <w:rFonts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cs="华文仿宋"/>
                <w:sz w:val="28"/>
                <w:szCs w:val="28"/>
              </w:rPr>
            </w:pPr>
            <w:r>
              <w:rPr>
                <w:rFonts w:hint="eastAsia" w:ascii="仿宋" w:hAnsi="仿宋" w:eastAsia="仿宋" w:cs="华文仿宋"/>
                <w:sz w:val="28"/>
                <w:szCs w:val="28"/>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华文仿宋"/>
                <w:sz w:val="28"/>
                <w:szCs w:val="28"/>
              </w:rPr>
            </w:pPr>
            <w:r>
              <w:rPr>
                <w:rFonts w:hint="eastAsia" w:ascii="仿宋" w:hAnsi="仿宋" w:eastAsia="仿宋" w:cs="华文仿宋"/>
                <w:sz w:val="28"/>
                <w:szCs w:val="28"/>
              </w:rPr>
              <w:t>本单位根据</w:t>
            </w:r>
            <w:r>
              <w:rPr>
                <w:rFonts w:hint="eastAsia" w:ascii="仿宋" w:hAnsi="仿宋" w:eastAsia="仿宋" w:cs="华文仿宋"/>
                <w:sz w:val="28"/>
                <w:szCs w:val="28"/>
                <w:u w:val="single"/>
              </w:rPr>
              <w:t xml:space="preserve">                    </w:t>
            </w:r>
            <w:r>
              <w:rPr>
                <w:rFonts w:hint="eastAsia" w:ascii="仿宋" w:hAnsi="仿宋" w:eastAsia="仿宋" w:cs="华文仿宋"/>
                <w:sz w:val="28"/>
                <w:szCs w:val="28"/>
              </w:rPr>
              <w:t>项目立项指南的要求，自愿提交项目（课题）申请书，在此郑重承诺：按照前述项目（课题）批复预算经费的</w:t>
            </w:r>
            <w:r>
              <w:rPr>
                <w:rFonts w:hint="eastAsia" w:ascii="仿宋" w:hAnsi="仿宋" w:eastAsia="仿宋" w:cs="华文仿宋"/>
                <w:sz w:val="28"/>
                <w:szCs w:val="28"/>
                <w:u w:val="single"/>
              </w:rPr>
              <w:t xml:space="preserve">     </w:t>
            </w:r>
            <w:r>
              <w:rPr>
                <w:rFonts w:hint="eastAsia" w:ascii="仿宋" w:hAnsi="仿宋" w:eastAsia="仿宋" w:cs="华文仿宋"/>
                <w:sz w:val="28"/>
                <w:szCs w:val="28"/>
              </w:rPr>
              <w:t>%（人民币</w:t>
            </w:r>
            <w:r>
              <w:rPr>
                <w:rFonts w:hint="eastAsia" w:ascii="仿宋" w:hAnsi="仿宋" w:eastAsia="仿宋" w:cs="华文仿宋"/>
                <w:sz w:val="28"/>
                <w:szCs w:val="28"/>
                <w:u w:val="single"/>
              </w:rPr>
              <w:t xml:space="preserve">        </w:t>
            </w:r>
            <w:r>
              <w:rPr>
                <w:rFonts w:hint="eastAsia" w:ascii="仿宋" w:hAnsi="仿宋" w:eastAsia="仿宋" w:cs="华文仿宋"/>
                <w:sz w:val="28"/>
                <w:szCs w:val="28"/>
              </w:rPr>
              <w:t>万元）进行自筹配套。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华文仿宋"/>
                <w:sz w:val="28"/>
                <w:szCs w:val="28"/>
              </w:rPr>
            </w:pPr>
            <w:r>
              <w:rPr>
                <w:rFonts w:hint="eastAsia" w:ascii="仿宋" w:hAnsi="仿宋" w:eastAsia="仿宋" w:cs="华文仿宋"/>
                <w:sz w:val="28"/>
                <w:szCs w:val="28"/>
              </w:rPr>
              <w:t>如有违反，本单位愿接受广东省农业农村厅做出的各项处理决定，包括但不限于停拨或核减资金，追回</w:t>
            </w:r>
            <w:r>
              <w:rPr>
                <w:rFonts w:hint="eastAsia" w:ascii="仿宋" w:hAnsi="仿宋" w:eastAsia="仿宋" w:cs="华文仿宋"/>
                <w:sz w:val="28"/>
                <w:szCs w:val="28"/>
                <w:lang w:eastAsia="zh-Hans"/>
              </w:rPr>
              <w:t>项目</w:t>
            </w:r>
            <w:r>
              <w:rPr>
                <w:rFonts w:hint="eastAsia" w:ascii="仿宋" w:hAnsi="仿宋" w:eastAsia="仿宋" w:cs="华文仿宋"/>
                <w:sz w:val="28"/>
                <w:szCs w:val="28"/>
              </w:rPr>
              <w:t>资金，取消一定期限</w:t>
            </w:r>
            <w:r>
              <w:rPr>
                <w:rFonts w:hint="eastAsia" w:ascii="仿宋" w:hAnsi="仿宋" w:eastAsia="仿宋" w:cs="华文仿宋"/>
                <w:sz w:val="28"/>
                <w:szCs w:val="28"/>
                <w:lang w:eastAsia="zh-Hans"/>
              </w:rPr>
              <w:t>广东省农业农村厅</w:t>
            </w:r>
            <w:r>
              <w:rPr>
                <w:rFonts w:hint="eastAsia" w:ascii="仿宋" w:hAnsi="仿宋" w:eastAsia="仿宋" w:cs="华文仿宋"/>
                <w:sz w:val="28"/>
                <w:szCs w:val="28"/>
              </w:rPr>
              <w:t>项目申报资格，记入</w:t>
            </w:r>
            <w:r>
              <w:rPr>
                <w:rFonts w:hint="eastAsia" w:ascii="仿宋" w:hAnsi="仿宋" w:eastAsia="仿宋" w:cs="华文仿宋"/>
                <w:sz w:val="28"/>
                <w:szCs w:val="28"/>
                <w:lang w:eastAsia="zh-Hans"/>
              </w:rPr>
              <w:t>广东省农业农村厅</w:t>
            </w:r>
            <w:r>
              <w:rPr>
                <w:rFonts w:hint="eastAsia" w:ascii="仿宋" w:hAnsi="仿宋" w:eastAsia="仿宋" w:cs="华文仿宋"/>
                <w:sz w:val="28"/>
                <w:szCs w:val="28"/>
              </w:rPr>
              <w:t>诚信异常名录等。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320" w:firstLineChars="1900"/>
              <w:jc w:val="both"/>
              <w:textAlignment w:val="auto"/>
              <w:outlineLvl w:val="9"/>
              <w:rPr>
                <w:rFonts w:ascii="仿宋" w:hAnsi="仿宋" w:eastAsia="仿宋" w:cs="华文仿宋"/>
                <w:sz w:val="28"/>
                <w:szCs w:val="28"/>
              </w:rPr>
            </w:pPr>
            <w:r>
              <w:rPr>
                <w:rFonts w:hint="eastAsia" w:ascii="仿宋" w:hAnsi="仿宋" w:eastAsia="仿宋" w:cs="华文仿宋"/>
                <w:sz w:val="28"/>
                <w:szCs w:val="28"/>
              </w:rPr>
              <w:t>出资单位（盖章）：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1800"/>
              <w:jc w:val="both"/>
              <w:textAlignment w:val="auto"/>
              <w:outlineLvl w:val="9"/>
              <w:rPr>
                <w:rFonts w:ascii="仿宋" w:hAnsi="仿宋" w:eastAsia="仿宋" w:cs="华文仿宋"/>
                <w:sz w:val="28"/>
                <w:szCs w:val="28"/>
              </w:rPr>
            </w:pPr>
            <w:r>
              <w:rPr>
                <w:rFonts w:hint="eastAsia" w:ascii="仿宋" w:hAnsi="仿宋" w:eastAsia="仿宋" w:cs="华文仿宋"/>
                <w:sz w:val="28"/>
                <w:szCs w:val="28"/>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宋体" w:cs="Times New Roman"/>
                <w:sz w:val="21"/>
                <w:szCs w:val="22"/>
              </w:rPr>
            </w:pPr>
            <w:r>
              <w:rPr>
                <w:rFonts w:hint="eastAsia" w:ascii="仿宋" w:hAnsi="仿宋" w:eastAsia="仿宋" w:cs="华文仿宋"/>
                <w:sz w:val="28"/>
                <w:szCs w:val="28"/>
              </w:rPr>
              <w:t xml:space="preserve">                                      年    月    日</w:t>
            </w:r>
          </w:p>
        </w:tc>
      </w:tr>
    </w:tbl>
    <w:p>
      <w:pPr>
        <w:adjustRightInd w:val="0"/>
        <w:snapToGrid/>
        <w:spacing w:line="360" w:lineRule="auto"/>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rPr>
        <w:br w:type="page"/>
      </w:r>
    </w:p>
    <w:p>
      <w:pPr>
        <w:adjustRightInd w:val="0"/>
        <w:snapToGrid/>
        <w:spacing w:line="360" w:lineRule="auto"/>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九、主管部门意见</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spacing w:line="36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val="0"/>
              <w:snapToGrid/>
              <w:spacing w:line="36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val="0"/>
              <w:snapToGrid/>
              <w:spacing w:line="36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adjustRightInd/>
              <w:snapToGrid/>
              <w:spacing w:line="240" w:lineRule="auto"/>
              <w:ind w:firstLine="0" w:firstLineChars="0"/>
              <w:rPr>
                <w:rFonts w:ascii="Times New Roman" w:hAnsi="Times New Roman" w:eastAsia="宋体" w:cs="Times New Roman"/>
                <w:sz w:val="21"/>
                <w:szCs w:val="22"/>
              </w:rPr>
            </w:pP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负责人签字:             </w:t>
            </w: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               </w:t>
            </w: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 单位公章:               </w:t>
            </w: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               </w:t>
            </w:r>
          </w:p>
          <w:p>
            <w:pPr>
              <w:wordWrap w:val="0"/>
              <w:adjustRightInd/>
              <w:snapToGrid/>
              <w:spacing w:line="240" w:lineRule="auto"/>
              <w:ind w:firstLine="0" w:firstLineChars="0"/>
              <w:jc w:val="right"/>
              <w:rPr>
                <w:rFonts w:ascii="Times New Roman" w:hAnsi="Times New Roman" w:eastAsia="宋体" w:cs="Times New Roman"/>
                <w:b/>
                <w:bCs/>
                <w:sz w:val="21"/>
                <w:szCs w:val="22"/>
              </w:rPr>
            </w:pPr>
            <w:r>
              <w:rPr>
                <w:rFonts w:hint="eastAsia" w:ascii="Times New Roman" w:hAnsi="Times New Roman" w:eastAsia="宋体" w:cs="Times New Roman"/>
                <w:b/>
                <w:bCs/>
                <w:sz w:val="21"/>
                <w:szCs w:val="22"/>
              </w:rPr>
              <w:t xml:space="preserve">          年   月    日         </w:t>
            </w:r>
          </w:p>
          <w:p>
            <w:pPr>
              <w:adjustRightInd/>
              <w:snapToGrid/>
              <w:spacing w:line="240" w:lineRule="auto"/>
              <w:ind w:firstLine="0" w:firstLineChars="0"/>
              <w:rPr>
                <w:rFonts w:ascii="Times New Roman" w:hAnsi="Times New Roman" w:eastAsia="宋体" w:cs="Times New Roman"/>
                <w:sz w:val="21"/>
                <w:szCs w:val="22"/>
              </w:rPr>
            </w:pPr>
          </w:p>
        </w:tc>
      </w:tr>
    </w:tbl>
    <w:p>
      <w:pPr>
        <w:adjustRightInd w:val="0"/>
        <w:snapToGrid/>
        <w:spacing w:line="360" w:lineRule="auto"/>
        <w:ind w:firstLine="560" w:firstLineChars="200"/>
        <w:rPr>
          <w:rFonts w:ascii="黑体" w:hAnsi="黑体" w:eastAsia="黑体" w:cs="黑体"/>
          <w:bCs/>
          <w:kern w:val="0"/>
          <w:sz w:val="28"/>
          <w:szCs w:val="28"/>
        </w:rPr>
      </w:pPr>
    </w:p>
    <w:p>
      <w:pPr>
        <w:rPr>
          <w:rFonts w:hint="default"/>
          <w:lang w:val="en-US" w:eastAsia="zh-CN"/>
        </w:rPr>
      </w:pPr>
    </w:p>
    <w:p>
      <w:pPr>
        <w:ind w:left="0" w:leftChars="0" w:firstLine="0" w:firstLineChars="0"/>
        <w:rPr>
          <w:rFonts w:hint="default"/>
          <w:lang w:val="en-US" w:eastAsia="zh-CN"/>
        </w:rPr>
        <w:sectPr>
          <w:headerReference r:id="rId42" w:type="default"/>
          <w:footerReference r:id="rId43" w:type="default"/>
          <w:pgSz w:w="11906" w:h="16838"/>
          <w:pgMar w:top="1440" w:right="1800" w:bottom="1440" w:left="1800" w:header="851" w:footer="992" w:gutter="0"/>
          <w:cols w:space="425" w:num="1"/>
          <w:docGrid w:type="lines" w:linePitch="312" w:charSpace="0"/>
        </w:sectPr>
      </w:pPr>
    </w:p>
    <w:p>
      <w:pPr>
        <w:pStyle w:val="7"/>
        <w:bidi w:val="0"/>
        <w:rPr>
          <w:rFonts w:hint="default"/>
          <w:lang w:val="en-US" w:eastAsia="zh-CN"/>
        </w:rPr>
      </w:pPr>
      <w:r>
        <w:rPr>
          <w:rFonts w:hint="eastAsia"/>
          <w:lang w:val="en-US" w:eastAsia="zh-CN"/>
        </w:rPr>
        <w:t>附件6</w:t>
      </w:r>
      <w:r>
        <w:rPr>
          <w:rFonts w:hint="default"/>
          <w:lang w:val="en-US" w:eastAsia="zh-CN"/>
        </w:rPr>
        <w:t>-</w:t>
      </w: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黑体" w:hAnsi="黑体" w:eastAsia="黑体" w:cs="黑体"/>
          <w:b/>
          <w:bCs/>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黑体" w:hAnsi="黑体" w:eastAsia="黑体" w:cs="黑体"/>
          <w:b/>
          <w:bCs/>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方正小标宋简体" w:hAnsi="方正小标宋简体" w:eastAsia="方正小标宋简体" w:cs="方正小标宋简体"/>
          <w:b w:val="0"/>
          <w:bCs w:val="0"/>
          <w:color w:val="auto"/>
          <w:spacing w:val="-6"/>
          <w:kern w:val="0"/>
          <w:sz w:val="28"/>
          <w:szCs w:val="28"/>
          <w:lang w:val="en-US" w:eastAsia="zh-CN"/>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广东省农业农村厅农业科技创新能力条件提升</w:t>
      </w: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p>
    <w:p>
      <w:pPr>
        <w:widowControl w:val="0"/>
        <w:bidi w:val="0"/>
        <w:adjustRightInd w:val="0"/>
        <w:snapToGrid w:val="0"/>
        <w:ind w:left="0" w:firstLine="0" w:firstLineChars="0"/>
        <w:jc w:val="center"/>
        <w:outlineLvl w:val="0"/>
        <w:rPr>
          <w:rFonts w:hint="eastAsia" w:ascii="楷体" w:hAnsi="楷体" w:eastAsia="方正小标宋简体" w:cs="楷体"/>
          <w:bCs/>
          <w:kern w:val="2"/>
          <w:sz w:val="44"/>
          <w:szCs w:val="32"/>
          <w:lang w:val="en-US" w:eastAsia="zh-CN" w:bidi="ar-SA"/>
        </w:rPr>
      </w:pPr>
      <w:r>
        <w:rPr>
          <w:rFonts w:hint="eastAsia" w:ascii="楷体" w:hAnsi="楷体" w:eastAsia="方正小标宋简体" w:cs="楷体"/>
          <w:bCs/>
          <w:kern w:val="2"/>
          <w:sz w:val="44"/>
          <w:szCs w:val="32"/>
          <w:lang w:val="en-US" w:eastAsia="zh-CN" w:bidi="ar-SA"/>
        </w:rPr>
        <w:t>（重点实验室）建设工程项目申报书模板</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jc w:val="center"/>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tbl>
      <w:tblPr>
        <w:tblStyle w:val="14"/>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项</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目</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名</w:t>
            </w:r>
            <w:r>
              <w:rPr>
                <w:rFonts w:hint="eastAsia" w:ascii="黑体" w:hAnsi="Times New Roman" w:eastAsia="黑体" w:cs="Times New Roman"/>
                <w:color w:val="auto"/>
                <w:sz w:val="28"/>
                <w:szCs w:val="28"/>
                <w:lang w:val="en-US" w:eastAsia="zh-CN"/>
              </w:rPr>
              <w:t xml:space="preserve"> </w:t>
            </w:r>
            <w:r>
              <w:rPr>
                <w:rFonts w:hint="eastAsia" w:ascii="黑体" w:hAnsi="Times New Roman" w:eastAsia="黑体" w:cs="Times New Roman"/>
                <w:color w:val="auto"/>
                <w:sz w:val="28"/>
                <w:szCs w:val="28"/>
              </w:rPr>
              <w:t>称：</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jc w:val="left"/>
              <w:textAlignment w:val="bottom"/>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单 位：</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项目</w:t>
            </w:r>
            <w:r>
              <w:rPr>
                <w:rFonts w:hint="eastAsia" w:ascii="黑体" w:hAnsi="Times New Roman" w:eastAsia="黑体" w:cs="Times New Roman"/>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黑体" w:hAnsi="宋体" w:eastAsia="黑体" w:cs="Times New Roman"/>
                <w:color w:val="auto"/>
                <w:sz w:val="28"/>
                <w:szCs w:val="28"/>
              </w:rPr>
            </w:pPr>
          </w:p>
        </w:tc>
      </w:tr>
      <w:t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lang w:val="en-US" w:eastAsia="zh-CN"/>
              </w:rPr>
              <w:t>主 管 单 位</w:t>
            </w:r>
            <w:r>
              <w:rPr>
                <w:rFonts w:hint="eastAsia" w:ascii="黑体" w:hAnsi="Times New Roman" w:eastAsia="黑体" w:cs="Times New Roman"/>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申 报 日 期：</w:t>
            </w:r>
          </w:p>
        </w:tc>
        <w:tc>
          <w:tcPr>
            <w:tcW w:w="5840"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616" w:firstLineChars="0"/>
              <w:textAlignment w:val="bottom"/>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  </w:t>
            </w:r>
            <w:r>
              <w:rPr>
                <w:rFonts w:ascii="Times New Roman" w:hAnsi="Times New Roman" w:eastAsia="宋体" w:cs="Times New Roman"/>
                <w:color w:val="auto"/>
                <w:sz w:val="28"/>
                <w:szCs w:val="28"/>
              </w:rPr>
              <w:t xml:space="preserve">  </w:t>
            </w:r>
            <w:r>
              <w:rPr>
                <w:rFonts w:hint="eastAsia" w:ascii="Times New Roman" w:hAnsi="Times New Roman" w:eastAsia="宋体" w:cs="Times New Roman"/>
                <w:color w:val="auto"/>
                <w:sz w:val="28"/>
                <w:szCs w:val="28"/>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黑体" w:hAnsi="Times New Roman" w:eastAsia="黑体" w:cs="Times New Roman"/>
                <w:color w:val="auto"/>
                <w:sz w:val="28"/>
                <w:szCs w:val="28"/>
              </w:rPr>
            </w:pP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616" w:firstLineChars="0"/>
              <w:textAlignment w:val="bottom"/>
              <w:rPr>
                <w:rFonts w:hint="eastAsia" w:ascii="Times New Roman" w:hAnsi="Times New Roman" w:eastAsia="宋体" w:cs="Times New Roman"/>
                <w:color w:val="auto"/>
                <w:sz w:val="28"/>
                <w:szCs w:val="28"/>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36" w:firstLineChars="0"/>
        <w:textAlignment w:val="bottom"/>
        <w:rPr>
          <w:rFonts w:ascii="宋体" w:hAnsi="宋体"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bottom"/>
        <w:outlineLvl w:val="1"/>
        <w:rPr>
          <w:rFonts w:ascii="宋体" w:hAnsi="宋体" w:eastAsia="宋体" w:cs="楷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ascii="Times New Roman" w:hAnsi="Times New Roman" w:eastAsia="宋体" w:cs="Times New Roman"/>
          <w:color w:val="auto"/>
          <w:sz w:val="28"/>
          <w:szCs w:val="28"/>
        </w:rPr>
      </w:pPr>
    </w:p>
    <w:p>
      <w:pPr>
        <w:widowControl w:val="0"/>
        <w:ind w:firstLine="0" w:firstLineChars="0"/>
        <w:jc w:val="both"/>
        <w:outlineLvl w:val="1"/>
        <w:rPr>
          <w:rFonts w:ascii="楷体" w:hAnsi="楷体" w:eastAsia="宋体" w:cs="楷体"/>
          <w:b/>
          <w:bCs/>
          <w:color w:val="auto"/>
          <w:kern w:val="2"/>
          <w:sz w:val="28"/>
          <w:szCs w:val="28"/>
          <w:lang w:val="en-US" w:eastAsia="zh-CN" w:bidi="ar-SA"/>
        </w:rPr>
      </w:pPr>
    </w:p>
    <w:p>
      <w:pPr>
        <w:adjustRightInd/>
        <w:snapToGrid/>
        <w:spacing w:line="240" w:lineRule="auto"/>
        <w:ind w:firstLine="0" w:firstLineChars="0"/>
        <w:rPr>
          <w:rFonts w:ascii="Times New Roman" w:hAnsi="Times New Roman" w:eastAsia="宋体" w:cs="Times New Roman"/>
          <w:color w:val="auto"/>
          <w:sz w:val="28"/>
          <w:szCs w:val="28"/>
        </w:rPr>
      </w:pPr>
    </w:p>
    <w:p>
      <w:pPr>
        <w:widowControl w:val="0"/>
        <w:ind w:firstLine="0" w:firstLineChars="0"/>
        <w:jc w:val="both"/>
        <w:outlineLvl w:val="1"/>
        <w:rPr>
          <w:rFonts w:ascii="楷体" w:hAnsi="楷体" w:eastAsia="宋体" w:cs="楷体"/>
          <w:b/>
          <w:bCs/>
          <w:color w:val="auto"/>
          <w:kern w:val="2"/>
          <w:sz w:val="28"/>
          <w:szCs w:val="28"/>
          <w:lang w:val="en-US" w:eastAsia="zh-CN" w:bidi="ar-SA"/>
        </w:rPr>
      </w:pPr>
    </w:p>
    <w:p>
      <w:pPr>
        <w:adjustRightInd/>
        <w:snapToGrid/>
        <w:spacing w:line="240" w:lineRule="auto"/>
        <w:ind w:firstLine="0" w:firstLineChars="0"/>
        <w:rPr>
          <w:rFonts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w:t>
      </w: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hint="eastAsia" w:ascii="楷体_GB2312" w:hAnsi="楷体_GB2312" w:eastAsia="楷体_GB2312" w:cs="楷体_GB2312"/>
          <w:b/>
          <w:bCs w:val="0"/>
          <w:color w:val="auto"/>
          <w:sz w:val="32"/>
          <w:szCs w:val="32"/>
        </w:rPr>
        <w:sectPr>
          <w:footerReference r:id="rId44"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both"/>
        <w:textAlignment w:val="bottom"/>
        <w:outlineLvl w:val="0"/>
        <w:rPr>
          <w:rFonts w:ascii="Times New Roman" w:hAnsi="Times New Roman" w:eastAsia="黑体" w:cs="Times New Roman"/>
          <w:color w:val="auto"/>
          <w:sz w:val="28"/>
          <w:szCs w:val="28"/>
        </w:rPr>
      </w:pPr>
      <w:r>
        <w:rPr>
          <w:rFonts w:ascii="Times New Roman" w:hAnsi="黑体" w:eastAsia="黑体" w:cs="Times New Roman"/>
          <w:color w:val="auto"/>
          <w:sz w:val="28"/>
          <w:szCs w:val="28"/>
        </w:rPr>
        <w:t>一、概论</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（一）项目名称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项目的全称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（二）主管部门</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项目主管部门的全称</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（三）建设单位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省级涉农科研机构或高等院校、事业单位以及具有科技优势的企业。</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（四）建设功能</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1、功能定位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农业农村部南方丘陵山区现代农业装备重点实验室是以“支撑现代农业和新农村建设，提高自主创新和产业核心竞争力，引领农林装备制造业跨越发展”为目标，致力于南方丘陵山区农林装备技术的创新与发展，以高度的责任感、使命感服务于中国农林现代化，力争成为该领域先进技术发源地、新产品辐射源和战略策源地，发挥在行业中的辐射带头作用，面向全行业开放服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2、项目具体实现目标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项目建设期内，新增省部级及以上课题数量，发表学术论文数量，申请国家发明专利数量，获得省部级科技成果奖项数量、关键技术产业化经济效益等具体目标。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（五）建设内容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重点建设实验室及科研实验一起设备，添置更新本项目研究所必需的大中型仪器设备，进行人才队伍建设，引进优秀人才等；建设对外开放实验平台，开展多形式、多层次的科研合作和学术交流。研合作等多种形式，积极吸引国内外的科研人员来实验室工作。建设科技</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服务平台。包括研究开发成果的转让应用、提供科技咨询、科技信息、为企业解决生产中的技术难题、质量体系建设服务、农机科技专业人才培养等服务。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（六）项目投资</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项目总投资</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本次估算范围由建筑工程费、新增设备采购费用、其他费用组成。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资金来源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项目总投资</w:t>
      </w:r>
      <w:r>
        <w:rPr>
          <w:rFonts w:hint="eastAsia" w:ascii="仿宋_GB2312" w:hAnsi="仿宋_GB2312" w:eastAsia="仿宋_GB2312" w:cs="仿宋_GB2312"/>
          <w:color w:val="auto"/>
          <w:sz w:val="28"/>
          <w:szCs w:val="28"/>
          <w:lang w:eastAsia="zh-CN"/>
        </w:rPr>
        <w:t>来源为</w:t>
      </w:r>
      <w:r>
        <w:rPr>
          <w:rFonts w:hint="eastAsia" w:ascii="仿宋_GB2312" w:hAnsi="仿宋_GB2312" w:eastAsia="仿宋_GB2312" w:cs="仿宋_GB2312"/>
          <w:color w:val="auto"/>
          <w:sz w:val="28"/>
          <w:szCs w:val="28"/>
        </w:rPr>
        <w:t>申请中央资金</w:t>
      </w:r>
      <w:r>
        <w:rPr>
          <w:rFonts w:hint="eastAsia" w:ascii="仿宋_GB2312" w:hAnsi="仿宋_GB2312" w:eastAsia="仿宋_GB2312" w:cs="仿宋_GB2312"/>
          <w:color w:val="auto"/>
          <w:sz w:val="28"/>
          <w:szCs w:val="28"/>
          <w:lang w:eastAsia="zh-CN"/>
        </w:rPr>
        <w:t>、省级财政资金、项目单位自筹资金等</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（七）建设期限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根据项目建设规模、内容、投资金额、资金筹措及到位情况，经分析确定项目项目建设需要的时间周期</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（八）项目效益</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项目经济效益、社会效益和生态效益，重点描述社会公共效益。</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both"/>
        <w:textAlignment w:val="bottom"/>
        <w:outlineLvl w:val="0"/>
        <w:rPr>
          <w:rFonts w:ascii="Times New Roman" w:hAnsi="黑体" w:eastAsia="黑体" w:cs="Times New Roman"/>
          <w:color w:val="auto"/>
          <w:sz w:val="28"/>
          <w:szCs w:val="28"/>
        </w:rPr>
      </w:pPr>
      <w:r>
        <w:rPr>
          <w:rFonts w:ascii="Times New Roman" w:hAnsi="黑体" w:eastAsia="黑体" w:cs="Times New Roman"/>
          <w:color w:val="auto"/>
          <w:sz w:val="28"/>
          <w:szCs w:val="28"/>
        </w:rPr>
        <w:t>二、项目背景与建设必要性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（一）政策背景</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1、政策和文件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说明支撑项目的有关国民经济、社会、产业发展宏观政策和文件情况。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2、规划情况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说明与项目区有关的农业及相关行业或区域发展规划、建设规划等的基本情况和要求。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rPr>
        <w:t>（二）区域背景</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1、区域经济、社会和农业现状与存在问题</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（1）说明与项目有关的区域经济状况及存在的主要问题。</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（2）项目是否符合地区或区域经济与农业发展的需要。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（3）区域的自然条件、资源状况是否满足项目建设的需要。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2、其他</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根据需要，简要说明社会、文化、历史、人文、宗教信仰等方面相关情况。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（三）项目由来</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简述项目提出的过程。</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（四）建设单位基本情况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1、业务职责</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单位的性质、基本职责、业务范围和内容，应附建设单位法人资格证书影印件。</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2、人员构成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单位人员组成情况，包括职工总人数、技术人员数、管理人员数、技术人员中各级专业技术人员数及承担本项目主要技术人员的基本情况。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3、能力水平</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说明与项目有关的主要技术成果与转化能力、专利技术及其获奖情况，包括优势学科领域、承担课题的能力、技术推广转化能力等。通常应附成果鉴定、专利、获奖证书影印件等。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说明与项目有关的主要产品规格、水平、产能、销量等情况。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4、基础条件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（1）现有基础设施和技术条件情况，包括土地、房产、主要农业科研仪器与农业机械设备、配套设施条件等。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（2）技术储备、项目储备、成果储备情况等。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（3）近5年已建同类项目的完成和运行情况，说明可在项目中发挥作用的设施、设备情况。</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、影响因素</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从政策、法规、社会、经济、资源、环境、单位能力等方面归纳影响项目建设的主要因素。</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（1）有利条件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归纳对项目建设和运行管理形成支撑的主要条件。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（2）不利因素</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说明制约项目建设和运行管理的主要问题。</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w:t>
      </w:r>
      <w:r>
        <w:rPr>
          <w:rFonts w:hint="eastAsia" w:ascii="Times New Roman" w:hAnsi="Times New Roman" w:eastAsia="楷体_GB2312" w:cs="Times New Roman"/>
          <w:color w:val="auto"/>
          <w:sz w:val="28"/>
          <w:szCs w:val="28"/>
          <w:lang w:eastAsia="zh-CN"/>
        </w:rPr>
        <w:t>五</w:t>
      </w:r>
      <w:r>
        <w:rPr>
          <w:rFonts w:ascii="Times New Roman" w:hAnsi="Times New Roman" w:eastAsia="楷体_GB2312" w:cs="Times New Roman"/>
          <w:color w:val="auto"/>
          <w:sz w:val="28"/>
          <w:szCs w:val="28"/>
        </w:rPr>
        <w:t>）项目建设必要性</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（1）从国家宏观经济发展方针、农业产业政策、行业及区域规划、技术政策等方面简述项目建设的依据和理由。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（2）地方区域的经济发展政策、农业产业发展规划、技术发展方向等方面简述项目建设的依据和理由。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2、社会经济发展必要性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w:t>根据</w:t>
      </w:r>
      <w:r>
        <w:rPr>
          <w:rFonts w:hint="eastAsia" w:ascii="仿宋_GB2312" w:hAnsi="仿宋_GB2312" w:eastAsia="仿宋_GB2312" w:cs="仿宋_GB2312"/>
          <w:color w:val="auto"/>
          <w:spacing w:val="-4"/>
          <w:sz w:val="28"/>
          <w:szCs w:val="28"/>
        </w:rPr>
        <w:t>地方经济、社会现状和发展需要，从项目新增产出品(公共服务)、投资效益角度简要说明项目建设的依据和理由。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3、可持续发展必要性</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从国家及地方环境保护、合理配置和有效利用资源、项目新增生态效益等方面简述项目建设的依据和理由。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4、建设单位的发展需要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根据建设单位的现状和发展要求，从项目新增经济效益和社会效益角度简述项目建设的依据和理由。</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ascii="Times New Roman" w:hAnsi="Times New Roman" w:eastAsia="黑体" w:cs="Times New Roman"/>
          <w:color w:val="auto"/>
          <w:sz w:val="28"/>
          <w:szCs w:val="28"/>
        </w:rPr>
      </w:pPr>
      <w:r>
        <w:rPr>
          <w:rFonts w:ascii="Times New Roman" w:hAnsi="黑体" w:eastAsia="黑体" w:cs="Times New Roman"/>
          <w:color w:val="auto"/>
          <w:sz w:val="28"/>
          <w:szCs w:val="28"/>
        </w:rPr>
        <w:t>三、项目选址</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（一）选址要求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从用地、交通、安全、场区布置、保护环境和生态等方面概述项目建设对选址的原则性要求。选址地点与位置应符合城镇发展规划，满足工程建设和生产工艺要求，并与周边环境相适应。</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（二）选址现状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说明项目选址的现状情况，分地点建设的应分别说明。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1、地点与位置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说明项目选址地点的具体位置，并提供地理位置图。</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（1）建设地点在城镇的，应说明所在地街道门牌号。</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（2）建设地点在乡村的，应说明所在乡镇或村队及具体地块位置。规模化的种植业生产项目，应说明所在农田的具体位置。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2、土地性质及规划</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（1）说明建设范围、占地面积及周边情况。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（2）说明场址所在地土地权属和用地解决方案，按照自有土地、已征(租)地、拟征(租)地等情况分别详细说明，并提供相关证明文件作为附件。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（3）分别说明土地利用规划、城乡建设规划对该地块的具体要求，并提供当地土地管理部门、规划管理部门的审查意见作为附件。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3、土地利用</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（1）说明选址地块现使用状况，包括地表(下)建(构)筑物、农业田间工程及设施、农作物种植及其他开发利用等情况。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（2）改扩建项目选址应详细说明场地现有建(构)筑物、各项设施等的基本情况。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（3）新增用地的项目应详细说明项目用地情况，并提出节约用地措施。对占用耕地的设施农业用地建设项目，应说明耕地占用与补充落实的情况。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hint="eastAsia" w:ascii="Times New Roman" w:hAnsi="黑体" w:eastAsia="黑体" w:cs="Times New Roman"/>
          <w:color w:val="auto"/>
          <w:sz w:val="28"/>
          <w:szCs w:val="28"/>
        </w:rPr>
      </w:pPr>
      <w:r>
        <w:rPr>
          <w:rFonts w:hint="eastAsia" w:ascii="Times New Roman" w:hAnsi="黑体" w:eastAsia="黑体" w:cs="Times New Roman"/>
          <w:color w:val="auto"/>
          <w:sz w:val="28"/>
          <w:szCs w:val="28"/>
          <w:lang w:val="en-US" w:eastAsia="zh-CN"/>
        </w:rPr>
        <w:t>四、技术方案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（一）</w:t>
      </w:r>
      <w:r>
        <w:rPr>
          <w:rFonts w:hint="eastAsia" w:ascii="Times New Roman" w:hAnsi="Times New Roman" w:eastAsia="楷体_GB2312" w:cs="Times New Roman"/>
          <w:color w:val="auto"/>
          <w:sz w:val="28"/>
          <w:szCs w:val="28"/>
          <w:lang w:val="en-US" w:eastAsia="zh-CN"/>
        </w:rPr>
        <w:t>主要研究内容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以服务产业发展为核心，在智慧农业、人工智能、农村整治、农业废弃物处理、现代农业装备等领域建设一批重点实验室，开展农业应用基础研究和共性关键技术研究，解决制约产业发展的关键和区域科技问题。</w:t>
      </w:r>
      <w:r>
        <w:rPr>
          <w:rFonts w:hint="eastAsia" w:ascii="仿宋_GB2312" w:hAnsi="仿宋_GB2312" w:eastAsia="仿宋_GB2312" w:cs="仿宋_GB2312"/>
          <w:color w:val="auto"/>
          <w:sz w:val="28"/>
          <w:szCs w:val="28"/>
          <w:lang w:eastAsia="zh-CN"/>
        </w:rPr>
        <w:t>对共性</w:t>
      </w:r>
      <w:r>
        <w:rPr>
          <w:rFonts w:hint="eastAsia" w:ascii="仿宋_GB2312" w:hAnsi="仿宋_GB2312" w:eastAsia="仿宋_GB2312" w:cs="仿宋_GB2312"/>
          <w:color w:val="auto"/>
          <w:sz w:val="28"/>
          <w:szCs w:val="28"/>
          <w:lang w:val="en-US" w:eastAsia="zh-CN"/>
        </w:rPr>
        <w:t>关键技术与智能装备研发</w:t>
      </w:r>
      <w:r>
        <w:rPr>
          <w:rFonts w:hint="eastAsia" w:ascii="仿宋_GB2312" w:hAnsi="仿宋_GB2312" w:eastAsia="仿宋_GB2312" w:cs="仿宋_GB2312"/>
          <w:color w:val="auto"/>
          <w:sz w:val="28"/>
          <w:szCs w:val="28"/>
          <w:lang w:eastAsia="zh-CN"/>
        </w:rPr>
        <w:t>方向进行详细说明。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（二）建设方案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设备方案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w:t>
      </w:r>
      <w:r>
        <w:rPr>
          <w:rFonts w:hint="eastAsia" w:ascii="仿宋_GB2312" w:hAnsi="仿宋_GB2312" w:eastAsia="仿宋_GB2312" w:cs="仿宋_GB2312"/>
          <w:color w:val="auto"/>
          <w:sz w:val="28"/>
          <w:szCs w:val="28"/>
          <w:lang w:eastAsia="zh-CN"/>
        </w:rPr>
        <w:t>试验</w:t>
      </w:r>
      <w:r>
        <w:rPr>
          <w:rFonts w:hint="eastAsia" w:ascii="仿宋_GB2312" w:hAnsi="仿宋_GB2312" w:eastAsia="仿宋_GB2312" w:cs="仿宋_GB2312"/>
          <w:color w:val="auto"/>
          <w:sz w:val="28"/>
          <w:szCs w:val="28"/>
        </w:rPr>
        <w:t>设备、辅助设备、管理设备等，结合技术流程和规模，说明设备的类型、规格型号、数量、先进性等。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建筑方案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包括项目所涉及到的</w:t>
      </w:r>
      <w:r>
        <w:rPr>
          <w:rFonts w:hint="eastAsia" w:ascii="仿宋_GB2312" w:hAnsi="仿宋_GB2312" w:eastAsia="仿宋_GB2312" w:cs="仿宋_GB2312"/>
          <w:color w:val="auto"/>
          <w:sz w:val="28"/>
          <w:szCs w:val="28"/>
          <w:lang w:eastAsia="zh-CN"/>
        </w:rPr>
        <w:t>实验室</w:t>
      </w:r>
      <w:r>
        <w:rPr>
          <w:rFonts w:hint="eastAsia" w:ascii="仿宋_GB2312" w:hAnsi="仿宋_GB2312" w:eastAsia="仿宋_GB2312" w:cs="仿宋_GB2312"/>
          <w:color w:val="auto"/>
          <w:sz w:val="28"/>
          <w:szCs w:val="28"/>
        </w:rPr>
        <w:t>面积（数量）、结构类型等。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改建、扩建、迁建项目应说明现有建筑（构筑物）情况及与项目衔接或可能的利用情况。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黑体" w:hAnsi="黑体" w:eastAsia="黑体" w:cs="黑体"/>
          <w:color w:val="auto"/>
          <w:sz w:val="28"/>
          <w:szCs w:val="28"/>
          <w:lang w:eastAsia="zh-CN"/>
        </w:rPr>
        <w:t>五、环境保护</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（一）编制依据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有关环境保护的法律、法规、标准及规范等。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（二）环境现状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1、场址及周边所在地的土壤、空气、水、噪声、生态及社会环境现状。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2、场址所在地的污染物排放标准。</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（三）环境影响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析拟建项目在工程建设和投人运营过程中对环境可能产生的破坏因素以及对环境的影响程度，包括废气、废水、固体废弃物、噪声、粉尘和其他废弃物的排放数量，水土流失情况，对地形、地貌、植被及整个流域和区域环境及生态系统的综合影响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1、项目建设对环境的影响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（1）对地形、地貌等自然环境的影响。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（2）对森林、草地植被的影响。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（3）对大气、地表水、地下水、土壤的影响。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（4）对社会环境、文物古迹、风景名胜区、水源保护区的影响。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2、项目产生的废弃物对环境的影响</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（1）分析说明项目建成后运行过程中产生的污染物情况。应说明污染物名称、产生点、产生量及排放量、排放方式，特殊废弃物需说明组成、特性及排放特征等。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（2）分析污染物发生的位置、特性，计算强度值及其对周围环境的危害程度等。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eastAsia" w:ascii="Times New Roman" w:hAnsi="Times New Roman" w:eastAsia="楷体_GB2312" w:cs="Times New Roman"/>
          <w:color w:val="auto"/>
          <w:sz w:val="28"/>
          <w:szCs w:val="28"/>
          <w:lang w:eastAsia="zh-CN"/>
        </w:rPr>
      </w:pPr>
      <w:r>
        <w:rPr>
          <w:rFonts w:hint="eastAsia" w:ascii="Times New Roman" w:hAnsi="Times New Roman" w:eastAsia="楷体_GB2312" w:cs="Times New Roman"/>
          <w:color w:val="auto"/>
          <w:sz w:val="28"/>
          <w:szCs w:val="28"/>
          <w:lang w:eastAsia="zh-CN"/>
        </w:rPr>
        <w:t>（四）污染物防治</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1、废气、粉(烟)尘的防治</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（1）综合治理措施(包括生产工艺改进、生产设备更新、改进管理等)及末端处理技术、工艺说明。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（2）治理后预期达到的效果与国家或当地允许排放标准的对比以及区域大气环境质量变化情况。</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2、废水处理</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（1）末端处理技术及工艺说明。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（2）废水经处理后的相关水质指标。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（3）废水处理后的利用。</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3、噪声控制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（1）说明噪声控制的主要措施，包括工艺、建筑、公用工程设计采用的降低噪声措施以及总平面设计结合功能分区的降噪措施。</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（2）说明采取控制措施后噪声是否符合有关标准的要求。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4、固体废弃物的综合利用及处置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固体废弃物的种类、无害化处置方法、二次污染的防范措施。</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5、农业面源污染的控制与防治</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减少面源污染的技术手段和工程措施，包括畜禽死尸等废弃物的无害化处置方法和畜禽粪污的综合循环利用，推广应用种、养业清洁生产模式、乡村清洁工程模式等。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6、其他污染的控制及防治</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如存在其他污染问题，则应根据生产过程的特点，说明污染来源、污染程度、污染的治理或防范措施，说明治理或采取的防范措施能否达到有关标准的要求。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7、绿化</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从大气、粉尘及噪声污染等保护环境角度对项目场区绿化的说明。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8、预期效果分析</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论述经采取防治环境污染的主要措施后，污染物的排放是否符合环境保护部门对建设项目环境保护规定的有关要求。</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ascii="Times New Roman" w:hAnsi="Times New Roman" w:eastAsia="黑体" w:cs="Times New Roman"/>
          <w:color w:val="auto"/>
          <w:sz w:val="28"/>
          <w:szCs w:val="28"/>
        </w:rPr>
      </w:pPr>
      <w:r>
        <w:rPr>
          <w:rFonts w:ascii="Times New Roman" w:hAnsi="黑体" w:eastAsia="黑体" w:cs="Times New Roman"/>
          <w:color w:val="auto"/>
          <w:sz w:val="28"/>
          <w:szCs w:val="28"/>
        </w:rPr>
        <w:t>六、投资估算和融资方案</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1"/>
        <w:rPr>
          <w:rFonts w:hint="default" w:ascii="Times New Roman" w:hAnsi="Times New Roman" w:eastAsia="楷体_GB2312" w:cs="Times New Roman"/>
          <w:color w:val="auto"/>
          <w:sz w:val="28"/>
          <w:szCs w:val="28"/>
        </w:rPr>
      </w:pPr>
      <w:bookmarkStart w:id="177" w:name="_Toc21713"/>
      <w:r>
        <w:rPr>
          <w:rFonts w:hint="default" w:ascii="Times New Roman" w:hAnsi="Times New Roman" w:eastAsia="楷体_GB2312" w:cs="Times New Roman"/>
          <w:color w:val="auto"/>
          <w:sz w:val="28"/>
          <w:szCs w:val="28"/>
        </w:rPr>
        <w:t>（一）投资估算</w:t>
      </w:r>
      <w:bookmarkEnd w:id="177"/>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1、投资估算编制说明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（1）编制范围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总投资</w:t>
      </w:r>
      <w:r>
        <w:rPr>
          <w:rFonts w:hint="eastAsia" w:ascii="仿宋_GB2312" w:hAnsi="仿宋_GB2312" w:eastAsia="仿宋_GB2312" w:cs="仿宋_GB2312"/>
          <w:color w:val="auto"/>
          <w:sz w:val="28"/>
          <w:szCs w:val="28"/>
          <w:lang w:val="en-US" w:eastAsia="zh-CN"/>
        </w:rPr>
        <w:t>包含建筑工程费、仪器设备费用、其他费用</w:t>
      </w:r>
      <w:r>
        <w:rPr>
          <w:rFonts w:hint="default"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（2）编制依据</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fldChar w:fldCharType="begin"/>
      </w:r>
      <w:r>
        <w:rPr>
          <w:rFonts w:hint="default" w:ascii="仿宋_GB2312" w:hAnsi="仿宋_GB2312" w:eastAsia="仿宋_GB2312" w:cs="仿宋_GB2312"/>
          <w:color w:val="auto"/>
          <w:sz w:val="28"/>
          <w:szCs w:val="28"/>
        </w:rPr>
        <w:instrText xml:space="preserve"> = 1 \* GB3 \* MERGEFORMAT </w:instrText>
      </w:r>
      <w:r>
        <w:rPr>
          <w:rFonts w:hint="default" w:ascii="仿宋_GB2312" w:hAnsi="仿宋_GB2312" w:eastAsia="仿宋_GB2312" w:cs="仿宋_GB2312"/>
          <w:color w:val="auto"/>
          <w:sz w:val="28"/>
          <w:szCs w:val="28"/>
        </w:rPr>
        <w:fldChar w:fldCharType="separate"/>
      </w:r>
      <w:r>
        <w:rPr>
          <w:rFonts w:hint="default" w:ascii="仿宋_GB2312" w:hAnsi="仿宋_GB2312" w:eastAsia="仿宋_GB2312" w:cs="仿宋_GB2312"/>
          <w:color w:val="auto"/>
          <w:sz w:val="28"/>
          <w:szCs w:val="28"/>
        </w:rPr>
        <w:t>①</w:t>
      </w:r>
      <w:r>
        <w:rPr>
          <w:rFonts w:hint="default" w:ascii="仿宋_GB2312" w:hAnsi="仿宋_GB2312" w:eastAsia="仿宋_GB2312" w:cs="仿宋_GB2312"/>
          <w:color w:val="auto"/>
          <w:sz w:val="28"/>
          <w:szCs w:val="28"/>
        </w:rPr>
        <w:fldChar w:fldCharType="end"/>
      </w:r>
      <w:r>
        <w:rPr>
          <w:rFonts w:hint="default" w:ascii="仿宋_GB2312" w:hAnsi="仿宋_GB2312" w:eastAsia="仿宋_GB2312" w:cs="仿宋_GB2312"/>
          <w:color w:val="auto"/>
          <w:sz w:val="28"/>
          <w:szCs w:val="28"/>
        </w:rPr>
        <w:t>《农业建设项目投资估算内容和方法》(NY/ T 1716-2009)</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fldChar w:fldCharType="begin"/>
      </w:r>
      <w:r>
        <w:rPr>
          <w:rFonts w:hint="default" w:ascii="仿宋_GB2312" w:hAnsi="仿宋_GB2312" w:eastAsia="仿宋_GB2312" w:cs="仿宋_GB2312"/>
          <w:color w:val="auto"/>
          <w:sz w:val="28"/>
          <w:szCs w:val="28"/>
        </w:rPr>
        <w:instrText xml:space="preserve"> = 2 \* GB3 \* MERGEFORMAT </w:instrText>
      </w:r>
      <w:r>
        <w:rPr>
          <w:rFonts w:hint="default" w:ascii="仿宋_GB2312" w:hAnsi="仿宋_GB2312" w:eastAsia="仿宋_GB2312" w:cs="仿宋_GB2312"/>
          <w:color w:val="auto"/>
          <w:sz w:val="28"/>
          <w:szCs w:val="28"/>
        </w:rPr>
        <w:fldChar w:fldCharType="separate"/>
      </w:r>
      <w:r>
        <w:rPr>
          <w:rFonts w:hint="default" w:ascii="仿宋_GB2312" w:hAnsi="仿宋_GB2312" w:eastAsia="仿宋_GB2312" w:cs="仿宋_GB2312"/>
          <w:color w:val="auto"/>
          <w:sz w:val="28"/>
          <w:szCs w:val="28"/>
        </w:rPr>
        <w:t>②</w:t>
      </w:r>
      <w:r>
        <w:rPr>
          <w:rFonts w:hint="default" w:ascii="仿宋_GB2312" w:hAnsi="仿宋_GB2312" w:eastAsia="仿宋_GB2312" w:cs="仿宋_GB2312"/>
          <w:color w:val="auto"/>
          <w:sz w:val="28"/>
          <w:szCs w:val="28"/>
        </w:rPr>
        <w:fldChar w:fldCharType="end"/>
      </w:r>
      <w:r>
        <w:rPr>
          <w:rFonts w:hint="default" w:ascii="仿宋_GB2312" w:hAnsi="仿宋_GB2312" w:eastAsia="仿宋_GB2312" w:cs="仿宋_GB2312"/>
          <w:color w:val="auto"/>
          <w:sz w:val="28"/>
          <w:szCs w:val="28"/>
        </w:rPr>
        <w:t>农机具及仪器设备费按国内生产厂家发布价及市场价格，适当调整进行估算；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fldChar w:fldCharType="begin"/>
      </w:r>
      <w:r>
        <w:rPr>
          <w:rFonts w:hint="default" w:ascii="仿宋_GB2312" w:hAnsi="仿宋_GB2312" w:eastAsia="仿宋_GB2312" w:cs="仿宋_GB2312"/>
          <w:color w:val="auto"/>
          <w:sz w:val="28"/>
          <w:szCs w:val="28"/>
        </w:rPr>
        <w:instrText xml:space="preserve"> = 3 \* GB3 \* MERGEFORMAT </w:instrText>
      </w:r>
      <w:r>
        <w:rPr>
          <w:rFonts w:hint="default" w:ascii="仿宋_GB2312" w:hAnsi="仿宋_GB2312" w:eastAsia="仿宋_GB2312" w:cs="仿宋_GB2312"/>
          <w:color w:val="auto"/>
          <w:sz w:val="28"/>
          <w:szCs w:val="28"/>
        </w:rPr>
        <w:fldChar w:fldCharType="separate"/>
      </w:r>
      <w:r>
        <w:rPr>
          <w:rFonts w:hint="default" w:ascii="仿宋_GB2312" w:hAnsi="仿宋_GB2312" w:eastAsia="仿宋_GB2312" w:cs="仿宋_GB2312"/>
          <w:color w:val="auto"/>
          <w:sz w:val="28"/>
          <w:szCs w:val="28"/>
        </w:rPr>
        <w:t>③</w:t>
      </w:r>
      <w:r>
        <w:rPr>
          <w:rFonts w:hint="default" w:ascii="仿宋_GB2312" w:hAnsi="仿宋_GB2312" w:eastAsia="仿宋_GB2312" w:cs="仿宋_GB2312"/>
          <w:color w:val="auto"/>
          <w:sz w:val="28"/>
          <w:szCs w:val="28"/>
        </w:rPr>
        <w:fldChar w:fldCharType="end"/>
      </w:r>
      <w:r>
        <w:rPr>
          <w:rFonts w:hint="default" w:ascii="仿宋_GB2312" w:hAnsi="仿宋_GB2312" w:eastAsia="仿宋_GB2312" w:cs="仿宋_GB2312"/>
          <w:color w:val="auto"/>
          <w:sz w:val="28"/>
          <w:szCs w:val="28"/>
        </w:rPr>
        <w:t>工程建设其它费用按国家及</w:t>
      </w:r>
      <w:r>
        <w:rPr>
          <w:rFonts w:hint="eastAsia" w:ascii="仿宋_GB2312" w:hAnsi="仿宋_GB2312" w:eastAsia="仿宋_GB2312" w:cs="仿宋_GB2312"/>
          <w:color w:val="auto"/>
          <w:sz w:val="28"/>
          <w:szCs w:val="28"/>
          <w:lang w:val="en-US" w:eastAsia="zh-CN"/>
        </w:rPr>
        <w:t>广东</w:t>
      </w:r>
      <w:r>
        <w:rPr>
          <w:rFonts w:hint="default" w:ascii="仿宋_GB2312" w:hAnsi="仿宋_GB2312" w:eastAsia="仿宋_GB2312" w:cs="仿宋_GB2312"/>
          <w:color w:val="auto"/>
          <w:sz w:val="28"/>
          <w:szCs w:val="28"/>
        </w:rPr>
        <w:t>省有关规定估算。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2、投资估算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工程总投资</w:t>
      </w:r>
      <w:r>
        <w:rPr>
          <w:rFonts w:hint="eastAsia" w:ascii="仿宋_GB2312" w:hAnsi="仿宋_GB2312" w:eastAsia="仿宋_GB2312" w:cs="仿宋_GB2312"/>
          <w:color w:val="auto"/>
          <w:sz w:val="28"/>
          <w:szCs w:val="28"/>
          <w:lang w:val="en-US" w:eastAsia="zh-CN"/>
        </w:rPr>
        <w:t>包含建筑工程费、仪器设备费用、其他费用。</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建筑工程费：土建工程费用、室内装修工程费用、给排水工程费用、消防系统工程费用、弱电工程费用、电气照明工程费用、室外工程费用等；</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仪器设备费用：用于组建各功能实验室需采购的大型设备；</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其他费用：实验室运行费用：用于实验室基本日常运行维护与人员支出费用；开放基金费用：用于实验室每年计划设置的针对南方丘陵山区智能农业装备方面研究的对外开放基金申报经费支持；</w:t>
      </w:r>
    </w:p>
    <w:p>
      <w:pPr>
        <w:keepNext w:val="0"/>
        <w:keepLines w:val="0"/>
        <w:pageBreakBefore w:val="0"/>
        <w:widowControl w:val="0"/>
        <w:kinsoku/>
        <w:wordWrap/>
        <w:overflowPunct/>
        <w:topLinePunct w:val="0"/>
        <w:autoSpaceDE/>
        <w:autoSpaceDN/>
        <w:bidi w:val="0"/>
        <w:adjustRightInd/>
        <w:snapToGrid w:val="0"/>
        <w:spacing w:line="420" w:lineRule="atLeast"/>
        <w:ind w:firstLine="0" w:firstLineChars="0"/>
        <w:jc w:val="center"/>
        <w:textAlignment w:val="bottom"/>
        <w:outlineLvl w:val="3"/>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sz w:val="28"/>
          <w:szCs w:val="28"/>
        </w:rPr>
        <w:t>表</w:t>
      </w:r>
      <w:r>
        <w:rPr>
          <w:rFonts w:hint="eastAsia" w:ascii="黑体" w:hAnsi="黑体" w:eastAsia="黑体" w:cs="黑体"/>
          <w:b w:val="0"/>
          <w:bCs w:val="0"/>
          <w:color w:val="auto"/>
          <w:sz w:val="28"/>
          <w:szCs w:val="28"/>
          <w:lang w:val="en-US" w:eastAsia="zh-CN"/>
        </w:rPr>
        <w:t xml:space="preserve">1     </w:t>
      </w:r>
      <w:r>
        <w:rPr>
          <w:rFonts w:hint="eastAsia" w:ascii="黑体" w:hAnsi="黑体" w:eastAsia="黑体" w:cs="黑体"/>
          <w:b w:val="0"/>
          <w:bCs w:val="0"/>
          <w:i w:val="0"/>
          <w:color w:val="auto"/>
          <w:kern w:val="0"/>
          <w:sz w:val="28"/>
          <w:szCs w:val="28"/>
          <w:u w:val="single"/>
          <w:lang w:val="en-US" w:eastAsia="zh-CN" w:bidi="ar"/>
        </w:rPr>
        <w:t xml:space="preserve">  xx项目  </w:t>
      </w:r>
      <w:r>
        <w:rPr>
          <w:rFonts w:hint="eastAsia" w:ascii="黑体" w:hAnsi="黑体" w:eastAsia="黑体" w:cs="黑体"/>
          <w:b w:val="0"/>
          <w:bCs w:val="0"/>
          <w:color w:val="auto"/>
          <w:kern w:val="0"/>
          <w:sz w:val="28"/>
          <w:szCs w:val="28"/>
          <w:lang w:val="en-US" w:eastAsia="zh-CN"/>
        </w:rPr>
        <w:t>总投资估算总表</w:t>
      </w:r>
    </w:p>
    <w:tbl>
      <w:tblPr>
        <w:tblStyle w:val="14"/>
        <w:tblW w:w="99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32"/>
        <w:gridCol w:w="2827"/>
        <w:gridCol w:w="907"/>
        <w:gridCol w:w="766"/>
        <w:gridCol w:w="1600"/>
        <w:gridCol w:w="1132"/>
        <w:gridCol w:w="971"/>
        <w:gridCol w:w="9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tblHeader/>
          <w:jc w:val="center"/>
        </w:trPr>
        <w:tc>
          <w:tcPr>
            <w:tcW w:w="732"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序号</w:t>
            </w:r>
          </w:p>
        </w:tc>
        <w:tc>
          <w:tcPr>
            <w:tcW w:w="2827"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工程和费用名称</w:t>
            </w:r>
          </w:p>
        </w:tc>
        <w:tc>
          <w:tcPr>
            <w:tcW w:w="3273" w:type="dxa"/>
            <w:gridSpan w:val="3"/>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技术经济指标</w:t>
            </w:r>
          </w:p>
        </w:tc>
        <w:tc>
          <w:tcPr>
            <w:tcW w:w="1132"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估算价值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（万元）</w:t>
            </w:r>
          </w:p>
        </w:tc>
        <w:tc>
          <w:tcPr>
            <w:tcW w:w="97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占总投资比例（%）</w:t>
            </w:r>
          </w:p>
        </w:tc>
        <w:tc>
          <w:tcPr>
            <w:tcW w:w="983"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tblHeader/>
          <w:jc w:val="center"/>
        </w:trPr>
        <w:tc>
          <w:tcPr>
            <w:tcW w:w="732"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p>
        </w:tc>
        <w:tc>
          <w:tcPr>
            <w:tcW w:w="2827"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单位</w:t>
            </w: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数量</w:t>
            </w: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单位价值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（万元）</w:t>
            </w:r>
          </w:p>
        </w:tc>
        <w:tc>
          <w:tcPr>
            <w:tcW w:w="1132"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p>
        </w:tc>
        <w:tc>
          <w:tcPr>
            <w:tcW w:w="971"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p>
        </w:tc>
        <w:tc>
          <w:tcPr>
            <w:tcW w:w="983"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黑体" w:hAnsi="黑体" w:eastAsia="黑体" w:cs="黑体"/>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一、</w:t>
            </w: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建筑工程费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w:t>
            </w: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bottom"/>
              <w:rPr>
                <w:rFonts w:hint="eastAsia" w:ascii="仿宋_GB2312" w:hAnsi="仿宋_GB2312" w:eastAsia="仿宋_GB2312" w:cs="仿宋_GB2312"/>
                <w:i w:val="0"/>
                <w:color w:val="auto"/>
                <w:sz w:val="22"/>
                <w:szCs w:val="22"/>
                <w:u w:val="none"/>
                <w:lang w:eastAsia="zh-CN"/>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w:t>
            </w: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二</w:t>
            </w: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仪器设备购置安装费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lang w:val="en-US" w:eastAsia="zh-CN"/>
              </w:rPr>
            </w:pP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lang w:val="en-US" w:eastAsia="zh-CN"/>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kern w:val="0"/>
                <w:sz w:val="22"/>
                <w:szCs w:val="22"/>
                <w:u w:val="none"/>
                <w:lang w:val="en-US" w:eastAsia="zh-CN" w:bidi="ar"/>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三</w:t>
            </w: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工程建设其他费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2827" w:type="dxa"/>
            <w:tcBorders>
              <w:tl2br w:val="nil"/>
              <w:tr2bl w:val="nil"/>
            </w:tcBorders>
            <w:tcMar>
              <w:top w:w="15" w:type="dxa"/>
              <w:left w:w="15" w:type="dxa"/>
              <w:right w:w="15" w:type="dxa"/>
            </w:tcMar>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26" w:leftChars="0" w:right="21" w:hanging="26" w:hangingChars="12"/>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开放基金项目支持</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2827" w:type="dxa"/>
            <w:tcBorders>
              <w:tl2br w:val="nil"/>
              <w:tr2bl w:val="nil"/>
            </w:tcBorders>
            <w:tcMar>
              <w:top w:w="15" w:type="dxa"/>
              <w:left w:w="15" w:type="dxa"/>
              <w:right w:w="15" w:type="dxa"/>
            </w:tcMar>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26" w:leftChars="0" w:right="98" w:rightChars="0" w:hanging="26" w:hangingChars="12"/>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基础硬件建设与维护</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2827" w:type="dxa"/>
            <w:tcBorders>
              <w:tl2br w:val="nil"/>
              <w:tr2bl w:val="nil"/>
            </w:tcBorders>
            <w:tcMar>
              <w:top w:w="15" w:type="dxa"/>
              <w:left w:w="15" w:type="dxa"/>
              <w:right w:w="15" w:type="dxa"/>
            </w:tcMar>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26" w:leftChars="0" w:right="21" w:hanging="26" w:hangingChars="12"/>
              <w:jc w:val="center"/>
              <w:textAlignment w:val="bottom"/>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实验室人员与运行经费</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n</w:t>
            </w: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w:t>
            </w: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四</w:t>
            </w:r>
          </w:p>
        </w:tc>
        <w:tc>
          <w:tcPr>
            <w:tcW w:w="282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总估算</w:t>
            </w:r>
          </w:p>
        </w:tc>
        <w:tc>
          <w:tcPr>
            <w:tcW w:w="90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766"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60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3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98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left"/>
        <w:textAlignment w:val="bottom"/>
        <w:outlineLvl w:val="1"/>
        <w:rPr>
          <w:rFonts w:hint="eastAsia" w:ascii="楷体_GB2312" w:hAnsi="Times New Roman" w:eastAsia="楷体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jc w:val="left"/>
        <w:textAlignment w:val="bottom"/>
        <w:outlineLvl w:val="1"/>
        <w:rPr>
          <w:rFonts w:hint="eastAsia" w:ascii="楷体_GB2312" w:hAnsi="Times New Roman" w:eastAsia="楷体_GB2312" w:cs="Times New Roman"/>
          <w:color w:val="auto"/>
          <w:sz w:val="28"/>
          <w:szCs w:val="28"/>
          <w:lang w:eastAsia="zh-CN"/>
        </w:rPr>
      </w:pPr>
      <w:r>
        <w:rPr>
          <w:rFonts w:hint="eastAsia" w:ascii="楷体_GB2312" w:hAnsi="Times New Roman" w:eastAsia="楷体_GB2312" w:cs="Times New Roman"/>
          <w:color w:val="auto"/>
          <w:sz w:val="28"/>
          <w:szCs w:val="28"/>
        </w:rPr>
        <w:t>（二）</w:t>
      </w:r>
      <w:r>
        <w:rPr>
          <w:rFonts w:hint="eastAsia" w:ascii="楷体_GB2312" w:hAnsi="Times New Roman" w:eastAsia="楷体_GB2312" w:cs="Times New Roman"/>
          <w:color w:val="auto"/>
          <w:sz w:val="28"/>
          <w:szCs w:val="28"/>
          <w:lang w:eastAsia="zh-CN"/>
        </w:rPr>
        <w:t>资金筹措</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项目总投资</w:t>
      </w:r>
      <w:r>
        <w:rPr>
          <w:rFonts w:hint="eastAsia" w:ascii="仿宋_GB2312" w:hAnsi="仿宋_GB2312" w:eastAsia="仿宋_GB2312" w:cs="仿宋_GB2312"/>
          <w:color w:val="auto"/>
          <w:sz w:val="28"/>
          <w:szCs w:val="28"/>
          <w:lang w:eastAsia="zh-CN"/>
        </w:rPr>
        <w:t>来源为</w:t>
      </w:r>
      <w:r>
        <w:rPr>
          <w:rFonts w:hint="eastAsia" w:ascii="仿宋_GB2312" w:hAnsi="仿宋_GB2312" w:eastAsia="仿宋_GB2312" w:cs="仿宋_GB2312"/>
          <w:color w:val="auto"/>
          <w:sz w:val="28"/>
          <w:szCs w:val="28"/>
        </w:rPr>
        <w:t>申请中央资金</w:t>
      </w:r>
      <w:r>
        <w:rPr>
          <w:rFonts w:hint="eastAsia" w:ascii="仿宋_GB2312" w:hAnsi="仿宋_GB2312" w:eastAsia="仿宋_GB2312" w:cs="仿宋_GB2312"/>
          <w:color w:val="auto"/>
          <w:sz w:val="28"/>
          <w:szCs w:val="28"/>
          <w:lang w:eastAsia="zh-CN"/>
        </w:rPr>
        <w:t>、省级财政资金、项目单位自筹资金等</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20" w:lineRule="exact"/>
        <w:textAlignment w:val="bottom"/>
        <w:outlineLvl w:val="2"/>
        <w:rPr>
          <w:rFonts w:hint="eastAsia" w:ascii="仿宋_GB2312" w:hAnsi="仿宋_GB2312" w:eastAsia="仿宋_GB2312" w:cs="仿宋_GB2312"/>
          <w:color w:val="auto"/>
          <w:sz w:val="28"/>
          <w:szCs w:val="28"/>
        </w:rPr>
        <w:sectPr>
          <w:footerReference r:id="rId45"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附表：</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outlineLvl w:val="1"/>
        <w:rPr>
          <w:rFonts w:hint="default" w:ascii="楷体" w:hAnsi="楷体" w:eastAsia="宋体" w:cs="楷体"/>
          <w:b/>
          <w:bCs/>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outlineLvl w:val="3"/>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中央预算内投资农业建设项目库储备项目汇总表</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bottom"/>
        <w:outlineLvl w:val="3"/>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（农业科技创新能力条件提升（重点实验室）项目）</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outlineLvl w:val="1"/>
        <w:rPr>
          <w:rFonts w:hint="eastAsia" w:ascii="楷体" w:hAnsi="楷体" w:eastAsia="宋体" w:cs="楷体"/>
          <w:b/>
          <w:bCs/>
          <w:kern w:val="2"/>
          <w:sz w:val="30"/>
          <w:szCs w:val="30"/>
          <w:lang w:val="en-US" w:eastAsia="zh-CN" w:bidi="ar-SA"/>
        </w:rPr>
      </w:pPr>
    </w:p>
    <w:tbl>
      <w:tblPr>
        <w:tblStyle w:val="14"/>
        <w:tblW w:w="13991" w:type="dxa"/>
        <w:jc w:val="center"/>
        <w:tblLayout w:type="fixed"/>
        <w:tblCellMar>
          <w:top w:w="0" w:type="dxa"/>
          <w:left w:w="0" w:type="dxa"/>
          <w:bottom w:w="0" w:type="dxa"/>
          <w:right w:w="0" w:type="dxa"/>
        </w:tblCellMar>
      </w:tblPr>
      <w:tblGrid>
        <w:gridCol w:w="563"/>
        <w:gridCol w:w="1111"/>
        <w:gridCol w:w="565"/>
        <w:gridCol w:w="565"/>
        <w:gridCol w:w="1715"/>
        <w:gridCol w:w="1494"/>
        <w:gridCol w:w="1152"/>
        <w:gridCol w:w="882"/>
        <w:gridCol w:w="1385"/>
        <w:gridCol w:w="649"/>
        <w:gridCol w:w="990"/>
        <w:gridCol w:w="630"/>
        <w:gridCol w:w="594"/>
        <w:gridCol w:w="576"/>
        <w:gridCol w:w="555"/>
        <w:gridCol w:w="565"/>
      </w:tblGrid>
      <w:tr>
        <w:tblPrEx>
          <w:tblCellMar>
            <w:top w:w="0" w:type="dxa"/>
            <w:left w:w="0" w:type="dxa"/>
            <w:bottom w:w="0" w:type="dxa"/>
            <w:right w:w="0" w:type="dxa"/>
          </w:tblCellMar>
        </w:tblPrEx>
        <w:trPr>
          <w:trHeight w:val="1429"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序号</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申报单位</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项目代码</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项目名称</w:t>
            </w: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项目类型</w:t>
            </w: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建设单位</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建设性质</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建设规模</w:t>
            </w: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建设内容</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建设地点</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拟开工时间</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建设年限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总投资</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（万元）</w:t>
            </w: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财政资金（万元）</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自筹资金（万元）</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1079"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xx县xx镇xx村</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改建/新建/扩建</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xx县xx镇xx村</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textAlignment w:val="bottom"/>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bottom"/>
        <w:outlineLvl w:val="1"/>
        <w:rPr>
          <w:rFonts w:hint="eastAsia" w:ascii="仿宋_GB2312" w:hAnsi="楷体" w:eastAsia="仿宋_GB2312" w:cs="楷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hint="eastAsia"/>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bottom"/>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附件：</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Times New Roman" w:eastAsia="仿宋_GB2312" w:cs="Times New Roman"/>
          <w:b w:val="0"/>
          <w:bCs/>
          <w:color w:val="auto"/>
          <w:sz w:val="28"/>
          <w:szCs w:val="28"/>
          <w:lang w:val="en-US" w:eastAsia="zh-CN"/>
        </w:rPr>
      </w:pPr>
      <w:r>
        <w:rPr>
          <w:rFonts w:hint="eastAsia" w:ascii="仿宋_GB2312" w:hAnsi="Times New Roman" w:eastAsia="仿宋_GB2312" w:cs="Times New Roman"/>
          <w:b w:val="0"/>
          <w:bCs/>
          <w:color w:val="auto"/>
          <w:sz w:val="28"/>
          <w:szCs w:val="28"/>
          <w:lang w:eastAsia="zh-CN"/>
        </w:rPr>
        <w:t>附件1.</w:t>
      </w:r>
      <w:r>
        <w:rPr>
          <w:rFonts w:hint="eastAsia" w:ascii="仿宋_GB2312" w:hAnsi="Times New Roman" w:eastAsia="仿宋_GB2312" w:cs="Times New Roman"/>
          <w:b w:val="0"/>
          <w:bCs/>
          <w:color w:val="auto"/>
          <w:sz w:val="28"/>
          <w:szCs w:val="28"/>
          <w:lang w:val="en-US" w:eastAsia="zh-CN"/>
        </w:rPr>
        <w:t>项目单位营业执照副本复印件</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default" w:ascii="仿宋_GB2312" w:hAnsi="Times New Roman" w:eastAsia="仿宋_GB2312" w:cs="Times New Roman"/>
          <w:b w:val="0"/>
          <w:bCs/>
          <w:color w:val="auto"/>
          <w:sz w:val="28"/>
          <w:szCs w:val="28"/>
          <w:lang w:val="en-US" w:eastAsia="zh-CN"/>
        </w:rPr>
      </w:pPr>
      <w:r>
        <w:rPr>
          <w:rFonts w:hint="eastAsia" w:ascii="仿宋_GB2312" w:hAnsi="Times New Roman" w:eastAsia="仿宋_GB2312" w:cs="Times New Roman"/>
          <w:b w:val="0"/>
          <w:bCs/>
          <w:color w:val="auto"/>
          <w:sz w:val="28"/>
          <w:szCs w:val="28"/>
          <w:lang w:eastAsia="zh-CN"/>
        </w:rPr>
        <w:t>附件</w:t>
      </w:r>
      <w:r>
        <w:rPr>
          <w:rFonts w:hint="eastAsia" w:ascii="仿宋_GB2312" w:hAnsi="Times New Roman" w:eastAsia="仿宋_GB2312" w:cs="Times New Roman"/>
          <w:b w:val="0"/>
          <w:bCs/>
          <w:color w:val="auto"/>
          <w:sz w:val="28"/>
          <w:szCs w:val="28"/>
          <w:lang w:val="en-US" w:eastAsia="zh-CN"/>
        </w:rPr>
        <w:t>2</w:t>
      </w:r>
      <w:r>
        <w:rPr>
          <w:rFonts w:hint="eastAsia" w:ascii="仿宋_GB2312" w:hAnsi="Times New Roman" w:eastAsia="仿宋_GB2312" w:cs="Times New Roman"/>
          <w:b w:val="0"/>
          <w:bCs/>
          <w:color w:val="auto"/>
          <w:sz w:val="28"/>
          <w:szCs w:val="28"/>
          <w:lang w:eastAsia="zh-CN"/>
        </w:rPr>
        <w:t>.</w:t>
      </w:r>
      <w:r>
        <w:rPr>
          <w:rFonts w:hint="eastAsia" w:ascii="仿宋_GB2312" w:hAnsi="Times New Roman" w:eastAsia="仿宋_GB2312" w:cs="Times New Roman"/>
          <w:b w:val="0"/>
          <w:bCs/>
          <w:color w:val="auto"/>
          <w:sz w:val="28"/>
          <w:szCs w:val="28"/>
          <w:lang w:val="en-US" w:eastAsia="zh-CN"/>
        </w:rPr>
        <w:t>新技术</w:t>
      </w:r>
      <w:r>
        <w:rPr>
          <w:rFonts w:hint="eastAsia" w:ascii="仿宋_GB2312" w:hAnsi="Times New Roman" w:eastAsia="宋体" w:cs="Times New Roman"/>
          <w:b w:val="0"/>
          <w:bCs/>
          <w:color w:val="auto"/>
          <w:sz w:val="28"/>
          <w:szCs w:val="28"/>
          <w:lang w:val="en-US" w:eastAsia="zh-CN"/>
        </w:rPr>
        <w:t>、</w:t>
      </w:r>
      <w:r>
        <w:rPr>
          <w:rFonts w:hint="eastAsia" w:ascii="仿宋_GB2312" w:hAnsi="Times New Roman" w:eastAsia="仿宋_GB2312" w:cs="Times New Roman"/>
          <w:b w:val="0"/>
          <w:bCs/>
          <w:color w:val="auto"/>
          <w:sz w:val="28"/>
          <w:szCs w:val="28"/>
          <w:lang w:val="en-US" w:eastAsia="zh-CN"/>
        </w:rPr>
        <w:t>新工艺等科技证明材料</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Times New Roman" w:eastAsia="仿宋_GB2312" w:cs="Times New Roman"/>
          <w:b w:val="0"/>
          <w:bCs/>
          <w:color w:val="auto"/>
          <w:sz w:val="28"/>
          <w:szCs w:val="28"/>
          <w:lang w:val="en-US" w:eastAsia="zh-CN"/>
        </w:rPr>
      </w:pPr>
      <w:r>
        <w:rPr>
          <w:rFonts w:hint="eastAsia" w:ascii="仿宋_GB2312" w:hAnsi="Times New Roman" w:eastAsia="仿宋_GB2312" w:cs="Times New Roman"/>
          <w:b w:val="0"/>
          <w:bCs/>
          <w:color w:val="auto"/>
          <w:sz w:val="28"/>
          <w:szCs w:val="28"/>
          <w:lang w:eastAsia="zh-CN"/>
        </w:rPr>
        <w:t>附件</w:t>
      </w:r>
      <w:r>
        <w:rPr>
          <w:rFonts w:hint="eastAsia" w:ascii="仿宋_GB2312" w:hAnsi="Times New Roman" w:eastAsia="仿宋_GB2312" w:cs="Times New Roman"/>
          <w:b w:val="0"/>
          <w:bCs/>
          <w:color w:val="auto"/>
          <w:sz w:val="28"/>
          <w:szCs w:val="28"/>
          <w:lang w:val="en-US" w:eastAsia="zh-CN"/>
        </w:rPr>
        <w:t>3</w:t>
      </w:r>
      <w:r>
        <w:rPr>
          <w:rFonts w:hint="eastAsia" w:ascii="仿宋_GB2312" w:hAnsi="Times New Roman" w:eastAsia="仿宋_GB2312" w:cs="Times New Roman"/>
          <w:b w:val="0"/>
          <w:bCs/>
          <w:color w:val="auto"/>
          <w:sz w:val="28"/>
          <w:szCs w:val="28"/>
          <w:lang w:eastAsia="zh-CN"/>
        </w:rPr>
        <w:t>.</w:t>
      </w:r>
      <w:r>
        <w:rPr>
          <w:rFonts w:hint="eastAsia" w:ascii="仿宋_GB2312" w:hAnsi="Times New Roman" w:eastAsia="仿宋_GB2312" w:cs="Times New Roman"/>
          <w:b w:val="0"/>
          <w:bCs/>
          <w:color w:val="auto"/>
          <w:sz w:val="28"/>
          <w:szCs w:val="28"/>
          <w:lang w:val="en-US" w:eastAsia="zh-CN"/>
        </w:rPr>
        <w:t>建筑工程土地使用证明材料</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default" w:ascii="仿宋_GB2312" w:hAnsi="Times New Roman" w:eastAsia="仿宋_GB2312" w:cs="Times New Roman"/>
          <w:b w:val="0"/>
          <w:bCs/>
          <w:color w:val="auto"/>
          <w:sz w:val="28"/>
          <w:szCs w:val="28"/>
          <w:lang w:val="en-US" w:eastAsia="zh-CN"/>
        </w:rPr>
      </w:pPr>
      <w:r>
        <w:rPr>
          <w:rFonts w:hint="eastAsia" w:ascii="仿宋_GB2312" w:hAnsi="Times New Roman" w:eastAsia="仿宋_GB2312" w:cs="Times New Roman"/>
          <w:b w:val="0"/>
          <w:bCs/>
          <w:color w:val="auto"/>
          <w:sz w:val="28"/>
          <w:szCs w:val="28"/>
          <w:lang w:eastAsia="zh-CN"/>
        </w:rPr>
        <w:t>附件</w:t>
      </w:r>
      <w:r>
        <w:rPr>
          <w:rFonts w:hint="eastAsia" w:ascii="仿宋_GB2312" w:hAnsi="Times New Roman" w:eastAsia="仿宋_GB2312" w:cs="Times New Roman"/>
          <w:b w:val="0"/>
          <w:bCs/>
          <w:color w:val="auto"/>
          <w:sz w:val="28"/>
          <w:szCs w:val="28"/>
          <w:lang w:val="en-US" w:eastAsia="zh-CN"/>
        </w:rPr>
        <w:t>4</w:t>
      </w:r>
      <w:r>
        <w:rPr>
          <w:rFonts w:hint="eastAsia" w:ascii="仿宋_GB2312" w:hAnsi="Times New Roman" w:eastAsia="仿宋_GB2312" w:cs="Times New Roman"/>
          <w:b w:val="0"/>
          <w:bCs/>
          <w:color w:val="auto"/>
          <w:sz w:val="28"/>
          <w:szCs w:val="28"/>
          <w:lang w:eastAsia="zh-CN"/>
        </w:rPr>
        <w:t>.</w:t>
      </w:r>
      <w:r>
        <w:rPr>
          <w:rFonts w:hint="eastAsia" w:ascii="仿宋_GB2312" w:hAnsi="Times New Roman" w:eastAsia="仿宋_GB2312" w:cs="Times New Roman"/>
          <w:b w:val="0"/>
          <w:bCs/>
          <w:color w:val="auto"/>
          <w:sz w:val="28"/>
          <w:szCs w:val="28"/>
          <w:lang w:val="en-US" w:eastAsia="zh-CN"/>
        </w:rPr>
        <w:t>其他证明材料</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bottom"/>
        <w:rPr>
          <w:rFonts w:hint="eastAsia" w:ascii="Times New Roman" w:hAnsi="Times New Roman"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both"/>
        <w:textAlignment w:val="bottom"/>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附图：</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Times New Roman" w:eastAsia="仿宋_GB2312" w:cs="Times New Roman"/>
          <w:b w:val="0"/>
          <w:bCs/>
          <w:color w:val="auto"/>
          <w:sz w:val="28"/>
          <w:szCs w:val="28"/>
        </w:rPr>
      </w:pPr>
      <w:r>
        <w:rPr>
          <w:rFonts w:hint="eastAsia" w:ascii="仿宋_GB2312" w:hAnsi="Times New Roman" w:eastAsia="仿宋_GB2312" w:cs="Times New Roman"/>
          <w:b w:val="0"/>
          <w:bCs/>
          <w:color w:val="auto"/>
          <w:sz w:val="28"/>
          <w:szCs w:val="28"/>
          <w:lang w:eastAsia="zh-CN"/>
        </w:rPr>
        <w:t>附图</w:t>
      </w:r>
      <w:r>
        <w:rPr>
          <w:rFonts w:hint="eastAsia" w:ascii="仿宋_GB2312" w:hAnsi="Times New Roman" w:eastAsia="仿宋_GB2312" w:cs="Times New Roman"/>
          <w:b w:val="0"/>
          <w:bCs/>
          <w:color w:val="auto"/>
          <w:sz w:val="28"/>
          <w:szCs w:val="28"/>
        </w:rPr>
        <w:t>1.地理位置示意图</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Times New Roman" w:eastAsia="仿宋_GB2312" w:cs="Times New Roman"/>
          <w:b w:val="0"/>
          <w:bCs/>
          <w:color w:val="auto"/>
          <w:sz w:val="28"/>
          <w:szCs w:val="28"/>
        </w:rPr>
      </w:pPr>
      <w:r>
        <w:rPr>
          <w:rFonts w:hint="eastAsia" w:ascii="仿宋_GB2312" w:hAnsi="Times New Roman" w:eastAsia="仿宋_GB2312" w:cs="Times New Roman"/>
          <w:b w:val="0"/>
          <w:bCs/>
          <w:color w:val="auto"/>
          <w:sz w:val="28"/>
          <w:szCs w:val="28"/>
          <w:lang w:eastAsia="zh-CN"/>
        </w:rPr>
        <w:t>附图</w:t>
      </w:r>
      <w:r>
        <w:rPr>
          <w:rFonts w:hint="eastAsia" w:ascii="仿宋_GB2312" w:hAnsi="Times New Roman" w:eastAsia="仿宋_GB2312" w:cs="Times New Roman"/>
          <w:b w:val="0"/>
          <w:bCs/>
          <w:color w:val="auto"/>
          <w:sz w:val="28"/>
          <w:szCs w:val="28"/>
          <w:lang w:val="en-US" w:eastAsia="zh-CN"/>
        </w:rPr>
        <w:t>2</w:t>
      </w:r>
      <w:r>
        <w:rPr>
          <w:rFonts w:hint="eastAsia" w:ascii="仿宋_GB2312" w:hAnsi="Times New Roman" w:eastAsia="仿宋_GB2312" w:cs="Times New Roman"/>
          <w:b w:val="0"/>
          <w:bCs/>
          <w:color w:val="auto"/>
          <w:sz w:val="28"/>
          <w:szCs w:val="28"/>
        </w:rPr>
        <w:t>.</w:t>
      </w:r>
      <w:r>
        <w:rPr>
          <w:rFonts w:hint="eastAsia" w:ascii="仿宋_GB2312" w:hAnsi="Times New Roman" w:eastAsia="仿宋_GB2312" w:cs="Times New Roman"/>
          <w:b w:val="0"/>
          <w:bCs/>
          <w:color w:val="auto"/>
          <w:sz w:val="28"/>
          <w:szCs w:val="28"/>
          <w:lang w:val="en-US" w:eastAsia="zh-CN"/>
        </w:rPr>
        <w:t>工程</w:t>
      </w:r>
      <w:r>
        <w:rPr>
          <w:rFonts w:hint="eastAsia" w:ascii="仿宋_GB2312" w:hAnsi="Times New Roman" w:eastAsia="仿宋_GB2312" w:cs="Times New Roman"/>
          <w:b w:val="0"/>
          <w:bCs/>
          <w:color w:val="auto"/>
          <w:sz w:val="28"/>
          <w:szCs w:val="28"/>
        </w:rPr>
        <w:t>总平面布置图</w:t>
      </w:r>
    </w:p>
    <w:p>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560" w:firstLineChars="200"/>
        <w:jc w:val="both"/>
        <w:textAlignment w:val="bottom"/>
        <w:outlineLvl w:val="2"/>
        <w:rPr>
          <w:rFonts w:hint="eastAsia" w:ascii="仿宋_GB2312" w:hAnsi="Times New Roman" w:eastAsia="仿宋_GB2312" w:cs="Times New Roman"/>
          <w:b w:val="0"/>
          <w:bCs/>
          <w:color w:val="auto"/>
          <w:sz w:val="28"/>
          <w:szCs w:val="28"/>
        </w:rPr>
      </w:pPr>
      <w:r>
        <w:rPr>
          <w:rFonts w:hint="eastAsia" w:ascii="仿宋_GB2312" w:hAnsi="Times New Roman" w:eastAsia="仿宋_GB2312" w:cs="Times New Roman"/>
          <w:b w:val="0"/>
          <w:bCs/>
          <w:color w:val="auto"/>
          <w:sz w:val="28"/>
          <w:szCs w:val="28"/>
          <w:lang w:eastAsia="zh-CN"/>
        </w:rPr>
        <w:t>附图</w:t>
      </w:r>
      <w:r>
        <w:rPr>
          <w:rFonts w:hint="eastAsia" w:ascii="仿宋_GB2312" w:hAnsi="Times New Roman" w:eastAsia="仿宋_GB2312" w:cs="Times New Roman"/>
          <w:b w:val="0"/>
          <w:bCs/>
          <w:color w:val="auto"/>
          <w:sz w:val="28"/>
          <w:szCs w:val="28"/>
          <w:lang w:val="en-US" w:eastAsia="zh-CN"/>
        </w:rPr>
        <w:t>3</w:t>
      </w:r>
      <w:r>
        <w:rPr>
          <w:rFonts w:hint="eastAsia" w:ascii="仿宋_GB2312" w:hAnsi="Times New Roman" w:eastAsia="仿宋_GB2312" w:cs="Times New Roman"/>
          <w:b w:val="0"/>
          <w:bCs/>
          <w:color w:val="auto"/>
          <w:sz w:val="28"/>
          <w:szCs w:val="28"/>
        </w:rPr>
        <w:t>.其它附图</w:t>
      </w:r>
    </w:p>
    <w:sectPr>
      <w:headerReference r:id="rId46" w:type="default"/>
      <w:footerReference r:id="rId4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华文中宋D...">
    <w:altName w:val="方正书宋_GBK"/>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napToGrid/>
      <w:spacing w:line="240" w:lineRule="auto"/>
      <w:ind w:firstLine="420" w:firstLineChars="0"/>
      <w:jc w:val="center"/>
      <w:rPr>
        <w:rFonts w:ascii="Times New Roman" w:hAnsi="Times New Roman" w:eastAsia="宋体" w:cs="Times New Roman"/>
        <w:sz w:val="21"/>
        <w:szCs w:val="21"/>
      </w:rPr>
    </w:pPr>
    <w:r>
      <w:rPr>
        <w:rFonts w:ascii="Times New Roman" w:hAnsi="Times New Roman" w:eastAsia="宋体" w:cs="Times New Roman"/>
        <w:sz w:val="21"/>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23</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23</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178</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bDRqIgIAADk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meQr8kD0MKmqc+pJit2260vd&#10;2uqISr09D0twfN0glQ0L8ZF5TAfSx8THBxxSWYS0vURJbf2nv70nfzQNVkpaTFtJDdaBEvXWoJkA&#10;jIPgB2E7CGav7yzGd4JNcjyL+OCjGkTprf6INVilGJKpAGBmOKKhUYN4F6H1RqwTF6vVRd873+zq&#10;62eMpmNxY54c71ud2AtutY9gOzchcXYmCs1LCuYzt7HfpbQAv+rZ67rx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o2w0aiICAAA5BAAADgAAAAAAAAABACAAAAA1AQAAZHJzL2Uyb0RvYy54&#10;bWxQSwUGAAAAAAYABgBZAQAAyQU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178</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251</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qVrmxJAIAADkEAAAOAAAAAAAAAAEAIAAAADUBAABkcnMvZTJvRG9j&#10;LnhtbFBLBQYAAAAABgAGAFkBAADLBQ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251</w:t>
                    </w:r>
                    <w:r>
                      <w:rPr>
                        <w:rFonts w:hint="eastAsia" w:ascii="Times New Roman" w:hAnsi="Times New Roman" w:eastAsia="宋体" w:cs="Times New Roman"/>
                        <w:sz w:val="18"/>
                        <w:szCs w:val="22"/>
                        <w:lang w:eastAsia="zh-CN"/>
                      </w:rPr>
                      <w:fldChar w:fldCharType="end"/>
                    </w:r>
                  </w:p>
                </w:txbxContent>
              </v:textbox>
            </v:shape>
          </w:pict>
        </mc:Fallback>
      </mc:AlternateContent>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342</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GO1n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8Y7WcjAgAAOQQAAA4AAAAAAAAAAQAgAAAANQEAAGRycy9lMm9Eb2Mu&#10;eG1sUEsFBgAAAAAGAAYAWQEAAMoFA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342</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251</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Ext8CkjAgAAOQQAAA4AAAAAAAAAAQAgAAAANQEAAGRycy9lMm9Eb2Mu&#10;eG1sUEsFBgAAAAAGAAYAWQEAAMoFA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251</w:t>
                    </w:r>
                    <w:r>
                      <w:rPr>
                        <w:rFonts w:hint="eastAsia" w:ascii="Times New Roman" w:hAnsi="Times New Roman" w:eastAsia="宋体" w:cs="Times New Roman"/>
                        <w:sz w:val="18"/>
                        <w:szCs w:val="22"/>
                        <w:lang w:eastAsia="zh-CN"/>
                      </w:rPr>
                      <w:fldChar w:fldCharType="end"/>
                    </w:r>
                  </w:p>
                </w:txbxContent>
              </v:textbox>
            </v:shape>
          </w:pict>
        </mc:Fallback>
      </mc:AlternateContent>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251</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5ajo1JAIAADkEAAAOAAAAAAAAAAEAIAAAADUBAABkcnMvZTJvRG9j&#10;LnhtbFBLBQYAAAAABgAGAFkBAADLBQ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251</w:t>
                    </w:r>
                    <w:r>
                      <w:rPr>
                        <w:rFonts w:hint="eastAsia" w:ascii="Times New Roman" w:hAnsi="Times New Roman" w:eastAsia="宋体" w:cs="Times New Roman"/>
                        <w:sz w:val="18"/>
                        <w:szCs w:val="22"/>
                        <w:lang w:eastAsia="zh-CN"/>
                      </w:rPr>
                      <w:fldChar w:fldCharType="end"/>
                    </w:r>
                  </w:p>
                </w:txbxContent>
              </v:textbox>
            </v:shape>
          </w:pict>
        </mc:Fallback>
      </mc:AlternateContent>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5CK7RwCAAApBAAADgAAAAAAAAABACAAAAA1AQAAZHJzL2Uyb0RvYy54bWxQSwUG&#10;AAAAAAYABgBZAQAAwwU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仿宋_GB2312"/>
                              <w:sz w:val="18"/>
                              <w:lang w:eastAsia="zh-CN"/>
                            </w:rPr>
                            <w:fldChar w:fldCharType="begin"/>
                          </w:r>
                          <w:r>
                            <w:rPr>
                              <w:rFonts w:hint="eastAsia" w:eastAsia="仿宋_GB2312"/>
                              <w:sz w:val="18"/>
                              <w:lang w:eastAsia="zh-CN"/>
                            </w:rPr>
                            <w:instrText xml:space="preserve"> PAGE  \* MERGEFORMAT </w:instrText>
                          </w:r>
                          <w:r>
                            <w:rPr>
                              <w:rFonts w:hint="eastAsia" w:eastAsia="仿宋_GB2312"/>
                              <w:sz w:val="18"/>
                              <w:lang w:eastAsia="zh-CN"/>
                            </w:rPr>
                            <w:fldChar w:fldCharType="separate"/>
                          </w:r>
                          <w:r>
                            <w:rPr>
                              <w:rFonts w:hint="eastAsia" w:eastAsia="仿宋_GB2312"/>
                              <w:sz w:val="18"/>
                              <w:lang w:eastAsia="zh-CN"/>
                            </w:rPr>
                            <w:t>191</w:t>
                          </w:r>
                          <w:r>
                            <w:rPr>
                              <w:rFonts w:hint="eastAsia" w:eastAsia="仿宋_GB2312"/>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ULfu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FC37iICAAA5BAAADgAAAAAAAAABACAAAAA1AQAAZHJzL2Uyb0RvYy54&#10;bWxQSwUGAAAAAAYABgBZAQAAy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仿宋_GB2312"/>
                        <w:sz w:val="18"/>
                        <w:lang w:eastAsia="zh-CN"/>
                      </w:rPr>
                      <w:fldChar w:fldCharType="begin"/>
                    </w:r>
                    <w:r>
                      <w:rPr>
                        <w:rFonts w:hint="eastAsia" w:eastAsia="仿宋_GB2312"/>
                        <w:sz w:val="18"/>
                        <w:lang w:eastAsia="zh-CN"/>
                      </w:rPr>
                      <w:instrText xml:space="preserve"> PAGE  \* MERGEFORMAT </w:instrText>
                    </w:r>
                    <w:r>
                      <w:rPr>
                        <w:rFonts w:hint="eastAsia" w:eastAsia="仿宋_GB2312"/>
                        <w:sz w:val="18"/>
                        <w:lang w:eastAsia="zh-CN"/>
                      </w:rPr>
                      <w:fldChar w:fldCharType="separate"/>
                    </w:r>
                    <w:r>
                      <w:rPr>
                        <w:rFonts w:hint="eastAsia" w:eastAsia="仿宋_GB2312"/>
                        <w:sz w:val="18"/>
                        <w:lang w:eastAsia="zh-CN"/>
                      </w:rPr>
                      <w:t>191</w:t>
                    </w:r>
                    <w:r>
                      <w:rPr>
                        <w:rFonts w:hint="eastAsia" w:eastAsia="仿宋_GB2312"/>
                        <w:sz w:val="18"/>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166</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166</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167</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167</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167</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167</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123</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123</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177</w:t>
                          </w:r>
                          <w:r>
                            <w:rPr>
                              <w:rFonts w:hint="eastAsia" w:ascii="Times New Roman" w:hAnsi="Times New Roman" w:eastAsia="宋体" w:cs="Times New Roman"/>
                              <w:sz w:val="18"/>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GFFZ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k3xFHog+TOrqXHqSYrft+la3&#10;tjqiU2/PwxIcXzcoZcNCfGQe04HyMfHxAYdUFiltL1FSW//pb+/JH6TBSkmLaSupwTpQot4akJkG&#10;cxD8IGwHwez1ncX4TrBJjmcRH3xUgyi91R+xBquUQzIVEJgZjmwgahDvIrTeiHXiYrW66Hvnm119&#10;/YzRdCxuzJPjPdUJveBW+wi0MwkJszNQIC8pmM9MY79LaQF+1bPXde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ahhRWSICAAA5BAAADgAAAAAAAAABACAAAAA1AQAAZHJzL2Uyb0RvYy54&#10;bWxQSwUGAAAAAAYABgBZAQAAyQUAAAAA&#10;">
              <v:fill on="f" focussize="0,0"/>
              <v:stroke on="f" weight="0.5pt"/>
              <v:imagedata o:title=""/>
              <o:lock v:ext="edit" aspectratio="f"/>
              <v:textbox inset="0mm,0mm,0mm,0mm" style="mso-fit-shape-to-text:t;">
                <w:txbxContent>
                  <w:p>
                    <w:pPr>
                      <w:adjustRightInd/>
                      <w:snapToGrid w:val="0"/>
                      <w:spacing w:line="240" w:lineRule="auto"/>
                      <w:ind w:firstLine="0" w:firstLineChars="0"/>
                      <w:rPr>
                        <w:rFonts w:hint="eastAsia" w:ascii="Times New Roman" w:hAnsi="Times New Roman" w:eastAsia="宋体" w:cs="Times New Roman"/>
                        <w:sz w:val="18"/>
                        <w:szCs w:val="22"/>
                        <w:lang w:eastAsia="zh-CN"/>
                      </w:rPr>
                    </w:pPr>
                    <w:r>
                      <w:rPr>
                        <w:rFonts w:hint="eastAsia" w:ascii="Times New Roman" w:hAnsi="Times New Roman" w:eastAsia="宋体" w:cs="Times New Roman"/>
                        <w:sz w:val="18"/>
                        <w:szCs w:val="22"/>
                        <w:lang w:eastAsia="zh-CN"/>
                      </w:rPr>
                      <w:fldChar w:fldCharType="begin"/>
                    </w:r>
                    <w:r>
                      <w:rPr>
                        <w:rFonts w:hint="eastAsia" w:ascii="Times New Roman" w:hAnsi="Times New Roman" w:eastAsia="宋体" w:cs="Times New Roman"/>
                        <w:sz w:val="18"/>
                        <w:szCs w:val="22"/>
                        <w:lang w:eastAsia="zh-CN"/>
                      </w:rPr>
                      <w:instrText xml:space="preserve"> PAGE  \* MERGEFORMAT </w:instrText>
                    </w:r>
                    <w:r>
                      <w:rPr>
                        <w:rFonts w:hint="eastAsia" w:ascii="Times New Roman" w:hAnsi="Times New Roman" w:eastAsia="宋体" w:cs="Times New Roman"/>
                        <w:sz w:val="18"/>
                        <w:szCs w:val="22"/>
                        <w:lang w:eastAsia="zh-CN"/>
                      </w:rPr>
                      <w:fldChar w:fldCharType="separate"/>
                    </w:r>
                    <w:r>
                      <w:rPr>
                        <w:rFonts w:hint="eastAsia" w:ascii="Times New Roman" w:hAnsi="Times New Roman" w:eastAsia="宋体" w:cs="Times New Roman"/>
                        <w:sz w:val="18"/>
                        <w:szCs w:val="22"/>
                        <w:lang w:eastAsia="zh-CN"/>
                      </w:rPr>
                      <w:t>177</w:t>
                    </w:r>
                    <w:r>
                      <w:rPr>
                        <w:rFonts w:hint="eastAsia" w:ascii="Times New Roman" w:hAnsi="Times New Roman" w:eastAsia="宋体" w:cs="Times New Roman"/>
                        <w:sz w:val="18"/>
                        <w:szCs w:val="22"/>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ind w:firstLine="360"/>
      <w:jc w:val="center"/>
      <w:rPr>
        <w:rFonts w:ascii="Times New Roman" w:hAnsi="Times New Roman" w:eastAsia="宋体" w:cs="Times New Roman"/>
        <w:kern w:val="2"/>
        <w:sz w:val="18"/>
        <w:szCs w:val="18"/>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ind w:firstLine="420"/>
      <w:jc w:val="right"/>
      <w:rPr>
        <w:rFonts w:ascii="仿宋_GB2312" w:hAnsi="Times New Roman" w:eastAsia="仿宋_GB2312" w:cs="Times New Roman"/>
        <w:kern w:val="2"/>
        <w:sz w:val="21"/>
        <w:szCs w:val="21"/>
        <w:lang w:val="en-US" w:eastAsia="zh-CN" w:bidi="ar-S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ind w:firstLine="360"/>
      <w:jc w:val="center"/>
      <w:rPr>
        <w:rFonts w:ascii="Times New Roman" w:hAnsi="Times New Roman" w:eastAsia="宋体" w:cs="Times New Roman"/>
        <w:kern w:val="2"/>
        <w:sz w:val="18"/>
        <w:szCs w:val="21"/>
        <w:lang w:val="en-US" w:eastAsia="zh-CN" w:bidi="ar-S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ind w:firstLine="360"/>
      <w:rPr>
        <w:szCs w:val="21"/>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napToGrid/>
      <w:spacing w:line="240" w:lineRule="auto"/>
      <w:ind w:firstLine="360" w:firstLineChars="0"/>
      <w:rPr>
        <w:rFonts w:ascii="Times New Roman" w:hAnsi="Times New Roman" w:eastAsia="宋体" w:cs="Times New Roman"/>
        <w:sz w:val="21"/>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1"/>
        <w:right w:val="none" w:color="auto" w:sz="0" w:space="0"/>
        <w:between w:val="none" w:color="auto" w:sz="0" w:space="0"/>
      </w:pBdr>
      <w:wordWrap w:val="0"/>
      <w:adjustRightInd/>
      <w:snapToGrid/>
      <w:spacing w:line="240" w:lineRule="auto"/>
      <w:ind w:firstLine="420" w:firstLineChars="0"/>
      <w:jc w:val="right"/>
      <w:rPr>
        <w:rFonts w:ascii="仿宋_GB2312" w:hAnsi="Times New Roman" w:eastAsia="仿宋_GB2312" w:cs="Times New Roman"/>
        <w:bCs/>
        <w:sz w:val="21"/>
        <w:szCs w:val="22"/>
      </w:rPr>
    </w:pPr>
  </w:p>
  <w:p>
    <w:pPr>
      <w:widowControl w:val="0"/>
      <w:pBdr>
        <w:top w:val="none" w:color="auto" w:sz="0" w:space="0"/>
        <w:left w:val="none" w:color="auto" w:sz="0" w:space="0"/>
        <w:bottom w:val="none" w:color="auto" w:sz="0" w:space="0"/>
        <w:right w:val="none" w:color="auto" w:sz="0" w:space="0"/>
        <w:between w:val="none" w:color="auto" w:sz="0" w:space="0"/>
      </w:pBdr>
      <w:wordWrap/>
      <w:ind w:firstLine="0" w:firstLineChars="0"/>
      <w:jc w:val="both"/>
      <w:outlineLvl w:val="1"/>
      <w:rPr>
        <w:rFonts w:ascii="楷体" w:hAnsi="楷体" w:eastAsia="宋体" w:cs="楷体"/>
        <w:b/>
        <w:bCs/>
        <w:kern w:val="2"/>
        <w:sz w:val="30"/>
        <w:szCs w:val="30"/>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1"/>
        <w:right w:val="none" w:color="auto" w:sz="0" w:space="0"/>
        <w:between w:val="none" w:color="auto" w:sz="0" w:space="0"/>
      </w:pBdr>
      <w:wordWrap w:val="0"/>
      <w:adjustRightInd/>
      <w:snapToGrid/>
      <w:spacing w:line="240" w:lineRule="auto"/>
      <w:ind w:firstLine="420" w:firstLineChars="0"/>
      <w:jc w:val="right"/>
      <w:rPr>
        <w:rFonts w:ascii="仿宋_GB2312" w:hAnsi="Times New Roman" w:eastAsia="仿宋_GB2312" w:cs="Times New Roman"/>
        <w:bCs/>
        <w:sz w:val="21"/>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ind w:firstLine="360"/>
      <w:jc w:val="right"/>
      <w:rPr>
        <w:rFonts w:ascii="仿宋_GB2312" w:hAnsi="Times New Roman" w:eastAsia="仿宋_GB2312"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ind w:firstLine="420"/>
      <w:jc w:val="right"/>
      <w:rPr>
        <w:rFonts w:ascii="仿宋_GB2312" w:hAnsi="Times New Roman" w:eastAsia="仿宋_GB2312" w:cs="Times New Roman"/>
        <w:kern w:val="2"/>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D789D"/>
    <w:multiLevelType w:val="multilevel"/>
    <w:tmpl w:val="0ECD789D"/>
    <w:lvl w:ilvl="0" w:tentative="0">
      <w:start w:val="1"/>
      <w:numFmt w:val="decimal"/>
      <w:lvlText w:val="第%1章"/>
      <w:lvlJc w:val="center"/>
      <w:pPr>
        <w:ind w:left="0" w:firstLine="0"/>
      </w:pPr>
      <w:rPr>
        <w:b w:val="0"/>
        <w:bCs w:val="0"/>
        <w:i w:val="0"/>
        <w:iCs w:val="0"/>
        <w:caps w:val="0"/>
        <w:smallCaps w:val="0"/>
        <w:strike w:val="0"/>
        <w:dstrike w:val="0"/>
        <w:vanish w:val="0"/>
        <w:spacing w:val="0"/>
        <w:position w:val="0"/>
        <w:u w:val="none"/>
        <w:vertAlign w:val="baseline"/>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1426315B"/>
    <w:multiLevelType w:val="singleLevel"/>
    <w:tmpl w:val="1426315B"/>
    <w:lvl w:ilvl="0" w:tentative="0">
      <w:start w:val="3"/>
      <w:numFmt w:val="chineseCounting"/>
      <w:suff w:val="nothing"/>
      <w:lvlText w:val="（%1）"/>
      <w:lvlJc w:val="left"/>
      <w:rPr>
        <w:rFonts w:hint="eastAsia"/>
      </w:rPr>
    </w:lvl>
  </w:abstractNum>
  <w:abstractNum w:abstractNumId="2">
    <w:nsid w:val="1F193D2F"/>
    <w:multiLevelType w:val="singleLevel"/>
    <w:tmpl w:val="1F193D2F"/>
    <w:lvl w:ilvl="0" w:tentative="0">
      <w:start w:val="6"/>
      <w:numFmt w:val="chineseCounting"/>
      <w:suff w:val="nothing"/>
      <w:lvlText w:val="（%1）"/>
      <w:lvlJc w:val="left"/>
      <w:rPr>
        <w:rFonts w:hint="eastAsia"/>
      </w:rPr>
    </w:lvl>
  </w:abstractNum>
  <w:abstractNum w:abstractNumId="3">
    <w:nsid w:val="3E7FC4A1"/>
    <w:multiLevelType w:val="singleLevel"/>
    <w:tmpl w:val="3E7FC4A1"/>
    <w:lvl w:ilvl="0" w:tentative="0">
      <w:start w:val="1"/>
      <w:numFmt w:val="chineseCounting"/>
      <w:suff w:val="nothing"/>
      <w:lvlText w:val="%1、"/>
      <w:lvlJc w:val="left"/>
      <w:rPr>
        <w:rFonts w:hint="eastAsia"/>
      </w:rPr>
    </w:lvl>
  </w:abstractNum>
  <w:abstractNum w:abstractNumId="4">
    <w:nsid w:val="453E0FD4"/>
    <w:multiLevelType w:val="multilevel"/>
    <w:tmpl w:val="453E0FD4"/>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pStyle w:val="6"/>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06145"/>
    <w:rsid w:val="548A4639"/>
    <w:rsid w:val="55A47B02"/>
    <w:rsid w:val="7EE52A87"/>
    <w:rsid w:val="DF6D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paragraph" w:styleId="5">
    <w:name w:val="heading 2"/>
    <w:basedOn w:val="1"/>
    <w:next w:val="1"/>
    <w:unhideWhenUsed/>
    <w:qFormat/>
    <w:uiPriority w:val="0"/>
    <w:pPr>
      <w:ind w:firstLine="0" w:firstLineChars="0"/>
      <w:outlineLvl w:val="1"/>
    </w:pPr>
    <w:rPr>
      <w:rFonts w:ascii="楷体" w:hAnsi="楷体" w:cs="楷体"/>
      <w:b/>
      <w:bCs/>
      <w:sz w:val="30"/>
      <w:szCs w:val="30"/>
    </w:rPr>
  </w:style>
  <w:style w:type="paragraph" w:styleId="6">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7"/>
    <w:unhideWhenUsed/>
    <w:qFormat/>
    <w:uiPriority w:val="0"/>
    <w:pPr>
      <w:keepNext/>
      <w:keepLines/>
      <w:spacing w:beforeLines="0" w:beforeAutospacing="0" w:afterLines="0" w:afterAutospacing="0" w:line="570" w:lineRule="exact"/>
      <w:ind w:firstLine="0" w:firstLineChars="0"/>
      <w:outlineLvl w:val="3"/>
    </w:pPr>
    <w:rPr>
      <w:rFonts w:ascii="Arial" w:hAnsi="Arial" w:eastAsia="黑体"/>
      <w:sz w:val="32"/>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9">
    <w:name w:val="Normal Indent"/>
    <w:basedOn w:val="1"/>
    <w:qFormat/>
    <w:uiPriority w:val="0"/>
    <w:pPr>
      <w:ind w:firstLine="420"/>
    </w:pPr>
    <w:rPr>
      <w:rFonts w:eastAsia="仿宋"/>
      <w:kern w:val="32"/>
      <w:szCs w:val="28"/>
      <w:lang w:eastAsia="en-US"/>
    </w:rPr>
  </w:style>
  <w:style w:type="paragraph" w:styleId="10">
    <w:name w:val="caption"/>
    <w:basedOn w:val="1"/>
    <w:next w:val="1"/>
    <w:unhideWhenUsed/>
    <w:qFormat/>
    <w:uiPriority w:val="0"/>
    <w:rPr>
      <w:rFonts w:asciiTheme="majorHAnsi" w:hAnsiTheme="majorHAnsi" w:cstheme="majorBidi"/>
      <w:szCs w:val="20"/>
    </w:rPr>
  </w:style>
  <w:style w:type="paragraph" w:styleId="11">
    <w:name w:val="Body Text"/>
    <w:basedOn w:val="1"/>
    <w:qFormat/>
    <w:uiPriority w:val="0"/>
    <w:pPr>
      <w:spacing w:before="1200" w:line="20" w:lineRule="exact"/>
    </w:pPr>
    <w:rPr>
      <w:rFonts w:ascii="仿宋_GB2312" w:eastAsia="仿宋_GB2312"/>
      <w:sz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4 Char"/>
    <w:basedOn w:val="16"/>
    <w:link w:val="7"/>
    <w:qFormat/>
    <w:uiPriority w:val="0"/>
    <w:rPr>
      <w:rFonts w:ascii="Arial" w:hAnsi="Arial" w:eastAsia="黑体"/>
      <w:sz w:val="32"/>
    </w:rPr>
  </w:style>
  <w:style w:type="paragraph" w:customStyle="1" w:styleId="18">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customStyle="1" w:styleId="19">
    <w:name w:val="表格标题"/>
    <w:basedOn w:val="1"/>
    <w:qFormat/>
    <w:uiPriority w:val="0"/>
    <w:pPr>
      <w:widowControl w:val="0"/>
      <w:tabs>
        <w:tab w:val="center" w:pos="480"/>
      </w:tabs>
      <w:spacing w:line="100" w:lineRule="atLeast"/>
      <w:ind w:firstLine="0" w:firstLineChars="0"/>
      <w:jc w:val="center"/>
    </w:pPr>
    <w:rPr>
      <w:rFonts w:hAnsi="宋体" w:eastAsia="黑体"/>
      <w:b/>
      <w:kern w:val="32"/>
      <w:sz w:val="24"/>
      <w:szCs w:val="28"/>
      <w:lang w:eastAsia="en-US"/>
    </w:rPr>
  </w:style>
  <w:style w:type="paragraph" w:customStyle="1" w:styleId="20">
    <w:name w:val="表格文字"/>
    <w:basedOn w:val="1"/>
    <w:qFormat/>
    <w:uiPriority w:val="0"/>
    <w:pPr>
      <w:spacing w:line="240" w:lineRule="auto"/>
      <w:ind w:firstLine="0" w:firstLineChars="0"/>
      <w:jc w:val="center"/>
    </w:pPr>
    <w:rPr>
      <w:rFonts w:cs="宋体"/>
      <w:color w:val="000000"/>
      <w:sz w:val="18"/>
      <w:szCs w:val="18"/>
    </w:rPr>
  </w:style>
  <w:style w:type="paragraph" w:customStyle="1" w:styleId="2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2.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23.png"/><Relationship Id="rId86" Type="http://schemas.openxmlformats.org/officeDocument/2006/relationships/image" Target="media/image22.wmf"/><Relationship Id="rId85" Type="http://schemas.openxmlformats.org/officeDocument/2006/relationships/oleObject" Target="embeddings/oleObject16.bin"/><Relationship Id="rId84" Type="http://schemas.openxmlformats.org/officeDocument/2006/relationships/oleObject" Target="embeddings/oleObject15.bin"/><Relationship Id="rId83" Type="http://schemas.openxmlformats.org/officeDocument/2006/relationships/image" Target="media/image21.wmf"/><Relationship Id="rId82" Type="http://schemas.openxmlformats.org/officeDocument/2006/relationships/oleObject" Target="embeddings/oleObject14.bin"/><Relationship Id="rId81" Type="http://schemas.openxmlformats.org/officeDocument/2006/relationships/image" Target="media/image20.wmf"/><Relationship Id="rId80" Type="http://schemas.openxmlformats.org/officeDocument/2006/relationships/image" Target="media/image19.wmf"/><Relationship Id="rId8" Type="http://schemas.openxmlformats.org/officeDocument/2006/relationships/footer" Target="footer1.xml"/><Relationship Id="rId79" Type="http://schemas.openxmlformats.org/officeDocument/2006/relationships/image" Target="media/image18.wmf"/><Relationship Id="rId78" Type="http://schemas.openxmlformats.org/officeDocument/2006/relationships/oleObject" Target="embeddings/oleObject13.bin"/><Relationship Id="rId77" Type="http://schemas.openxmlformats.org/officeDocument/2006/relationships/image" Target="media/image17.wmf"/><Relationship Id="rId76" Type="http://schemas.openxmlformats.org/officeDocument/2006/relationships/oleObject" Target="embeddings/oleObject12.bin"/><Relationship Id="rId75" Type="http://schemas.openxmlformats.org/officeDocument/2006/relationships/image" Target="media/image16.wmf"/><Relationship Id="rId74" Type="http://schemas.openxmlformats.org/officeDocument/2006/relationships/image" Target="media/image15.wmf"/><Relationship Id="rId73" Type="http://schemas.openxmlformats.org/officeDocument/2006/relationships/image" Target="media/image14.wmf"/><Relationship Id="rId72" Type="http://schemas.openxmlformats.org/officeDocument/2006/relationships/image" Target="media/image13.wmf"/><Relationship Id="rId71" Type="http://schemas.openxmlformats.org/officeDocument/2006/relationships/image" Target="media/image12.wmf"/><Relationship Id="rId70" Type="http://schemas.openxmlformats.org/officeDocument/2006/relationships/image" Target="media/image11.wmf"/><Relationship Id="rId7" Type="http://schemas.openxmlformats.org/officeDocument/2006/relationships/header" Target="header3.xml"/><Relationship Id="rId69" Type="http://schemas.openxmlformats.org/officeDocument/2006/relationships/oleObject" Target="embeddings/oleObject11.bin"/><Relationship Id="rId68" Type="http://schemas.openxmlformats.org/officeDocument/2006/relationships/image" Target="media/image10.wmf"/><Relationship Id="rId67" Type="http://schemas.openxmlformats.org/officeDocument/2006/relationships/oleObject" Target="embeddings/oleObject10.bin"/><Relationship Id="rId66" Type="http://schemas.openxmlformats.org/officeDocument/2006/relationships/image" Target="media/image9.wmf"/><Relationship Id="rId65" Type="http://schemas.openxmlformats.org/officeDocument/2006/relationships/oleObject" Target="embeddings/oleObject9.bin"/><Relationship Id="rId64" Type="http://schemas.openxmlformats.org/officeDocument/2006/relationships/image" Target="media/image8.wmf"/><Relationship Id="rId63" Type="http://schemas.openxmlformats.org/officeDocument/2006/relationships/oleObject" Target="embeddings/oleObject8.bin"/><Relationship Id="rId62" Type="http://schemas.openxmlformats.org/officeDocument/2006/relationships/image" Target="media/image7.wmf"/><Relationship Id="rId61" Type="http://schemas.openxmlformats.org/officeDocument/2006/relationships/oleObject" Target="embeddings/oleObject7.bin"/><Relationship Id="rId60" Type="http://schemas.openxmlformats.org/officeDocument/2006/relationships/image" Target="media/image6.wmf"/><Relationship Id="rId6" Type="http://schemas.openxmlformats.org/officeDocument/2006/relationships/header" Target="header2.xml"/><Relationship Id="rId59" Type="http://schemas.openxmlformats.org/officeDocument/2006/relationships/oleObject" Target="embeddings/oleObject6.bin"/><Relationship Id="rId58" Type="http://schemas.openxmlformats.org/officeDocument/2006/relationships/image" Target="media/image5.wmf"/><Relationship Id="rId57" Type="http://schemas.openxmlformats.org/officeDocument/2006/relationships/oleObject" Target="embeddings/oleObject5.bin"/><Relationship Id="rId56" Type="http://schemas.openxmlformats.org/officeDocument/2006/relationships/image" Target="media/image4.wmf"/><Relationship Id="rId55" Type="http://schemas.openxmlformats.org/officeDocument/2006/relationships/oleObject" Target="embeddings/oleObject4.bin"/><Relationship Id="rId54" Type="http://schemas.openxmlformats.org/officeDocument/2006/relationships/image" Target="media/image3.wmf"/><Relationship Id="rId53" Type="http://schemas.openxmlformats.org/officeDocument/2006/relationships/oleObject" Target="embeddings/oleObject3.bin"/><Relationship Id="rId52" Type="http://schemas.openxmlformats.org/officeDocument/2006/relationships/image" Target="media/image2.wmf"/><Relationship Id="rId51" Type="http://schemas.openxmlformats.org/officeDocument/2006/relationships/oleObject" Target="embeddings/oleObject2.bin"/><Relationship Id="rId50" Type="http://schemas.openxmlformats.org/officeDocument/2006/relationships/image" Target="media/image1.wmf"/><Relationship Id="rId5" Type="http://schemas.openxmlformats.org/officeDocument/2006/relationships/header" Target="header1.xml"/><Relationship Id="rId49" Type="http://schemas.openxmlformats.org/officeDocument/2006/relationships/oleObject" Target="embeddings/oleObject1.bin"/><Relationship Id="rId48" Type="http://schemas.openxmlformats.org/officeDocument/2006/relationships/theme" Target="theme/theme1.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footer" Target="footer20.xml"/><Relationship Id="rId44" Type="http://schemas.openxmlformats.org/officeDocument/2006/relationships/footer" Target="footer19.xml"/><Relationship Id="rId43" Type="http://schemas.openxmlformats.org/officeDocument/2006/relationships/footer" Target="footer18.xml"/><Relationship Id="rId42" Type="http://schemas.openxmlformats.org/officeDocument/2006/relationships/header" Target="header21.xml"/><Relationship Id="rId41" Type="http://schemas.openxmlformats.org/officeDocument/2006/relationships/footer" Target="footer17.xml"/><Relationship Id="rId40" Type="http://schemas.openxmlformats.org/officeDocument/2006/relationships/footer" Target="footer16.xml"/><Relationship Id="rId4" Type="http://schemas.openxmlformats.org/officeDocument/2006/relationships/endnotes" Target="endnotes.xml"/><Relationship Id="rId39" Type="http://schemas.openxmlformats.org/officeDocument/2006/relationships/footer" Target="footer15.xml"/><Relationship Id="rId38" Type="http://schemas.openxmlformats.org/officeDocument/2006/relationships/footer" Target="footer14.xml"/><Relationship Id="rId37" Type="http://schemas.openxmlformats.org/officeDocument/2006/relationships/footer" Target="footer13.xml"/><Relationship Id="rId36" Type="http://schemas.openxmlformats.org/officeDocument/2006/relationships/footer" Target="footer12.xml"/><Relationship Id="rId35" Type="http://schemas.openxmlformats.org/officeDocument/2006/relationships/header" Target="header20.xml"/><Relationship Id="rId34" Type="http://schemas.openxmlformats.org/officeDocument/2006/relationships/header" Target="header19.xml"/><Relationship Id="rId33" Type="http://schemas.openxmlformats.org/officeDocument/2006/relationships/header" Target="header18.xml"/><Relationship Id="rId32" Type="http://schemas.openxmlformats.org/officeDocument/2006/relationships/footer" Target="footer11.xml"/><Relationship Id="rId31" Type="http://schemas.openxmlformats.org/officeDocument/2006/relationships/footer" Target="footer10.xml"/><Relationship Id="rId30" Type="http://schemas.openxmlformats.org/officeDocument/2006/relationships/footer" Target="footer9.xml"/><Relationship Id="rId3" Type="http://schemas.openxmlformats.org/officeDocument/2006/relationships/footnotes" Target="footnotes.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footer" Target="footer8.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2022-02-24T10:25:00Z</dcterms:created>
  <dc:creator>Zheng</dc:creator>
  <cp:lastModifiedBy>user</cp:lastModifiedBy>
  <dcterms:modified xsi:type="dcterms:W3CDTF">2022-06-21T17:52:34Z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