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360" w:lineRule="auto"/>
        <w:ind w:firstLine="0" w:firstLineChars="0"/>
        <w:jc w:val="both"/>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pPr>
        <w:pageBreakBefore w:val="0"/>
        <w:kinsoku/>
        <w:wordWrap/>
        <w:overflowPunct/>
        <w:topLinePunct w:val="0"/>
        <w:autoSpaceDE/>
        <w:autoSpaceDN/>
        <w:bidi w:val="0"/>
        <w:spacing w:line="360" w:lineRule="auto"/>
        <w:ind w:firstLine="0" w:firstLineChars="0"/>
        <w:jc w:val="center"/>
        <w:rPr>
          <w:rFonts w:hint="eastAsia" w:ascii="方正小标宋简体" w:hAnsi="方正小标宋简体" w:eastAsia="方正小标宋简体" w:cs="方正小标宋简体"/>
          <w:color w:val="auto"/>
          <w:sz w:val="44"/>
          <w:szCs w:val="44"/>
          <w:highlight w:val="none"/>
          <w:lang w:val="en-US" w:eastAsia="zh-CN"/>
        </w:rPr>
      </w:pPr>
    </w:p>
    <w:p>
      <w:pPr>
        <w:pageBreakBefore w:val="0"/>
        <w:kinsoku/>
        <w:wordWrap/>
        <w:overflowPunct/>
        <w:topLinePunct w:val="0"/>
        <w:autoSpaceDE/>
        <w:autoSpaceDN/>
        <w:bidi w:val="0"/>
        <w:spacing w:line="360" w:lineRule="auto"/>
        <w:ind w:firstLine="0" w:firstLineChars="0"/>
        <w:jc w:val="center"/>
        <w:rPr>
          <w:rFonts w:hint="eastAsia" w:ascii="方正小标宋简体" w:hAnsi="方正小标宋简体" w:eastAsia="方正小标宋简体" w:cs="方正小标宋简体"/>
          <w:color w:val="auto"/>
          <w:sz w:val="44"/>
          <w:szCs w:val="44"/>
          <w:highlight w:val="none"/>
          <w:lang w:val="en-US" w:eastAsia="zh-CN"/>
        </w:rPr>
      </w:pPr>
    </w:p>
    <w:p>
      <w:pPr>
        <w:pageBreakBefore w:val="0"/>
        <w:kinsoku/>
        <w:wordWrap/>
        <w:overflowPunct/>
        <w:topLinePunct w:val="0"/>
        <w:autoSpaceDE/>
        <w:autoSpaceDN/>
        <w:bidi w:val="0"/>
        <w:spacing w:line="360" w:lineRule="auto"/>
        <w:ind w:firstLine="0" w:firstLineChars="0"/>
        <w:jc w:val="center"/>
        <w:rPr>
          <w:rFonts w:hint="eastAsia" w:ascii="方正小标宋简体" w:hAnsi="方正小标宋简体" w:eastAsia="方正小标宋简体" w:cs="方正小标宋简体"/>
          <w:color w:val="auto"/>
          <w:sz w:val="52"/>
          <w:szCs w:val="52"/>
          <w:highlight w:val="none"/>
          <w:lang w:val="en-US" w:eastAsia="zh-CN"/>
        </w:rPr>
      </w:pPr>
      <w:r>
        <w:rPr>
          <w:rFonts w:hint="eastAsia" w:ascii="方正小标宋简体" w:hAnsi="方正小标宋简体" w:eastAsia="方正小标宋简体" w:cs="方正小标宋简体"/>
          <w:color w:val="auto"/>
          <w:sz w:val="52"/>
          <w:szCs w:val="52"/>
          <w:highlight w:val="none"/>
          <w:lang w:val="en-US" w:eastAsia="zh-CN"/>
        </w:rPr>
        <w:t>项目绩效自评报告</w:t>
      </w:r>
    </w:p>
    <w:p>
      <w:pPr>
        <w:pageBreakBefore w:val="0"/>
        <w:kinsoku/>
        <w:wordWrap/>
        <w:overflowPunct/>
        <w:topLinePunct w:val="0"/>
        <w:autoSpaceDE/>
        <w:autoSpaceDN/>
        <w:bidi w:val="0"/>
        <w:spacing w:line="360" w:lineRule="auto"/>
        <w:ind w:firstLine="450" w:firstLineChars="150"/>
        <w:rPr>
          <w:rFonts w:hint="eastAsia" w:ascii="仿宋_GB2312" w:eastAsia="仿宋_GB2312"/>
          <w:color w:val="auto"/>
          <w:sz w:val="30"/>
          <w:szCs w:val="30"/>
          <w:highlight w:val="none"/>
        </w:rPr>
      </w:pPr>
    </w:p>
    <w:p>
      <w:pPr>
        <w:pageBreakBefore w:val="0"/>
        <w:kinsoku/>
        <w:wordWrap/>
        <w:overflowPunct/>
        <w:topLinePunct w:val="0"/>
        <w:autoSpaceDE/>
        <w:autoSpaceDN/>
        <w:bidi w:val="0"/>
        <w:spacing w:line="360" w:lineRule="auto"/>
        <w:ind w:firstLine="450" w:firstLineChars="150"/>
        <w:rPr>
          <w:rFonts w:hint="eastAsia" w:ascii="仿宋_GB2312" w:eastAsia="仿宋_GB2312"/>
          <w:color w:val="auto"/>
          <w:sz w:val="30"/>
          <w:szCs w:val="30"/>
          <w:highlight w:val="none"/>
        </w:rPr>
      </w:pPr>
    </w:p>
    <w:p>
      <w:pPr>
        <w:pageBreakBefore w:val="0"/>
        <w:kinsoku/>
        <w:wordWrap/>
        <w:overflowPunct/>
        <w:topLinePunct w:val="0"/>
        <w:autoSpaceDE/>
        <w:autoSpaceDN/>
        <w:bidi w:val="0"/>
        <w:spacing w:line="360" w:lineRule="auto"/>
        <w:ind w:firstLine="450" w:firstLineChars="150"/>
        <w:rPr>
          <w:rFonts w:hint="eastAsia" w:ascii="仿宋_GB2312" w:eastAsia="仿宋_GB2312"/>
          <w:color w:val="auto"/>
          <w:sz w:val="30"/>
          <w:szCs w:val="30"/>
          <w:highlight w:val="none"/>
        </w:rPr>
      </w:pPr>
    </w:p>
    <w:p>
      <w:pPr>
        <w:pageBreakBefore w:val="0"/>
        <w:kinsoku/>
        <w:wordWrap/>
        <w:overflowPunct/>
        <w:topLinePunct w:val="0"/>
        <w:autoSpaceDE/>
        <w:autoSpaceDN/>
        <w:bidi w:val="0"/>
        <w:spacing w:line="360" w:lineRule="auto"/>
        <w:ind w:firstLine="450" w:firstLineChars="150"/>
        <w:rPr>
          <w:rFonts w:hint="eastAsia" w:ascii="仿宋_GB2312" w:eastAsia="仿宋_GB2312"/>
          <w:color w:val="auto"/>
          <w:sz w:val="30"/>
          <w:szCs w:val="30"/>
          <w:highlight w:val="none"/>
        </w:rPr>
      </w:pPr>
    </w:p>
    <w:p>
      <w:pPr>
        <w:pageBreakBefore w:val="0"/>
        <w:kinsoku/>
        <w:wordWrap/>
        <w:overflowPunct/>
        <w:topLinePunct w:val="0"/>
        <w:autoSpaceDE/>
        <w:autoSpaceDN/>
        <w:bidi w:val="0"/>
        <w:spacing w:line="360" w:lineRule="auto"/>
        <w:ind w:firstLine="450" w:firstLineChars="150"/>
        <w:rPr>
          <w:rFonts w:hint="eastAsia" w:ascii="仿宋_GB2312" w:eastAsia="仿宋_GB2312"/>
          <w:color w:val="auto"/>
          <w:sz w:val="30"/>
          <w:szCs w:val="30"/>
          <w:highlight w:val="none"/>
        </w:rPr>
      </w:pPr>
    </w:p>
    <w:p>
      <w:pPr>
        <w:pageBreakBefore w:val="0"/>
        <w:kinsoku/>
        <w:wordWrap/>
        <w:overflowPunct/>
        <w:topLinePunct w:val="0"/>
        <w:autoSpaceDE/>
        <w:autoSpaceDN/>
        <w:bidi w:val="0"/>
        <w:spacing w:line="360" w:lineRule="auto"/>
        <w:ind w:firstLine="450" w:firstLineChars="150"/>
        <w:rPr>
          <w:rFonts w:hint="eastAsia" w:ascii="仿宋_GB2312" w:eastAsia="仿宋_GB2312"/>
          <w:color w:val="auto"/>
          <w:sz w:val="30"/>
          <w:szCs w:val="30"/>
          <w:highlight w:val="none"/>
        </w:rPr>
      </w:pPr>
    </w:p>
    <w:p>
      <w:pPr>
        <w:pageBreakBefore w:val="0"/>
        <w:kinsoku/>
        <w:wordWrap/>
        <w:overflowPunct/>
        <w:topLinePunct w:val="0"/>
        <w:autoSpaceDE/>
        <w:autoSpaceDN/>
        <w:bidi w:val="0"/>
        <w:spacing w:line="360" w:lineRule="auto"/>
        <w:ind w:firstLine="450" w:firstLineChars="150"/>
        <w:rPr>
          <w:rFonts w:hint="eastAsia" w:ascii="仿宋_GB2312" w:eastAsia="仿宋_GB2312"/>
          <w:color w:val="auto"/>
          <w:sz w:val="30"/>
          <w:szCs w:val="30"/>
          <w:highlight w:val="none"/>
        </w:rPr>
      </w:pPr>
    </w:p>
    <w:p>
      <w:pPr>
        <w:pageBreakBefore w:val="0"/>
        <w:kinsoku/>
        <w:wordWrap/>
        <w:overflowPunct/>
        <w:topLinePunct w:val="0"/>
        <w:autoSpaceDE/>
        <w:autoSpaceDN/>
        <w:bidi w:val="0"/>
        <w:spacing w:line="360" w:lineRule="auto"/>
        <w:rPr>
          <w:rFonts w:hint="eastAsia" w:ascii="仿宋_GB2312" w:eastAsia="仿宋_GB2312"/>
          <w:color w:val="auto"/>
          <w:sz w:val="30"/>
          <w:szCs w:val="30"/>
          <w:highlight w:val="none"/>
        </w:rPr>
      </w:pP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资金名称：2021年省级乡村振兴驻镇帮镇扶村资金</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预算</w:t>
      </w:r>
      <w:r>
        <w:rPr>
          <w:rFonts w:hint="eastAsia" w:ascii="仿宋_GB2312" w:eastAsia="仿宋_GB2312"/>
          <w:color w:val="auto"/>
          <w:sz w:val="32"/>
          <w:szCs w:val="32"/>
          <w:highlight w:val="none"/>
          <w:lang w:val="en-US" w:eastAsia="zh-CN"/>
        </w:rPr>
        <w:t>单位</w:t>
      </w:r>
      <w:r>
        <w:rPr>
          <w:rFonts w:hint="eastAsia" w:ascii="仿宋_GB2312" w:eastAsia="仿宋_GB2312"/>
          <w:color w:val="auto"/>
          <w:sz w:val="32"/>
          <w:szCs w:val="32"/>
          <w:highlight w:val="none"/>
        </w:rPr>
        <w:t>：（公章）广东省农业农村厅</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640" w:firstLineChars="200"/>
        <w:textAlignment w:val="auto"/>
        <w:rPr>
          <w:rFonts w:hint="default" w:ascii="仿宋_GB2312" w:eastAsia="仿宋_GB2312"/>
          <w:color w:val="auto"/>
          <w:sz w:val="32"/>
          <w:szCs w:val="32"/>
          <w:highlight w:val="none"/>
          <w:lang w:val="en-US" w:eastAsia="zh-CN"/>
        </w:rPr>
        <w:sectPr>
          <w:pgSz w:w="11906" w:h="16838"/>
          <w:pgMar w:top="2041" w:right="1417" w:bottom="1417" w:left="1531" w:header="851" w:footer="992" w:gutter="0"/>
          <w:pgNumType w:fmt="numberInDash"/>
          <w:cols w:space="425" w:num="1"/>
          <w:docGrid w:type="lines" w:linePitch="312" w:charSpace="0"/>
        </w:sectPr>
      </w:pPr>
      <w:bookmarkStart w:id="26" w:name="_GoBack"/>
      <w:bookmarkEnd w:id="26"/>
      <w:r>
        <w:rPr>
          <w:rFonts w:hint="eastAsia" w:ascii="仿宋_GB2312" w:eastAsia="仿宋_GB2312"/>
          <w:color w:val="auto"/>
          <w:sz w:val="32"/>
          <w:szCs w:val="32"/>
          <w:highlight w:val="none"/>
        </w:rPr>
        <w:t>填报日期：</w:t>
      </w:r>
      <w:r>
        <w:rPr>
          <w:rFonts w:hint="eastAsia" w:ascii="仿宋_GB2312" w:eastAsia="仿宋_GB2312"/>
          <w:color w:val="auto"/>
          <w:sz w:val="32"/>
          <w:szCs w:val="32"/>
          <w:highlight w:val="none"/>
          <w:lang w:val="en-US" w:eastAsia="zh-CN"/>
        </w:rPr>
        <w:t>2022年7月21日</w:t>
      </w:r>
    </w:p>
    <w:sdt>
      <w:sdtPr>
        <w:rPr>
          <w:rFonts w:ascii="宋体" w:hAnsi="宋体" w:eastAsia="宋体" w:cs="Times New Roman"/>
          <w:color w:val="auto"/>
          <w:kern w:val="2"/>
          <w:sz w:val="21"/>
          <w:szCs w:val="24"/>
          <w:highlight w:val="none"/>
          <w:lang w:val="en-US" w:eastAsia="zh-CN" w:bidi="ar-SA"/>
        </w:rPr>
        <w:id w:val="147465339"/>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pPr>
            <w:pageBreakBefore w:val="0"/>
            <w:kinsoku/>
            <w:wordWrap/>
            <w:overflowPunct/>
            <w:topLinePunct w:val="0"/>
            <w:autoSpaceDE/>
            <w:autoSpaceDN/>
            <w:bidi w:val="0"/>
            <w:spacing w:before="0" w:beforeLines="0" w:after="0" w:afterLines="0" w:line="360" w:lineRule="auto"/>
            <w:ind w:left="0" w:leftChars="0" w:right="0" w:righ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目录</w:t>
          </w:r>
        </w:p>
        <w:p>
          <w:pPr>
            <w:pStyle w:val="15"/>
            <w:pageBreakBefore w:val="0"/>
            <w:tabs>
              <w:tab w:val="right" w:leader="dot" w:pos="8306"/>
            </w:tabs>
            <w:kinsoku/>
            <w:wordWrap/>
            <w:overflowPunct/>
            <w:topLinePunct w:val="0"/>
            <w:autoSpaceDE/>
            <w:autoSpaceDN/>
            <w:bidi w:val="0"/>
            <w:spacing w:line="360" w:lineRule="auto"/>
            <w:rPr>
              <w:rFonts w:hint="eastAsia" w:ascii="仿宋_GB2312" w:hAnsi="仿宋_GB2312" w:eastAsia="仿宋_GB2312" w:cs="仿宋_GB2312"/>
              <w:color w:val="auto"/>
              <w:kern w:val="0"/>
              <w:sz w:val="32"/>
              <w:szCs w:val="32"/>
              <w:highlight w:val="none"/>
              <w:lang w:val="en-US" w:eastAsia="zh-CN" w:bidi="ar-SA"/>
            </w:rPr>
          </w:pPr>
          <w:r>
            <w:rPr>
              <w:rFonts w:hint="eastAsia" w:ascii="黑体" w:eastAsia="黑体"/>
              <w:color w:val="auto"/>
              <w:sz w:val="32"/>
              <w:szCs w:val="32"/>
              <w:highlight w:val="none"/>
            </w:rPr>
            <w:fldChar w:fldCharType="begin"/>
          </w:r>
          <w:r>
            <w:rPr>
              <w:rFonts w:hint="eastAsia" w:ascii="黑体" w:eastAsia="黑体"/>
              <w:color w:val="auto"/>
              <w:sz w:val="32"/>
              <w:szCs w:val="32"/>
              <w:highlight w:val="none"/>
            </w:rPr>
            <w:instrText xml:space="preserve">TOC \o "1-2" \h \u </w:instrText>
          </w:r>
          <w:r>
            <w:rPr>
              <w:rFonts w:hint="eastAsia" w:ascii="黑体" w:eastAsia="黑体"/>
              <w:color w:val="auto"/>
              <w:sz w:val="32"/>
              <w:szCs w:val="32"/>
              <w:highlight w:val="none"/>
            </w:rPr>
            <w:fldChar w:fldCharType="separate"/>
          </w: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HYPERLINK \l _Toc18177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一、基本情况</w:t>
          </w:r>
          <w:r>
            <w:rPr>
              <w:rFonts w:hint="eastAsia" w:ascii="仿宋_GB2312" w:hAnsi="仿宋_GB2312" w:eastAsia="仿宋_GB2312" w:cs="仿宋_GB2312"/>
              <w:color w:val="auto"/>
              <w:kern w:val="0"/>
              <w:sz w:val="32"/>
              <w:szCs w:val="32"/>
              <w:highlight w:val="none"/>
              <w:lang w:val="en-US" w:eastAsia="zh-CN" w:bidi="ar-SA"/>
            </w:rPr>
            <w:tab/>
          </w: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PAGEREF _Toc18177 \h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- 1 -</w:t>
          </w:r>
          <w:r>
            <w:rPr>
              <w:rFonts w:hint="eastAsia" w:ascii="仿宋_GB2312" w:hAnsi="仿宋_GB2312" w:eastAsia="仿宋_GB2312" w:cs="仿宋_GB2312"/>
              <w:color w:val="auto"/>
              <w:kern w:val="0"/>
              <w:sz w:val="32"/>
              <w:szCs w:val="32"/>
              <w:highlight w:val="none"/>
              <w:lang w:val="en-US" w:eastAsia="zh-CN" w:bidi="ar-SA"/>
            </w:rPr>
            <w:fldChar w:fldCharType="end"/>
          </w:r>
          <w:r>
            <w:rPr>
              <w:rFonts w:hint="eastAsia" w:ascii="仿宋_GB2312" w:hAnsi="仿宋_GB2312" w:eastAsia="仿宋_GB2312" w:cs="仿宋_GB2312"/>
              <w:color w:val="auto"/>
              <w:kern w:val="0"/>
              <w:sz w:val="32"/>
              <w:szCs w:val="32"/>
              <w:highlight w:val="none"/>
              <w:lang w:val="en-US" w:eastAsia="zh-CN" w:bidi="ar-SA"/>
            </w:rPr>
            <w:fldChar w:fldCharType="end"/>
          </w:r>
        </w:p>
        <w:p>
          <w:pPr>
            <w:pStyle w:val="15"/>
            <w:pageBreakBefore w:val="0"/>
            <w:tabs>
              <w:tab w:val="right" w:leader="dot" w:pos="8306"/>
            </w:tabs>
            <w:kinsoku/>
            <w:wordWrap/>
            <w:overflowPunct/>
            <w:topLinePunct w:val="0"/>
            <w:autoSpaceDE/>
            <w:autoSpaceDN/>
            <w:bidi w:val="0"/>
            <w:spacing w:line="360" w:lineRule="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HYPERLINK \l _Toc7164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（一）资金额度</w:t>
          </w:r>
          <w:r>
            <w:rPr>
              <w:rFonts w:hint="eastAsia" w:ascii="仿宋_GB2312" w:hAnsi="仿宋_GB2312" w:eastAsia="仿宋_GB2312" w:cs="仿宋_GB2312"/>
              <w:color w:val="auto"/>
              <w:kern w:val="0"/>
              <w:sz w:val="32"/>
              <w:szCs w:val="32"/>
              <w:highlight w:val="none"/>
              <w:lang w:val="en-US" w:eastAsia="zh-CN" w:bidi="ar-SA"/>
            </w:rPr>
            <w:tab/>
          </w: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PAGEREF _Toc7164 \h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- 1 -</w:t>
          </w:r>
          <w:r>
            <w:rPr>
              <w:rFonts w:hint="eastAsia" w:ascii="仿宋_GB2312" w:hAnsi="仿宋_GB2312" w:eastAsia="仿宋_GB2312" w:cs="仿宋_GB2312"/>
              <w:color w:val="auto"/>
              <w:kern w:val="0"/>
              <w:sz w:val="32"/>
              <w:szCs w:val="32"/>
              <w:highlight w:val="none"/>
              <w:lang w:val="en-US" w:eastAsia="zh-CN" w:bidi="ar-SA"/>
            </w:rPr>
            <w:fldChar w:fldCharType="end"/>
          </w:r>
          <w:r>
            <w:rPr>
              <w:rFonts w:hint="eastAsia" w:ascii="仿宋_GB2312" w:hAnsi="仿宋_GB2312" w:eastAsia="仿宋_GB2312" w:cs="仿宋_GB2312"/>
              <w:color w:val="auto"/>
              <w:kern w:val="0"/>
              <w:sz w:val="32"/>
              <w:szCs w:val="32"/>
              <w:highlight w:val="none"/>
              <w:lang w:val="en-US" w:eastAsia="zh-CN" w:bidi="ar-SA"/>
            </w:rPr>
            <w:fldChar w:fldCharType="end"/>
          </w:r>
        </w:p>
        <w:p>
          <w:pPr>
            <w:pStyle w:val="15"/>
            <w:pageBreakBefore w:val="0"/>
            <w:tabs>
              <w:tab w:val="right" w:leader="dot" w:pos="8306"/>
            </w:tabs>
            <w:kinsoku/>
            <w:wordWrap/>
            <w:overflowPunct/>
            <w:topLinePunct w:val="0"/>
            <w:autoSpaceDE/>
            <w:autoSpaceDN/>
            <w:bidi w:val="0"/>
            <w:spacing w:line="360" w:lineRule="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HYPERLINK \l _Toc21243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（二）资金主要用途和实施程序</w:t>
          </w:r>
          <w:r>
            <w:rPr>
              <w:rFonts w:hint="eastAsia" w:ascii="仿宋_GB2312" w:hAnsi="仿宋_GB2312" w:eastAsia="仿宋_GB2312" w:cs="仿宋_GB2312"/>
              <w:color w:val="auto"/>
              <w:kern w:val="0"/>
              <w:sz w:val="32"/>
              <w:szCs w:val="32"/>
              <w:highlight w:val="none"/>
              <w:lang w:val="en-US" w:eastAsia="zh-CN" w:bidi="ar-SA"/>
            </w:rPr>
            <w:tab/>
          </w: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PAGEREF _Toc21243 \h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- 2 -</w:t>
          </w:r>
          <w:r>
            <w:rPr>
              <w:rFonts w:hint="eastAsia" w:ascii="仿宋_GB2312" w:hAnsi="仿宋_GB2312" w:eastAsia="仿宋_GB2312" w:cs="仿宋_GB2312"/>
              <w:color w:val="auto"/>
              <w:kern w:val="0"/>
              <w:sz w:val="32"/>
              <w:szCs w:val="32"/>
              <w:highlight w:val="none"/>
              <w:lang w:val="en-US" w:eastAsia="zh-CN" w:bidi="ar-SA"/>
            </w:rPr>
            <w:fldChar w:fldCharType="end"/>
          </w:r>
          <w:r>
            <w:rPr>
              <w:rFonts w:hint="eastAsia" w:ascii="仿宋_GB2312" w:hAnsi="仿宋_GB2312" w:eastAsia="仿宋_GB2312" w:cs="仿宋_GB2312"/>
              <w:color w:val="auto"/>
              <w:kern w:val="0"/>
              <w:sz w:val="32"/>
              <w:szCs w:val="32"/>
              <w:highlight w:val="none"/>
              <w:lang w:val="en-US" w:eastAsia="zh-CN" w:bidi="ar-SA"/>
            </w:rPr>
            <w:fldChar w:fldCharType="end"/>
          </w:r>
        </w:p>
        <w:p>
          <w:pPr>
            <w:pStyle w:val="15"/>
            <w:pageBreakBefore w:val="0"/>
            <w:tabs>
              <w:tab w:val="right" w:leader="dot" w:pos="8306"/>
            </w:tabs>
            <w:kinsoku/>
            <w:wordWrap/>
            <w:overflowPunct/>
            <w:topLinePunct w:val="0"/>
            <w:autoSpaceDE/>
            <w:autoSpaceDN/>
            <w:bidi w:val="0"/>
            <w:spacing w:line="360" w:lineRule="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HYPERLINK \l _Toc2782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（三）</w:t>
          </w:r>
          <w:r>
            <w:rPr>
              <w:rFonts w:hint="default" w:ascii="仿宋_GB2312" w:hAnsi="仿宋_GB2312" w:eastAsia="仿宋_GB2312" w:cs="仿宋_GB2312"/>
              <w:color w:val="auto"/>
              <w:kern w:val="0"/>
              <w:sz w:val="32"/>
              <w:szCs w:val="32"/>
              <w:highlight w:val="none"/>
              <w:lang w:val="en-US" w:eastAsia="zh-CN" w:bidi="ar-SA"/>
            </w:rPr>
            <w:t>绩效目标</w:t>
          </w:r>
          <w:r>
            <w:rPr>
              <w:rFonts w:hint="eastAsia" w:ascii="仿宋_GB2312" w:hAnsi="仿宋_GB2312" w:eastAsia="仿宋_GB2312" w:cs="仿宋_GB2312"/>
              <w:color w:val="auto"/>
              <w:kern w:val="0"/>
              <w:sz w:val="32"/>
              <w:szCs w:val="32"/>
              <w:highlight w:val="none"/>
              <w:lang w:val="en-US" w:eastAsia="zh-CN" w:bidi="ar-SA"/>
            </w:rPr>
            <w:tab/>
          </w: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PAGEREF _Toc2782 \h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- 7 -</w:t>
          </w:r>
          <w:r>
            <w:rPr>
              <w:rFonts w:hint="eastAsia" w:ascii="仿宋_GB2312" w:hAnsi="仿宋_GB2312" w:eastAsia="仿宋_GB2312" w:cs="仿宋_GB2312"/>
              <w:color w:val="auto"/>
              <w:kern w:val="0"/>
              <w:sz w:val="32"/>
              <w:szCs w:val="32"/>
              <w:highlight w:val="none"/>
              <w:lang w:val="en-US" w:eastAsia="zh-CN" w:bidi="ar-SA"/>
            </w:rPr>
            <w:fldChar w:fldCharType="end"/>
          </w:r>
          <w:r>
            <w:rPr>
              <w:rFonts w:hint="eastAsia" w:ascii="仿宋_GB2312" w:hAnsi="仿宋_GB2312" w:eastAsia="仿宋_GB2312" w:cs="仿宋_GB2312"/>
              <w:color w:val="auto"/>
              <w:kern w:val="0"/>
              <w:sz w:val="32"/>
              <w:szCs w:val="32"/>
              <w:highlight w:val="none"/>
              <w:lang w:val="en-US" w:eastAsia="zh-CN" w:bidi="ar-SA"/>
            </w:rPr>
            <w:fldChar w:fldCharType="end"/>
          </w:r>
        </w:p>
        <w:p>
          <w:pPr>
            <w:pStyle w:val="15"/>
            <w:pageBreakBefore w:val="0"/>
            <w:tabs>
              <w:tab w:val="right" w:leader="dot" w:pos="8306"/>
            </w:tabs>
            <w:kinsoku/>
            <w:wordWrap/>
            <w:overflowPunct/>
            <w:topLinePunct w:val="0"/>
            <w:autoSpaceDE/>
            <w:autoSpaceDN/>
            <w:bidi w:val="0"/>
            <w:spacing w:line="360" w:lineRule="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HYPERLINK \l _Toc4227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二、自评情况</w:t>
          </w:r>
          <w:r>
            <w:rPr>
              <w:rFonts w:hint="eastAsia" w:ascii="仿宋_GB2312" w:hAnsi="仿宋_GB2312" w:eastAsia="仿宋_GB2312" w:cs="仿宋_GB2312"/>
              <w:color w:val="auto"/>
              <w:kern w:val="0"/>
              <w:sz w:val="32"/>
              <w:szCs w:val="32"/>
              <w:highlight w:val="none"/>
              <w:lang w:val="en-US" w:eastAsia="zh-CN" w:bidi="ar-SA"/>
            </w:rPr>
            <w:tab/>
          </w: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PAGEREF _Toc4227 \h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- 9 -</w:t>
          </w:r>
          <w:r>
            <w:rPr>
              <w:rFonts w:hint="eastAsia" w:ascii="仿宋_GB2312" w:hAnsi="仿宋_GB2312" w:eastAsia="仿宋_GB2312" w:cs="仿宋_GB2312"/>
              <w:color w:val="auto"/>
              <w:kern w:val="0"/>
              <w:sz w:val="32"/>
              <w:szCs w:val="32"/>
              <w:highlight w:val="none"/>
              <w:lang w:val="en-US" w:eastAsia="zh-CN" w:bidi="ar-SA"/>
            </w:rPr>
            <w:fldChar w:fldCharType="end"/>
          </w:r>
          <w:r>
            <w:rPr>
              <w:rFonts w:hint="eastAsia" w:ascii="仿宋_GB2312" w:hAnsi="仿宋_GB2312" w:eastAsia="仿宋_GB2312" w:cs="仿宋_GB2312"/>
              <w:color w:val="auto"/>
              <w:kern w:val="0"/>
              <w:sz w:val="32"/>
              <w:szCs w:val="32"/>
              <w:highlight w:val="none"/>
              <w:lang w:val="en-US" w:eastAsia="zh-CN" w:bidi="ar-SA"/>
            </w:rPr>
            <w:fldChar w:fldCharType="end"/>
          </w:r>
        </w:p>
        <w:p>
          <w:pPr>
            <w:pStyle w:val="15"/>
            <w:pageBreakBefore w:val="0"/>
            <w:tabs>
              <w:tab w:val="right" w:leader="dot" w:pos="8306"/>
            </w:tabs>
            <w:kinsoku/>
            <w:wordWrap/>
            <w:overflowPunct/>
            <w:topLinePunct w:val="0"/>
            <w:autoSpaceDE/>
            <w:autoSpaceDN/>
            <w:bidi w:val="0"/>
            <w:spacing w:line="360" w:lineRule="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HYPERLINK \l _Toc27607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（一）自评分数</w:t>
          </w:r>
          <w:r>
            <w:rPr>
              <w:rFonts w:hint="eastAsia" w:ascii="仿宋_GB2312" w:hAnsi="仿宋_GB2312" w:eastAsia="仿宋_GB2312" w:cs="仿宋_GB2312"/>
              <w:color w:val="auto"/>
              <w:kern w:val="0"/>
              <w:sz w:val="32"/>
              <w:szCs w:val="32"/>
              <w:highlight w:val="none"/>
              <w:lang w:val="en-US" w:eastAsia="zh-CN" w:bidi="ar-SA"/>
            </w:rPr>
            <w:tab/>
          </w: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PAGEREF _Toc27607 \h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- 9 -</w:t>
          </w:r>
          <w:r>
            <w:rPr>
              <w:rFonts w:hint="eastAsia" w:ascii="仿宋_GB2312" w:hAnsi="仿宋_GB2312" w:eastAsia="仿宋_GB2312" w:cs="仿宋_GB2312"/>
              <w:color w:val="auto"/>
              <w:kern w:val="0"/>
              <w:sz w:val="32"/>
              <w:szCs w:val="32"/>
              <w:highlight w:val="none"/>
              <w:lang w:val="en-US" w:eastAsia="zh-CN" w:bidi="ar-SA"/>
            </w:rPr>
            <w:fldChar w:fldCharType="end"/>
          </w:r>
          <w:r>
            <w:rPr>
              <w:rFonts w:hint="eastAsia" w:ascii="仿宋_GB2312" w:hAnsi="仿宋_GB2312" w:eastAsia="仿宋_GB2312" w:cs="仿宋_GB2312"/>
              <w:color w:val="auto"/>
              <w:kern w:val="0"/>
              <w:sz w:val="32"/>
              <w:szCs w:val="32"/>
              <w:highlight w:val="none"/>
              <w:lang w:val="en-US" w:eastAsia="zh-CN" w:bidi="ar-SA"/>
            </w:rPr>
            <w:fldChar w:fldCharType="end"/>
          </w:r>
        </w:p>
        <w:p>
          <w:pPr>
            <w:pStyle w:val="15"/>
            <w:pageBreakBefore w:val="0"/>
            <w:tabs>
              <w:tab w:val="right" w:leader="dot" w:pos="8306"/>
            </w:tabs>
            <w:kinsoku/>
            <w:wordWrap/>
            <w:overflowPunct/>
            <w:topLinePunct w:val="0"/>
            <w:autoSpaceDE/>
            <w:autoSpaceDN/>
            <w:bidi w:val="0"/>
            <w:spacing w:line="360" w:lineRule="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HYPERLINK \l _Toc30852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（二）专项资金使用绩效</w:t>
          </w:r>
          <w:r>
            <w:rPr>
              <w:rFonts w:hint="eastAsia" w:ascii="仿宋_GB2312" w:hAnsi="仿宋_GB2312" w:eastAsia="仿宋_GB2312" w:cs="仿宋_GB2312"/>
              <w:color w:val="auto"/>
              <w:kern w:val="0"/>
              <w:sz w:val="32"/>
              <w:szCs w:val="32"/>
              <w:highlight w:val="none"/>
              <w:lang w:val="en-US" w:eastAsia="zh-CN" w:bidi="ar-SA"/>
            </w:rPr>
            <w:tab/>
          </w: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PAGEREF _Toc30852 \h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- 14 -</w:t>
          </w:r>
          <w:r>
            <w:rPr>
              <w:rFonts w:hint="eastAsia" w:ascii="仿宋_GB2312" w:hAnsi="仿宋_GB2312" w:eastAsia="仿宋_GB2312" w:cs="仿宋_GB2312"/>
              <w:color w:val="auto"/>
              <w:kern w:val="0"/>
              <w:sz w:val="32"/>
              <w:szCs w:val="32"/>
              <w:highlight w:val="none"/>
              <w:lang w:val="en-US" w:eastAsia="zh-CN" w:bidi="ar-SA"/>
            </w:rPr>
            <w:fldChar w:fldCharType="end"/>
          </w:r>
          <w:r>
            <w:rPr>
              <w:rFonts w:hint="eastAsia" w:ascii="仿宋_GB2312" w:hAnsi="仿宋_GB2312" w:eastAsia="仿宋_GB2312" w:cs="仿宋_GB2312"/>
              <w:color w:val="auto"/>
              <w:kern w:val="0"/>
              <w:sz w:val="32"/>
              <w:szCs w:val="32"/>
              <w:highlight w:val="none"/>
              <w:lang w:val="en-US" w:eastAsia="zh-CN" w:bidi="ar-SA"/>
            </w:rPr>
            <w:fldChar w:fldCharType="end"/>
          </w:r>
        </w:p>
        <w:p>
          <w:pPr>
            <w:pStyle w:val="15"/>
            <w:pageBreakBefore w:val="0"/>
            <w:tabs>
              <w:tab w:val="right" w:leader="dot" w:pos="8306"/>
            </w:tabs>
            <w:kinsoku/>
            <w:wordWrap/>
            <w:overflowPunct/>
            <w:topLinePunct w:val="0"/>
            <w:autoSpaceDE/>
            <w:autoSpaceDN/>
            <w:bidi w:val="0"/>
            <w:spacing w:line="360" w:lineRule="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HYPERLINK \l _Toc3121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（三）专项资金使用绩效存在的问题</w:t>
          </w:r>
          <w:r>
            <w:rPr>
              <w:rFonts w:hint="eastAsia" w:ascii="仿宋_GB2312" w:hAnsi="仿宋_GB2312" w:eastAsia="仿宋_GB2312" w:cs="仿宋_GB2312"/>
              <w:color w:val="auto"/>
              <w:kern w:val="0"/>
              <w:sz w:val="32"/>
              <w:szCs w:val="32"/>
              <w:highlight w:val="none"/>
              <w:lang w:val="en-US" w:eastAsia="zh-CN" w:bidi="ar-SA"/>
            </w:rPr>
            <w:tab/>
          </w: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PAGEREF _Toc3121 \h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- 19 -</w:t>
          </w:r>
          <w:r>
            <w:rPr>
              <w:rFonts w:hint="eastAsia" w:ascii="仿宋_GB2312" w:hAnsi="仿宋_GB2312" w:eastAsia="仿宋_GB2312" w:cs="仿宋_GB2312"/>
              <w:color w:val="auto"/>
              <w:kern w:val="0"/>
              <w:sz w:val="32"/>
              <w:szCs w:val="32"/>
              <w:highlight w:val="none"/>
              <w:lang w:val="en-US" w:eastAsia="zh-CN" w:bidi="ar-SA"/>
            </w:rPr>
            <w:fldChar w:fldCharType="end"/>
          </w:r>
          <w:r>
            <w:rPr>
              <w:rFonts w:hint="eastAsia" w:ascii="仿宋_GB2312" w:hAnsi="仿宋_GB2312" w:eastAsia="仿宋_GB2312" w:cs="仿宋_GB2312"/>
              <w:color w:val="auto"/>
              <w:kern w:val="0"/>
              <w:sz w:val="32"/>
              <w:szCs w:val="32"/>
              <w:highlight w:val="none"/>
              <w:lang w:val="en-US" w:eastAsia="zh-CN" w:bidi="ar-SA"/>
            </w:rPr>
            <w:fldChar w:fldCharType="end"/>
          </w:r>
        </w:p>
        <w:p>
          <w:pPr>
            <w:pStyle w:val="15"/>
            <w:pageBreakBefore w:val="0"/>
            <w:tabs>
              <w:tab w:val="right" w:leader="dot" w:pos="8306"/>
            </w:tabs>
            <w:kinsoku/>
            <w:wordWrap/>
            <w:overflowPunct/>
            <w:topLinePunct w:val="0"/>
            <w:autoSpaceDE/>
            <w:autoSpaceDN/>
            <w:bidi w:val="0"/>
            <w:spacing w:line="360" w:lineRule="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HYPERLINK \l _Toc8960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三、改进意见</w:t>
          </w:r>
          <w:r>
            <w:rPr>
              <w:rFonts w:hint="eastAsia" w:ascii="仿宋_GB2312" w:hAnsi="仿宋_GB2312" w:eastAsia="仿宋_GB2312" w:cs="仿宋_GB2312"/>
              <w:color w:val="auto"/>
              <w:kern w:val="0"/>
              <w:sz w:val="32"/>
              <w:szCs w:val="32"/>
              <w:highlight w:val="none"/>
              <w:lang w:val="en-US" w:eastAsia="zh-CN" w:bidi="ar-SA"/>
            </w:rPr>
            <w:tab/>
          </w: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PAGEREF _Toc8960 \h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- 19 -</w:t>
          </w:r>
          <w:r>
            <w:rPr>
              <w:rFonts w:hint="eastAsia" w:ascii="仿宋_GB2312" w:hAnsi="仿宋_GB2312" w:eastAsia="仿宋_GB2312" w:cs="仿宋_GB2312"/>
              <w:color w:val="auto"/>
              <w:kern w:val="0"/>
              <w:sz w:val="32"/>
              <w:szCs w:val="32"/>
              <w:highlight w:val="none"/>
              <w:lang w:val="en-US" w:eastAsia="zh-CN" w:bidi="ar-SA"/>
            </w:rPr>
            <w:fldChar w:fldCharType="end"/>
          </w:r>
          <w:r>
            <w:rPr>
              <w:rFonts w:hint="eastAsia" w:ascii="仿宋_GB2312" w:hAnsi="仿宋_GB2312" w:eastAsia="仿宋_GB2312" w:cs="仿宋_GB2312"/>
              <w:color w:val="auto"/>
              <w:kern w:val="0"/>
              <w:sz w:val="32"/>
              <w:szCs w:val="32"/>
              <w:highlight w:val="none"/>
              <w:lang w:val="en-US" w:eastAsia="zh-CN" w:bidi="ar-SA"/>
            </w:rPr>
            <w:fldChar w:fldCharType="end"/>
          </w:r>
        </w:p>
        <w:p>
          <w:pPr>
            <w:pStyle w:val="15"/>
            <w:pageBreakBefore w:val="0"/>
            <w:tabs>
              <w:tab w:val="right" w:leader="dot" w:pos="8306"/>
            </w:tabs>
            <w:kinsoku/>
            <w:wordWrap/>
            <w:overflowPunct/>
            <w:topLinePunct w:val="0"/>
            <w:autoSpaceDE/>
            <w:autoSpaceDN/>
            <w:bidi w:val="0"/>
            <w:spacing w:line="360" w:lineRule="auto"/>
            <w:rPr>
              <w:color w:val="auto"/>
              <w:highlight w:val="none"/>
            </w:rPr>
          </w:pPr>
        </w:p>
        <w:p>
          <w:pPr>
            <w:pageBreakBefore w:val="0"/>
            <w:kinsoku/>
            <w:wordWrap/>
            <w:overflowPunct/>
            <w:topLinePunct w:val="0"/>
            <w:autoSpaceDE/>
            <w:autoSpaceDN/>
            <w:bidi w:val="0"/>
            <w:snapToGrid w:val="0"/>
            <w:spacing w:beforeLines="0" w:afterLines="0" w:line="360" w:lineRule="auto"/>
            <w:rPr>
              <w:rFonts w:hint="eastAsia" w:ascii="黑体" w:eastAsia="黑体"/>
              <w:color w:val="auto"/>
              <w:sz w:val="32"/>
              <w:szCs w:val="32"/>
              <w:highlight w:val="none"/>
            </w:rPr>
          </w:pPr>
          <w:r>
            <w:rPr>
              <w:rFonts w:hint="eastAsia" w:ascii="黑体" w:eastAsia="黑体"/>
              <w:b/>
              <w:color w:val="auto"/>
              <w:szCs w:val="32"/>
              <w:highlight w:val="none"/>
            </w:rPr>
            <w:fldChar w:fldCharType="end"/>
          </w:r>
        </w:p>
      </w:sdtContent>
    </w:sdt>
    <w:p>
      <w:pPr>
        <w:pageBreakBefore w:val="0"/>
        <w:kinsoku/>
        <w:wordWrap/>
        <w:overflowPunct/>
        <w:topLinePunct w:val="0"/>
        <w:autoSpaceDE/>
        <w:autoSpaceDN/>
        <w:bidi w:val="0"/>
        <w:snapToGrid w:val="0"/>
        <w:spacing w:beforeLines="0" w:afterLines="0" w:line="360" w:lineRule="auto"/>
        <w:ind w:firstLine="640" w:firstLineChars="200"/>
        <w:rPr>
          <w:rFonts w:hint="eastAsia" w:ascii="黑体" w:eastAsia="黑体"/>
          <w:color w:val="auto"/>
          <w:sz w:val="32"/>
          <w:szCs w:val="32"/>
          <w:highlight w:val="none"/>
        </w:rPr>
      </w:pPr>
    </w:p>
    <w:p>
      <w:pPr>
        <w:pageBreakBefore w:val="0"/>
        <w:kinsoku/>
        <w:wordWrap/>
        <w:overflowPunct/>
        <w:topLinePunct w:val="0"/>
        <w:autoSpaceDE/>
        <w:autoSpaceDN/>
        <w:bidi w:val="0"/>
        <w:snapToGrid w:val="0"/>
        <w:spacing w:beforeLines="0" w:afterLines="0" w:line="360" w:lineRule="auto"/>
        <w:ind w:firstLine="640" w:firstLineChars="200"/>
        <w:rPr>
          <w:rFonts w:hint="eastAsia" w:ascii="黑体" w:eastAsia="黑体"/>
          <w:color w:val="auto"/>
          <w:sz w:val="32"/>
          <w:szCs w:val="32"/>
          <w:highlight w:val="none"/>
        </w:rPr>
      </w:pPr>
    </w:p>
    <w:p>
      <w:pPr>
        <w:pageBreakBefore w:val="0"/>
        <w:kinsoku/>
        <w:wordWrap/>
        <w:overflowPunct/>
        <w:topLinePunct w:val="0"/>
        <w:autoSpaceDE/>
        <w:autoSpaceDN/>
        <w:bidi w:val="0"/>
        <w:snapToGrid w:val="0"/>
        <w:spacing w:beforeLines="0" w:afterLines="0" w:line="360" w:lineRule="auto"/>
        <w:ind w:firstLine="640" w:firstLineChars="200"/>
        <w:rPr>
          <w:rFonts w:hint="eastAsia" w:ascii="黑体" w:eastAsia="黑体"/>
          <w:color w:val="auto"/>
          <w:sz w:val="32"/>
          <w:szCs w:val="32"/>
          <w:highlight w:val="none"/>
        </w:rPr>
      </w:pPr>
    </w:p>
    <w:p>
      <w:pPr>
        <w:pageBreakBefore w:val="0"/>
        <w:kinsoku/>
        <w:wordWrap/>
        <w:overflowPunct/>
        <w:topLinePunct w:val="0"/>
        <w:autoSpaceDE/>
        <w:autoSpaceDN/>
        <w:bidi w:val="0"/>
        <w:snapToGrid w:val="0"/>
        <w:spacing w:beforeLines="0" w:afterLines="0" w:line="360" w:lineRule="auto"/>
        <w:ind w:firstLine="640" w:firstLineChars="200"/>
        <w:rPr>
          <w:rFonts w:hint="eastAsia" w:ascii="黑体" w:eastAsia="黑体"/>
          <w:color w:val="auto"/>
          <w:sz w:val="32"/>
          <w:szCs w:val="32"/>
          <w:highlight w:val="none"/>
        </w:rPr>
      </w:pPr>
    </w:p>
    <w:p>
      <w:pPr>
        <w:pageBreakBefore w:val="0"/>
        <w:kinsoku/>
        <w:wordWrap/>
        <w:overflowPunct/>
        <w:topLinePunct w:val="0"/>
        <w:autoSpaceDE/>
        <w:autoSpaceDN/>
        <w:bidi w:val="0"/>
        <w:snapToGrid w:val="0"/>
        <w:spacing w:beforeLines="0" w:afterLines="0" w:line="360" w:lineRule="auto"/>
        <w:ind w:firstLine="640" w:firstLineChars="200"/>
        <w:rPr>
          <w:rFonts w:hint="eastAsia" w:ascii="黑体" w:eastAsia="黑体"/>
          <w:color w:val="auto"/>
          <w:sz w:val="32"/>
          <w:szCs w:val="32"/>
          <w:highlight w:val="none"/>
        </w:rPr>
      </w:pPr>
    </w:p>
    <w:p>
      <w:pPr>
        <w:pageBreakBefore w:val="0"/>
        <w:kinsoku/>
        <w:wordWrap/>
        <w:overflowPunct/>
        <w:topLinePunct w:val="0"/>
        <w:autoSpaceDE/>
        <w:autoSpaceDN/>
        <w:bidi w:val="0"/>
        <w:snapToGrid w:val="0"/>
        <w:spacing w:beforeLines="0" w:afterLines="0" w:line="360" w:lineRule="auto"/>
        <w:ind w:firstLine="640" w:firstLineChars="200"/>
        <w:rPr>
          <w:rFonts w:hint="eastAsia" w:ascii="黑体" w:eastAsia="黑体"/>
          <w:color w:val="auto"/>
          <w:sz w:val="32"/>
          <w:szCs w:val="32"/>
          <w:highlight w:val="none"/>
        </w:rPr>
      </w:pPr>
    </w:p>
    <w:p>
      <w:pPr>
        <w:pageBreakBefore w:val="0"/>
        <w:kinsoku/>
        <w:wordWrap/>
        <w:overflowPunct/>
        <w:topLinePunct w:val="0"/>
        <w:autoSpaceDE/>
        <w:autoSpaceDN/>
        <w:bidi w:val="0"/>
        <w:snapToGrid w:val="0"/>
        <w:spacing w:beforeLines="0" w:afterLines="0" w:line="360" w:lineRule="auto"/>
        <w:ind w:firstLine="640" w:firstLineChars="200"/>
        <w:rPr>
          <w:rFonts w:hint="eastAsia" w:ascii="黑体" w:eastAsia="黑体"/>
          <w:color w:val="auto"/>
          <w:sz w:val="32"/>
          <w:szCs w:val="32"/>
          <w:highlight w:val="none"/>
        </w:rPr>
      </w:pPr>
    </w:p>
    <w:p>
      <w:pPr>
        <w:pageBreakBefore w:val="0"/>
        <w:kinsoku/>
        <w:wordWrap/>
        <w:overflowPunct/>
        <w:topLinePunct w:val="0"/>
        <w:autoSpaceDE/>
        <w:autoSpaceDN/>
        <w:bidi w:val="0"/>
        <w:snapToGrid w:val="0"/>
        <w:spacing w:beforeLines="0" w:afterLines="0" w:line="360" w:lineRule="auto"/>
        <w:ind w:firstLine="640" w:firstLineChars="200"/>
        <w:rPr>
          <w:rFonts w:hint="eastAsia" w:ascii="黑体" w:eastAsia="黑体"/>
          <w:color w:val="auto"/>
          <w:sz w:val="32"/>
          <w:szCs w:val="32"/>
          <w:highlight w:val="none"/>
        </w:rPr>
      </w:pPr>
    </w:p>
    <w:p>
      <w:pPr>
        <w:pStyle w:val="4"/>
        <w:pageBreakBefore w:val="0"/>
        <w:kinsoku/>
        <w:wordWrap/>
        <w:overflowPunct/>
        <w:topLinePunct w:val="0"/>
        <w:autoSpaceDE/>
        <w:autoSpaceDN/>
        <w:bidi w:val="0"/>
        <w:spacing w:line="360" w:lineRule="auto"/>
        <w:rPr>
          <w:rFonts w:hint="eastAsia"/>
          <w:color w:val="auto"/>
          <w:highlight w:val="none"/>
        </w:rPr>
        <w:sectPr>
          <w:footerReference r:id="rId3" w:type="default"/>
          <w:pgSz w:w="11906" w:h="16838"/>
          <w:pgMar w:top="1440" w:right="1800" w:bottom="1440" w:left="1800" w:header="851" w:footer="992" w:gutter="0"/>
          <w:pgNumType w:fmt="numberInDash" w:start="1"/>
          <w:cols w:space="425" w:num="1"/>
          <w:docGrid w:type="lines" w:linePitch="312" w:charSpace="0"/>
        </w:sectPr>
      </w:pPr>
      <w:bookmarkStart w:id="0" w:name="_Toc18177"/>
    </w:p>
    <w:p>
      <w:pPr>
        <w:pStyle w:val="4"/>
        <w:pageBreakBefore w:val="0"/>
        <w:kinsoku/>
        <w:wordWrap/>
        <w:overflowPunct/>
        <w:topLinePunct w:val="0"/>
        <w:autoSpaceDE/>
        <w:autoSpaceDN/>
        <w:bidi w:val="0"/>
        <w:spacing w:line="360" w:lineRule="auto"/>
        <w:rPr>
          <w:rFonts w:hint="eastAsia"/>
          <w:color w:val="auto"/>
          <w:highlight w:val="none"/>
        </w:rPr>
      </w:pPr>
      <w:r>
        <w:rPr>
          <w:rFonts w:hint="eastAsia"/>
          <w:color w:val="auto"/>
          <w:highlight w:val="none"/>
        </w:rPr>
        <w:t>一、基本情况</w:t>
      </w:r>
      <w:bookmarkEnd w:id="0"/>
    </w:p>
    <w:p>
      <w:pPr>
        <w:pStyle w:val="5"/>
        <w:keepNext/>
        <w:keepLines/>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bookmarkStart w:id="1" w:name="_Toc26810"/>
      <w:bookmarkStart w:id="2" w:name="_Toc25420"/>
      <w:bookmarkStart w:id="3" w:name="_Toc28386"/>
      <w:bookmarkStart w:id="4" w:name="_Toc7164"/>
      <w:r>
        <w:rPr>
          <w:rFonts w:hint="eastAsia" w:ascii="楷体_GB2312" w:hAnsi="楷体_GB2312" w:eastAsia="楷体_GB2312" w:cs="楷体_GB2312"/>
          <w:b/>
          <w:bCs/>
          <w:color w:val="auto"/>
          <w:kern w:val="2"/>
          <w:sz w:val="32"/>
          <w:szCs w:val="32"/>
          <w:highlight w:val="none"/>
          <w:lang w:val="en-US" w:eastAsia="zh-CN" w:bidi="ar-SA"/>
        </w:rPr>
        <w:t>（一）资金</w:t>
      </w:r>
      <w:bookmarkEnd w:id="1"/>
      <w:bookmarkEnd w:id="2"/>
      <w:bookmarkEnd w:id="3"/>
      <w:r>
        <w:rPr>
          <w:rFonts w:hint="eastAsia" w:ascii="楷体_GB2312" w:hAnsi="楷体_GB2312" w:cs="楷体_GB2312"/>
          <w:b/>
          <w:bCs/>
          <w:color w:val="auto"/>
          <w:kern w:val="2"/>
          <w:sz w:val="32"/>
          <w:szCs w:val="32"/>
          <w:highlight w:val="none"/>
          <w:lang w:val="en-US" w:eastAsia="zh-CN" w:bidi="ar-SA"/>
        </w:rPr>
        <w:t>额度</w:t>
      </w:r>
      <w:bookmarkEnd w:id="4"/>
    </w:p>
    <w:p>
      <w:pPr>
        <w:pageBreakBefore w:val="0"/>
        <w:kinsoku/>
        <w:wordWrap/>
        <w:overflowPunct/>
        <w:topLinePunct w:val="0"/>
        <w:autoSpaceDE/>
        <w:autoSpaceDN/>
        <w:bidi w:val="0"/>
        <w:snapToGrid w:val="0"/>
        <w:spacing w:beforeLines="0" w:afterLines="0"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根据《中共中央、国务院关于实现巩固拓展脱贫攻坚成果同乡村振兴有效衔接的意见》精神，结合我省乡村振兴新形势新任务新特点，省委、省政府决定开展</w:t>
      </w:r>
      <w:r>
        <w:rPr>
          <w:rFonts w:hint="eastAsia" w:ascii="仿宋_GB2312" w:hAnsi="仿宋_GB2312" w:eastAsia="仿宋_GB2312" w:cs="仿宋_GB2312"/>
          <w:color w:val="auto"/>
          <w:sz w:val="32"/>
          <w:szCs w:val="32"/>
          <w:highlight w:val="none"/>
        </w:rPr>
        <w:t>驻镇帮镇扶村工作</w:t>
      </w:r>
      <w:r>
        <w:rPr>
          <w:rFonts w:hint="eastAsia" w:ascii="仿宋_GB2312" w:hAnsi="仿宋_GB2312" w:eastAsia="仿宋_GB2312" w:cs="仿宋_GB2312"/>
          <w:color w:val="auto"/>
          <w:sz w:val="32"/>
          <w:szCs w:val="32"/>
          <w:highlight w:val="none"/>
          <w:lang w:eastAsia="zh-CN"/>
        </w:rPr>
        <w:t>，全域全覆盖全面推进乡村振兴。</w:t>
      </w:r>
      <w:r>
        <w:rPr>
          <w:rFonts w:hint="eastAsia" w:ascii="仿宋_GB2312" w:hAnsi="仿宋_GB2312" w:eastAsia="仿宋_GB2312" w:cs="仿宋_GB2312"/>
          <w:color w:val="auto"/>
          <w:sz w:val="32"/>
          <w:szCs w:val="32"/>
          <w:highlight w:val="none"/>
          <w:lang w:val="en-US" w:eastAsia="zh-CN"/>
        </w:rPr>
        <w:t>2021年6月，《中共广东省委办公厅 广东省人民政府办公厅关于印发〈</w:t>
      </w:r>
      <w:r>
        <w:rPr>
          <w:rFonts w:hint="eastAsia" w:ascii="仿宋_GB2312" w:hAnsi="仿宋_GB2312" w:eastAsia="仿宋_GB2312" w:cs="仿宋_GB2312"/>
          <w:color w:val="auto"/>
          <w:sz w:val="32"/>
          <w:szCs w:val="32"/>
          <w:highlight w:val="none"/>
        </w:rPr>
        <w:t>广东省乡村振兴驻镇帮镇扶村工作方案</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的通知》</w:t>
      </w:r>
      <w:r>
        <w:rPr>
          <w:rFonts w:hint="eastAsia" w:ascii="仿宋_GB2312" w:hAnsi="仿宋_GB2312" w:eastAsia="仿宋_GB2312" w:cs="仿宋_GB2312"/>
          <w:color w:val="auto"/>
          <w:sz w:val="32"/>
          <w:szCs w:val="32"/>
          <w:highlight w:val="none"/>
        </w:rPr>
        <w:t>（粤委办发电〔2021〕60号</w:t>
      </w:r>
      <w:r>
        <w:rPr>
          <w:rFonts w:hint="eastAsia" w:ascii="仿宋_GB2312" w:hAnsi="仿宋_GB2312" w:eastAsia="仿宋_GB2312" w:cs="仿宋_GB2312"/>
          <w:color w:val="auto"/>
          <w:sz w:val="32"/>
          <w:szCs w:val="32"/>
          <w:highlight w:val="none"/>
          <w:lang w:eastAsia="zh-CN"/>
        </w:rPr>
        <w:t>）部署我省新发展阶段的</w:t>
      </w:r>
      <w:r>
        <w:rPr>
          <w:rFonts w:hint="eastAsia" w:ascii="仿宋_GB2312" w:hAnsi="仿宋_GB2312" w:eastAsia="仿宋_GB2312" w:cs="仿宋_GB2312"/>
          <w:color w:val="auto"/>
          <w:sz w:val="32"/>
          <w:szCs w:val="32"/>
          <w:highlight w:val="none"/>
        </w:rPr>
        <w:t>驻镇帮镇扶村工作</w:t>
      </w:r>
      <w:r>
        <w:rPr>
          <w:rFonts w:hint="eastAsia" w:ascii="仿宋_GB2312" w:hAnsi="仿宋_GB2312" w:eastAsia="仿宋_GB2312" w:cs="仿宋_GB2312"/>
          <w:color w:val="auto"/>
          <w:sz w:val="32"/>
          <w:szCs w:val="32"/>
          <w:highlight w:val="none"/>
          <w:lang w:eastAsia="zh-CN"/>
        </w:rPr>
        <w:t>。明确提出</w:t>
      </w:r>
      <w:r>
        <w:rPr>
          <w:rFonts w:hint="eastAsia" w:ascii="仿宋_GB2312" w:hAnsi="仿宋_GB2312" w:eastAsia="仿宋_GB2312" w:cs="仿宋_GB2312"/>
          <w:color w:val="auto"/>
          <w:sz w:val="32"/>
          <w:szCs w:val="32"/>
          <w:highlight w:val="none"/>
        </w:rPr>
        <w:t>2021-2025年，对粤东西北地区12市和肇庆市</w:t>
      </w:r>
      <w:r>
        <w:rPr>
          <w:rFonts w:hint="eastAsia" w:ascii="仿宋_GB2312" w:hAnsi="仿宋_GB2312" w:eastAsia="仿宋_GB2312" w:cs="仿宋_GB2312"/>
          <w:color w:val="auto"/>
          <w:sz w:val="32"/>
          <w:szCs w:val="32"/>
          <w:highlight w:val="none"/>
          <w:lang w:eastAsia="zh-CN"/>
        </w:rPr>
        <w:t>（以下简称</w:t>
      </w:r>
      <w:r>
        <w:rPr>
          <w:rFonts w:hint="eastAsia" w:ascii="仿宋_GB2312" w:hAnsi="仿宋_GB2312" w:eastAsia="仿宋_GB2312" w:cs="仿宋_GB2312"/>
          <w:color w:val="auto"/>
          <w:sz w:val="32"/>
          <w:szCs w:val="32"/>
          <w:highlight w:val="none"/>
        </w:rPr>
        <w:t>粤东西北地区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所辖的901个乡镇，按照平均每个乡镇每年2000万元的标准，由省级、珠三角帮扶市、被帮扶市按照6:3:1分担比例筹集的财政资金，作为开展驻镇帮镇扶村工作的主要财政资金保障。2021-2025年期间，如被帮扶</w:t>
      </w:r>
      <w:r>
        <w:rPr>
          <w:rFonts w:hint="eastAsia" w:ascii="仿宋_GB2312" w:hAnsi="仿宋_GB2312" w:eastAsia="仿宋_GB2312" w:cs="仿宋_GB2312"/>
          <w:color w:val="auto"/>
          <w:sz w:val="32"/>
          <w:szCs w:val="32"/>
          <w:highlight w:val="none"/>
          <w:lang w:eastAsia="zh-CN"/>
        </w:rPr>
        <w:t>对象</w:t>
      </w:r>
      <w:r>
        <w:rPr>
          <w:rFonts w:hint="eastAsia" w:ascii="仿宋_GB2312" w:hAnsi="仿宋_GB2312" w:eastAsia="仿宋_GB2312" w:cs="仿宋_GB2312"/>
          <w:color w:val="auto"/>
          <w:sz w:val="32"/>
          <w:szCs w:val="32"/>
          <w:highlight w:val="none"/>
        </w:rPr>
        <w:t>属地县（市、区）乡镇个数发生变动，所需帮扶资金由属地县（市、区）从各级安排的帮扶资金中统筹予以解决。</w:t>
      </w:r>
    </w:p>
    <w:p>
      <w:pPr>
        <w:pageBreakBefore w:val="0"/>
        <w:kinsoku/>
        <w:wordWrap/>
        <w:overflowPunct/>
        <w:topLinePunct w:val="0"/>
        <w:autoSpaceDE/>
        <w:autoSpaceDN/>
        <w:bidi w:val="0"/>
        <w:snapToGrid w:val="0"/>
        <w:spacing w:beforeLines="0" w:afterLines="0"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帮扶资金按照“大专项+任务清单+绩效目标”的模式下达，省级资金每年按固定因素直接分配到县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结对帮扶市及被帮扶市配套的资金同样按要求直接分配到县。珠三角帮扶市、被帮扶市应在每年度本级财政预算通过后的三十日内，将本级应承担的帮扶资金分别拨付到被帮扶市及属地县（市、区）。被帮扶市在收到各级帮扶资金后，应在三十日内全部拨付到属地县（市、区）。</w:t>
      </w:r>
    </w:p>
    <w:p>
      <w:pPr>
        <w:pageBreakBefore w:val="0"/>
        <w:kinsoku/>
        <w:wordWrap/>
        <w:overflowPunct/>
        <w:topLinePunct w:val="0"/>
        <w:autoSpaceDE/>
        <w:autoSpaceDN/>
        <w:bidi w:val="0"/>
        <w:snapToGrid w:val="0"/>
        <w:spacing w:beforeLines="0" w:afterLines="0"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2021年8月，省领导批示同意《广东省财政厅关于呈报〈2021-2025年省级财政支持驻镇帮镇扶村资金安排方案〉的请示》。</w:t>
      </w:r>
      <w:r>
        <w:rPr>
          <w:rFonts w:hint="eastAsia" w:ascii="仿宋_GB2312" w:hAnsi="仿宋_GB2312" w:eastAsia="仿宋_GB2312" w:cs="仿宋_GB2312"/>
          <w:color w:val="auto"/>
          <w:sz w:val="32"/>
          <w:szCs w:val="32"/>
          <w:highlight w:val="none"/>
        </w:rPr>
        <w:t>2021年</w:t>
      </w:r>
      <w:r>
        <w:rPr>
          <w:rFonts w:hint="eastAsia" w:ascii="仿宋_GB2312" w:hAnsi="仿宋_GB2312" w:eastAsia="仿宋_GB2312" w:cs="仿宋_GB2312"/>
          <w:color w:val="auto"/>
          <w:sz w:val="32"/>
          <w:szCs w:val="32"/>
          <w:highlight w:val="none"/>
          <w:lang w:eastAsia="zh-CN"/>
        </w:rPr>
        <w:t>省财政</w:t>
      </w:r>
      <w:r>
        <w:rPr>
          <w:rFonts w:hint="eastAsia" w:ascii="仿宋_GB2312" w:hAnsi="仿宋_GB2312" w:eastAsia="仿宋_GB2312" w:cs="仿宋_GB2312"/>
          <w:color w:val="auto"/>
          <w:sz w:val="32"/>
          <w:szCs w:val="32"/>
          <w:highlight w:val="none"/>
        </w:rPr>
        <w:t>安排45亿元作为各地开展驻镇帮镇扶村工作的启动资金，主要用于支持各地编制规划、项目审查等前期工作以及解决镇村短板弱项相关项目的组织实施</w:t>
      </w:r>
      <w:r>
        <w:rPr>
          <w:rFonts w:hint="eastAsia" w:ascii="仿宋_GB2312" w:hAnsi="仿宋_GB2312" w:eastAsia="仿宋_GB2312" w:cs="仿宋_GB2312"/>
          <w:color w:val="auto"/>
          <w:sz w:val="32"/>
          <w:szCs w:val="32"/>
          <w:highlight w:val="none"/>
          <w:lang w:val="en-US" w:eastAsia="zh-CN"/>
        </w:rPr>
        <w:t>。2021年9月底</w:t>
      </w:r>
      <w:r>
        <w:rPr>
          <w:rFonts w:hint="eastAsia" w:ascii="仿宋_GB2312" w:hAnsi="仿宋_GB2312" w:eastAsia="仿宋_GB2312" w:cs="仿宋_GB2312"/>
          <w:color w:val="auto"/>
          <w:sz w:val="32"/>
          <w:szCs w:val="32"/>
          <w:highlight w:val="none"/>
          <w:lang w:eastAsia="zh-CN"/>
        </w:rPr>
        <w:t>《广东省财政厅关于下达2021年省级乡村振兴驻镇帮镇扶村资金的通知》（粤财农〔2021〕123号）下达2021年省级乡村振兴驻镇帮镇扶村资金（以下简称专项资金）</w:t>
      </w:r>
      <w:r>
        <w:rPr>
          <w:rFonts w:hint="eastAsia" w:ascii="仿宋_GB2312" w:hAnsi="仿宋_GB2312" w:eastAsia="仿宋_GB2312" w:cs="仿宋_GB2312"/>
          <w:color w:val="auto"/>
          <w:sz w:val="32"/>
          <w:szCs w:val="32"/>
          <w:highlight w:val="none"/>
          <w:lang w:val="en-US" w:eastAsia="zh-CN"/>
        </w:rPr>
        <w:t>45亿元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包括</w:t>
      </w:r>
      <w:r>
        <w:rPr>
          <w:rFonts w:hint="eastAsia" w:ascii="仿宋_GB2312" w:hAnsi="仿宋_GB2312" w:eastAsia="仿宋_GB2312" w:cs="仿宋_GB2312"/>
          <w:color w:val="auto"/>
          <w:sz w:val="32"/>
          <w:szCs w:val="32"/>
          <w:highlight w:val="none"/>
        </w:rPr>
        <w:t>30亿元一般债券和15亿元涉农资金）。</w:t>
      </w:r>
      <w:r>
        <w:rPr>
          <w:rFonts w:hint="eastAsia" w:ascii="仿宋_GB2312" w:hAnsi="仿宋_GB2312" w:eastAsia="仿宋_GB2312" w:cs="仿宋_GB2312"/>
          <w:color w:val="auto"/>
          <w:sz w:val="32"/>
          <w:szCs w:val="32"/>
          <w:highlight w:val="none"/>
          <w:lang w:val="en-US" w:eastAsia="zh-CN"/>
        </w:rPr>
        <w:t>2021年专项资金帮扶</w:t>
      </w:r>
      <w:r>
        <w:rPr>
          <w:rFonts w:hint="eastAsia" w:ascii="仿宋_GB2312" w:hAnsi="仿宋_GB2312" w:eastAsia="仿宋_GB2312" w:cs="仿宋_GB2312"/>
          <w:color w:val="auto"/>
          <w:sz w:val="32"/>
          <w:szCs w:val="32"/>
          <w:highlight w:val="none"/>
        </w:rPr>
        <w:t>粤东西北</w:t>
      </w:r>
      <w:r>
        <w:rPr>
          <w:rFonts w:hint="eastAsia" w:ascii="仿宋_GB2312" w:hAnsi="仿宋_GB2312" w:eastAsia="仿宋_GB2312" w:cs="仿宋_GB2312"/>
          <w:color w:val="auto"/>
          <w:sz w:val="32"/>
          <w:szCs w:val="32"/>
          <w:highlight w:val="none"/>
          <w:lang w:eastAsia="zh-CN"/>
        </w:rPr>
        <w:t>地区</w:t>
      </w:r>
      <w:r>
        <w:rPr>
          <w:rFonts w:hint="eastAsia" w:ascii="仿宋_GB2312" w:hAnsi="仿宋_GB2312" w:eastAsia="仿宋_GB2312" w:cs="仿宋_GB2312"/>
          <w:color w:val="auto"/>
          <w:sz w:val="32"/>
          <w:szCs w:val="32"/>
          <w:highlight w:val="none"/>
        </w:rPr>
        <w:t>共901个乡镇，按照每个乡镇500万元的标准分配。为避免分配资金时出现小数点，从乡镇个数最多的梅州市中选取乡镇个数最多的梅县区，在本批资金中少分配一个乡镇500万元，少安排资金在2022年省级财政专项驻镇帮镇扶村资金中补足。财政</w:t>
      </w:r>
      <w:r>
        <w:rPr>
          <w:rFonts w:hint="eastAsia" w:ascii="仿宋_GB2312" w:hAnsi="仿宋_GB2312" w:eastAsia="仿宋_GB2312" w:cs="仿宋_GB2312"/>
          <w:color w:val="auto"/>
          <w:sz w:val="32"/>
          <w:szCs w:val="32"/>
          <w:highlight w:val="none"/>
          <w:lang w:eastAsia="zh-CN"/>
        </w:rPr>
        <w:t>省</w:t>
      </w:r>
      <w:r>
        <w:rPr>
          <w:rFonts w:hint="eastAsia" w:ascii="仿宋_GB2312" w:hAnsi="仿宋_GB2312" w:eastAsia="仿宋_GB2312" w:cs="仿宋_GB2312"/>
          <w:color w:val="auto"/>
          <w:sz w:val="32"/>
          <w:szCs w:val="32"/>
          <w:highlight w:val="none"/>
        </w:rPr>
        <w:t>直管县资金直接</w:t>
      </w:r>
      <w:r>
        <w:rPr>
          <w:rFonts w:hint="eastAsia" w:ascii="仿宋_GB2312" w:hAnsi="仿宋_GB2312" w:eastAsia="仿宋_GB2312" w:cs="仿宋_GB2312"/>
          <w:color w:val="auto"/>
          <w:sz w:val="32"/>
          <w:szCs w:val="32"/>
          <w:highlight w:val="none"/>
          <w:lang w:eastAsia="zh-CN"/>
        </w:rPr>
        <w:t>下达</w:t>
      </w:r>
      <w:r>
        <w:rPr>
          <w:rFonts w:hint="eastAsia" w:ascii="仿宋_GB2312" w:hAnsi="仿宋_GB2312" w:eastAsia="仿宋_GB2312" w:cs="仿宋_GB2312"/>
          <w:color w:val="auto"/>
          <w:sz w:val="32"/>
          <w:szCs w:val="32"/>
          <w:highlight w:val="none"/>
        </w:rPr>
        <w:t>到县，非财政</w:t>
      </w:r>
      <w:r>
        <w:rPr>
          <w:rFonts w:hint="eastAsia" w:ascii="仿宋_GB2312" w:hAnsi="仿宋_GB2312" w:eastAsia="仿宋_GB2312" w:cs="仿宋_GB2312"/>
          <w:color w:val="auto"/>
          <w:sz w:val="32"/>
          <w:szCs w:val="32"/>
          <w:highlight w:val="none"/>
          <w:lang w:eastAsia="zh-CN"/>
        </w:rPr>
        <w:t>省</w:t>
      </w:r>
      <w:r>
        <w:rPr>
          <w:rFonts w:hint="eastAsia" w:ascii="仿宋_GB2312" w:hAnsi="仿宋_GB2312" w:eastAsia="仿宋_GB2312" w:cs="仿宋_GB2312"/>
          <w:color w:val="auto"/>
          <w:sz w:val="32"/>
          <w:szCs w:val="32"/>
          <w:highlight w:val="none"/>
        </w:rPr>
        <w:t>直管县资金直接</w:t>
      </w:r>
      <w:r>
        <w:rPr>
          <w:rFonts w:hint="eastAsia" w:ascii="仿宋_GB2312" w:hAnsi="仿宋_GB2312" w:eastAsia="仿宋_GB2312" w:cs="仿宋_GB2312"/>
          <w:color w:val="auto"/>
          <w:sz w:val="32"/>
          <w:szCs w:val="32"/>
          <w:highlight w:val="none"/>
          <w:lang w:eastAsia="zh-CN"/>
        </w:rPr>
        <w:t>下达</w:t>
      </w:r>
      <w:r>
        <w:rPr>
          <w:rFonts w:hint="eastAsia" w:ascii="仿宋_GB2312" w:hAnsi="仿宋_GB2312" w:eastAsia="仿宋_GB2312" w:cs="仿宋_GB2312"/>
          <w:color w:val="auto"/>
          <w:sz w:val="32"/>
          <w:szCs w:val="32"/>
          <w:highlight w:val="none"/>
        </w:rPr>
        <w:t>到市。资金安排情况见表1-1。</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黑体" w:hAnsi="黑体" w:eastAsia="黑体" w:cs="黑体"/>
          <w:color w:val="auto"/>
          <w:sz w:val="28"/>
          <w:szCs w:val="28"/>
          <w:highlight w:val="none"/>
        </w:rPr>
      </w:pPr>
      <w:bookmarkStart w:id="5" w:name="_Toc21985"/>
      <w:bookmarkStart w:id="6" w:name="_Toc10959"/>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color w:val="auto"/>
          <w:highlight w:val="none"/>
          <w:lang w:val="en-US" w:eastAsia="zh-CN"/>
        </w:rPr>
      </w:pPr>
      <w:r>
        <w:rPr>
          <w:rFonts w:hint="eastAsia" w:ascii="黑体" w:hAnsi="黑体" w:eastAsia="黑体" w:cs="黑体"/>
          <w:color w:val="auto"/>
          <w:sz w:val="28"/>
          <w:szCs w:val="28"/>
          <w:highlight w:val="none"/>
        </w:rPr>
        <w:t>表</w:t>
      </w:r>
      <w:r>
        <w:rPr>
          <w:rFonts w:hint="eastAsia" w:ascii="黑体" w:hAnsi="黑体" w:eastAsia="黑体" w:cs="黑体"/>
          <w:color w:val="auto"/>
          <w:sz w:val="28"/>
          <w:szCs w:val="28"/>
          <w:highlight w:val="none"/>
          <w:lang w:val="en-US" w:eastAsia="zh-CN"/>
        </w:rPr>
        <w:t>1</w:t>
      </w:r>
      <w:r>
        <w:rPr>
          <w:rFonts w:hint="eastAsia" w:ascii="黑体" w:hAnsi="黑体" w:eastAsia="黑体" w:cs="黑体"/>
          <w:color w:val="auto"/>
          <w:sz w:val="28"/>
          <w:szCs w:val="28"/>
          <w:highlight w:val="none"/>
        </w:rPr>
        <w:t>-</w:t>
      </w:r>
      <w:r>
        <w:rPr>
          <w:rFonts w:hint="eastAsia" w:ascii="黑体" w:hAnsi="黑体" w:eastAsia="黑体" w:cs="黑体"/>
          <w:color w:val="auto"/>
          <w:sz w:val="28"/>
          <w:szCs w:val="28"/>
          <w:highlight w:val="none"/>
          <w:lang w:val="en-US" w:eastAsia="zh-CN"/>
        </w:rPr>
        <w:t xml:space="preserve">1 </w:t>
      </w:r>
      <w:r>
        <w:rPr>
          <w:rFonts w:hint="eastAsia" w:ascii="黑体" w:hAnsi="黑体" w:eastAsia="黑体" w:cs="黑体"/>
          <w:color w:val="auto"/>
          <w:sz w:val="28"/>
          <w:szCs w:val="28"/>
          <w:highlight w:val="none"/>
        </w:rPr>
        <w:t>20</w:t>
      </w:r>
      <w:r>
        <w:rPr>
          <w:rFonts w:hint="eastAsia" w:ascii="黑体" w:hAnsi="黑体" w:eastAsia="黑体" w:cs="黑体"/>
          <w:color w:val="auto"/>
          <w:sz w:val="28"/>
          <w:szCs w:val="28"/>
          <w:highlight w:val="none"/>
          <w:lang w:val="en-US" w:eastAsia="zh-CN"/>
        </w:rPr>
        <w:t>21</w:t>
      </w:r>
      <w:r>
        <w:rPr>
          <w:rFonts w:hint="eastAsia" w:ascii="黑体" w:hAnsi="黑体" w:eastAsia="黑体" w:cs="黑体"/>
          <w:color w:val="auto"/>
          <w:sz w:val="28"/>
          <w:szCs w:val="28"/>
          <w:highlight w:val="none"/>
        </w:rPr>
        <w:t>年</w:t>
      </w:r>
      <w:r>
        <w:rPr>
          <w:rFonts w:hint="eastAsia" w:ascii="黑体" w:hAnsi="黑体" w:eastAsia="黑体" w:cs="黑体"/>
          <w:color w:val="auto"/>
          <w:sz w:val="28"/>
          <w:szCs w:val="28"/>
          <w:highlight w:val="none"/>
          <w:lang w:val="en-US" w:eastAsia="zh-CN"/>
        </w:rPr>
        <w:t>专项</w:t>
      </w:r>
      <w:r>
        <w:rPr>
          <w:rFonts w:hint="eastAsia" w:ascii="黑体" w:hAnsi="黑体" w:eastAsia="黑体" w:cs="黑体"/>
          <w:color w:val="auto"/>
          <w:sz w:val="28"/>
          <w:szCs w:val="28"/>
          <w:highlight w:val="none"/>
        </w:rPr>
        <w:t>资金</w:t>
      </w:r>
      <w:r>
        <w:rPr>
          <w:rFonts w:hint="eastAsia" w:ascii="黑体" w:hAnsi="黑体" w:eastAsia="黑体" w:cs="黑体"/>
          <w:color w:val="auto"/>
          <w:sz w:val="28"/>
          <w:szCs w:val="28"/>
          <w:highlight w:val="none"/>
          <w:lang w:val="en-US" w:eastAsia="zh-CN"/>
        </w:rPr>
        <w:t>分配</w:t>
      </w:r>
      <w:r>
        <w:rPr>
          <w:rFonts w:hint="eastAsia" w:ascii="黑体" w:hAnsi="黑体" w:eastAsia="黑体" w:cs="黑体"/>
          <w:color w:val="auto"/>
          <w:sz w:val="28"/>
          <w:szCs w:val="28"/>
          <w:highlight w:val="none"/>
        </w:rPr>
        <w:t>情况表</w:t>
      </w:r>
    </w:p>
    <w:tbl>
      <w:tblPr>
        <w:tblStyle w:val="11"/>
        <w:tblW w:w="73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4"/>
        <w:gridCol w:w="1884"/>
        <w:gridCol w:w="1884"/>
        <w:gridCol w:w="2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ascii="仿宋_GB2312" w:hAnsi="宋体" w:eastAsia="仿宋_GB2312" w:cs="仿宋_GB2312"/>
                <w:b/>
                <w:bCs/>
                <w:i w:val="0"/>
                <w:iCs w:val="0"/>
                <w:color w:val="auto"/>
                <w:sz w:val="24"/>
                <w:szCs w:val="24"/>
                <w:highlight w:val="none"/>
                <w:u w:val="none"/>
              </w:rPr>
            </w:pPr>
            <w:bookmarkStart w:id="7" w:name="_Toc21243"/>
            <w:r>
              <w:rPr>
                <w:rFonts w:hint="default" w:ascii="仿宋_GB2312" w:hAnsi="宋体" w:eastAsia="仿宋_GB2312" w:cs="仿宋_GB2312"/>
                <w:b/>
                <w:bCs/>
                <w:i w:val="0"/>
                <w:iCs w:val="0"/>
                <w:color w:val="auto"/>
                <w:kern w:val="0"/>
                <w:sz w:val="24"/>
                <w:szCs w:val="24"/>
                <w:highlight w:val="none"/>
                <w:u w:val="none"/>
                <w:lang w:val="en-US" w:eastAsia="zh-CN" w:bidi="ar"/>
              </w:rPr>
              <w:t>序号</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b/>
                <w:bCs/>
                <w:i w:val="0"/>
                <w:iCs w:val="0"/>
                <w:color w:val="auto"/>
                <w:sz w:val="24"/>
                <w:szCs w:val="24"/>
                <w:highlight w:val="none"/>
                <w:u w:val="none"/>
              </w:rPr>
            </w:pPr>
            <w:r>
              <w:rPr>
                <w:rFonts w:hint="default" w:ascii="仿宋_GB2312" w:hAnsi="宋体" w:eastAsia="仿宋_GB2312" w:cs="仿宋_GB2312"/>
                <w:b/>
                <w:bCs/>
                <w:i w:val="0"/>
                <w:iCs w:val="0"/>
                <w:color w:val="auto"/>
                <w:kern w:val="0"/>
                <w:sz w:val="24"/>
                <w:szCs w:val="24"/>
                <w:highlight w:val="none"/>
                <w:u w:val="none"/>
                <w:lang w:val="en-US" w:eastAsia="zh-CN" w:bidi="ar"/>
              </w:rPr>
              <w:t>地市</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b/>
                <w:bCs/>
                <w:i w:val="0"/>
                <w:iCs w:val="0"/>
                <w:color w:val="auto"/>
                <w:sz w:val="24"/>
                <w:szCs w:val="24"/>
                <w:highlight w:val="none"/>
                <w:u w:val="none"/>
              </w:rPr>
            </w:pPr>
            <w:r>
              <w:rPr>
                <w:rFonts w:hint="default" w:ascii="仿宋_GB2312" w:hAnsi="宋体" w:eastAsia="仿宋_GB2312" w:cs="仿宋_GB2312"/>
                <w:b/>
                <w:bCs/>
                <w:i w:val="0"/>
                <w:iCs w:val="0"/>
                <w:color w:val="auto"/>
                <w:kern w:val="0"/>
                <w:sz w:val="24"/>
                <w:szCs w:val="24"/>
                <w:highlight w:val="none"/>
                <w:u w:val="none"/>
                <w:lang w:val="en-US" w:eastAsia="zh-CN" w:bidi="ar"/>
              </w:rPr>
              <w:t>乡镇个数（个）</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b/>
                <w:bCs/>
                <w:i w:val="0"/>
                <w:iCs w:val="0"/>
                <w:color w:val="auto"/>
                <w:sz w:val="24"/>
                <w:szCs w:val="24"/>
                <w:highlight w:val="none"/>
                <w:u w:val="none"/>
              </w:rPr>
            </w:pPr>
            <w:r>
              <w:rPr>
                <w:rFonts w:hint="default" w:ascii="仿宋_GB2312" w:hAnsi="宋体" w:eastAsia="仿宋_GB2312" w:cs="仿宋_GB2312"/>
                <w:b/>
                <w:bCs/>
                <w:i w:val="0"/>
                <w:iCs w:val="0"/>
                <w:color w:val="auto"/>
                <w:kern w:val="0"/>
                <w:sz w:val="24"/>
                <w:szCs w:val="24"/>
                <w:highlight w:val="none"/>
                <w:u w:val="none"/>
                <w:lang w:val="en-US" w:eastAsia="zh-CN" w:bidi="ar"/>
              </w:rPr>
              <w:t>预算数（万元）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3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b/>
                <w:bCs/>
                <w:i w:val="0"/>
                <w:iCs w:val="0"/>
                <w:color w:val="auto"/>
                <w:sz w:val="24"/>
                <w:szCs w:val="24"/>
                <w:highlight w:val="none"/>
                <w:u w:val="none"/>
              </w:rPr>
            </w:pPr>
            <w:r>
              <w:rPr>
                <w:rFonts w:hint="default" w:ascii="仿宋_GB2312" w:hAnsi="宋体" w:eastAsia="仿宋_GB2312" w:cs="仿宋_GB2312"/>
                <w:b/>
                <w:bCs/>
                <w:i w:val="0"/>
                <w:iCs w:val="0"/>
                <w:color w:val="auto"/>
                <w:kern w:val="0"/>
                <w:sz w:val="24"/>
                <w:szCs w:val="24"/>
                <w:highlight w:val="none"/>
                <w:u w:val="none"/>
                <w:lang w:val="en-US" w:eastAsia="zh-CN" w:bidi="ar"/>
              </w:rPr>
              <w:t>合计</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b/>
                <w:bCs/>
                <w:i w:val="0"/>
                <w:iCs w:val="0"/>
                <w:color w:val="auto"/>
                <w:sz w:val="24"/>
                <w:szCs w:val="24"/>
                <w:highlight w:val="none"/>
                <w:u w:val="none"/>
              </w:rPr>
            </w:pPr>
            <w:r>
              <w:rPr>
                <w:rFonts w:hint="default" w:ascii="仿宋_GB2312" w:hAnsi="宋体" w:eastAsia="仿宋_GB2312" w:cs="仿宋_GB2312"/>
                <w:b/>
                <w:bCs/>
                <w:i w:val="0"/>
                <w:iCs w:val="0"/>
                <w:color w:val="auto"/>
                <w:kern w:val="0"/>
                <w:sz w:val="24"/>
                <w:szCs w:val="24"/>
                <w:highlight w:val="none"/>
                <w:u w:val="none"/>
                <w:lang w:val="en-US" w:eastAsia="zh-CN" w:bidi="ar"/>
              </w:rPr>
              <w:t>901</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b/>
                <w:bCs/>
                <w:i w:val="0"/>
                <w:iCs w:val="0"/>
                <w:color w:val="auto"/>
                <w:sz w:val="24"/>
                <w:szCs w:val="24"/>
                <w:highlight w:val="none"/>
                <w:u w:val="none"/>
              </w:rPr>
            </w:pPr>
            <w:r>
              <w:rPr>
                <w:rFonts w:hint="default" w:ascii="仿宋_GB2312" w:hAnsi="宋体" w:eastAsia="仿宋_GB2312" w:cs="仿宋_GB2312"/>
                <w:b/>
                <w:bCs/>
                <w:i w:val="0"/>
                <w:iCs w:val="0"/>
                <w:color w:val="auto"/>
                <w:kern w:val="0"/>
                <w:sz w:val="24"/>
                <w:szCs w:val="24"/>
                <w:highlight w:val="none"/>
                <w:u w:val="none"/>
                <w:lang w:val="en-US" w:eastAsia="zh-CN" w:bidi="ar"/>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汕头市</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30</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2</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韶关市</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95</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47500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3</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河源市</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95</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47500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4</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梅州市</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104</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51500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5</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汕尾市</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40</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6</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阳江市</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38</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7</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湛江市</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84</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42000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8</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茂名市</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86</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9</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肇庆市</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88</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44000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10</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清远市</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80</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11</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潮州市</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41</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20500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12</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揭阳市</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65</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32500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13</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云浮市</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55</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27500</w:t>
            </w:r>
          </w:p>
        </w:tc>
      </w:tr>
    </w:tbl>
    <w:p>
      <w:pPr>
        <w:pStyle w:val="5"/>
        <w:pageBreakBefore w:val="0"/>
        <w:kinsoku/>
        <w:wordWrap/>
        <w:overflowPunct/>
        <w:topLinePunct w:val="0"/>
        <w:autoSpaceDE/>
        <w:autoSpaceDN/>
        <w:bidi w:val="0"/>
        <w:spacing w:line="360" w:lineRule="auto"/>
        <w:ind w:left="0" w:leftChars="0" w:firstLine="0" w:firstLineChars="0"/>
        <w:rPr>
          <w:rFonts w:hint="eastAsia" w:ascii="楷体_GB2312" w:hAnsi="楷体_GB2312" w:eastAsia="楷体_GB2312" w:cs="楷体_GB2312"/>
          <w:b/>
          <w:bCs/>
          <w:color w:val="auto"/>
          <w:sz w:val="32"/>
          <w:szCs w:val="32"/>
          <w:highlight w:val="none"/>
          <w:lang w:val="en-US" w:eastAsia="zh-CN"/>
        </w:rPr>
      </w:pPr>
    </w:p>
    <w:p>
      <w:pPr>
        <w:pStyle w:val="5"/>
        <w:pageBreakBefore w:val="0"/>
        <w:kinsoku/>
        <w:wordWrap/>
        <w:overflowPunct/>
        <w:topLinePunct w:val="0"/>
        <w:autoSpaceDE/>
        <w:autoSpaceDN/>
        <w:bidi w:val="0"/>
        <w:spacing w:line="360" w:lineRule="auto"/>
        <w:ind w:left="0" w:leftChars="0" w:firstLine="642" w:firstLineChars="200"/>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w:t>
      </w:r>
      <w:bookmarkEnd w:id="5"/>
      <w:bookmarkEnd w:id="6"/>
      <w:r>
        <w:rPr>
          <w:rFonts w:hint="eastAsia" w:ascii="楷体_GB2312" w:hAnsi="楷体_GB2312" w:eastAsia="楷体_GB2312" w:cs="楷体_GB2312"/>
          <w:b/>
          <w:bCs/>
          <w:color w:val="auto"/>
          <w:sz w:val="32"/>
          <w:szCs w:val="32"/>
          <w:highlight w:val="none"/>
          <w:lang w:val="en-US" w:eastAsia="zh-CN"/>
        </w:rPr>
        <w:t>资金主要用途和实施程序</w:t>
      </w:r>
      <w:bookmarkEnd w:id="7"/>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Times New Roman" w:eastAsia="仿宋_GB2312" w:cs="Times New Roman"/>
          <w:b/>
          <w:bCs/>
          <w:color w:val="auto"/>
          <w:sz w:val="32"/>
          <w:szCs w:val="32"/>
          <w:highlight w:val="none"/>
          <w:lang w:val="en-US" w:eastAsia="zh-CN"/>
        </w:rPr>
      </w:pPr>
      <w:r>
        <w:rPr>
          <w:rFonts w:hint="eastAsia" w:ascii="仿宋_GB2312" w:hAnsi="Times New Roman" w:eastAsia="仿宋_GB2312" w:cs="Times New Roman"/>
          <w:b/>
          <w:bCs/>
          <w:color w:val="auto"/>
          <w:sz w:val="32"/>
          <w:szCs w:val="32"/>
          <w:highlight w:val="none"/>
          <w:lang w:val="en-US" w:eastAsia="zh-CN"/>
        </w:rPr>
        <w:t>1.资金主要用途。</w:t>
      </w:r>
    </w:p>
    <w:p>
      <w:pPr>
        <w:pageBreakBefore w:val="0"/>
        <w:kinsoku/>
        <w:wordWrap/>
        <w:overflowPunct/>
        <w:topLinePunct w:val="0"/>
        <w:autoSpaceDE/>
        <w:autoSpaceDN/>
        <w:bidi w:val="0"/>
        <w:spacing w:line="36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帮扶资金主要用于支持巩固拓展脱贫攻坚成果同乡村振兴有效衔接、发展富民兴村产业、提升镇村公共基础设施水平、提升镇域公共服务能力及提升党建促乡村振兴水平等方面支出。实行清单管理，重点用于解决乡村振兴的短板弱项和群众急难愁盼的实际问题，确保镇村群众直接受益。</w:t>
      </w:r>
    </w:p>
    <w:p>
      <w:pPr>
        <w:pageBreakBefore w:val="0"/>
        <w:kinsoku/>
        <w:wordWrap/>
        <w:overflowPunct/>
        <w:topLinePunct w:val="0"/>
        <w:autoSpaceDE/>
        <w:autoSpaceDN/>
        <w:bidi w:val="0"/>
        <w:spacing w:line="36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主要建设内容：</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加强规划引领。支持用于乡村振兴驻镇帮镇扶村五年规划编制；支持用于建立驻镇帮镇扶村项目库，在确保不新增地方政府隐性债务的前提下，创新资金使用方式，引导金融和社会资本投入。</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巩固拓展脱贫攻坚成果同乡村振兴有效衔接。支持用于防止返贫致贫，对脱贫不稳定户、边缘易致贫户、突发严重困难户及时采取有针对性的预防性措施和事后帮扶措施。重点鼓励用于：对扶贫监测对象通过产业发展、生产经营和劳动技能培训、公益岗位补助、小额信贷等方面予以扶持；扶贫产业项目后续帮扶；采取技能培训、以工代赈、生产奖补、劳务补助等方式，促进返乡在乡脱贫劳动力、农村低收入群体发展产业和就业增收。</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lang w:val="en-US" w:eastAsia="zh-CN"/>
        </w:rPr>
        <w:t>提升镇村公共基础设施水平。支持用于补齐必要的镇村人居环境整治和镇村小型公益性基础设施建设短板，可支持用于建立镇村保洁机制，小型农田水利建设及管护（不包括高标准农田建设），“四沿”地区实施镇村农房外立面改造，以及其他村庄公共设施建设等。重点鼓励用于：镇村“三清三拆三整治”，农村集中供水、生活污水治理、生活垃圾治理、农村无害化厕所改造、村内道路硬底化建设并建立长效运维管护机制。</w:t>
      </w:r>
      <w:r>
        <w:rPr>
          <w:rFonts w:hint="eastAsia" w:ascii="仿宋_GB2312" w:hAnsi="仿宋_GB2312" w:eastAsia="仿宋_GB2312" w:cs="仿宋_GB2312"/>
          <w:b/>
          <w:bCs/>
          <w:color w:val="auto"/>
          <w:sz w:val="32"/>
          <w:szCs w:val="32"/>
          <w:highlight w:val="none"/>
          <w:lang w:val="en-US" w:eastAsia="zh-CN"/>
        </w:rPr>
        <w:t>四是</w:t>
      </w:r>
      <w:r>
        <w:rPr>
          <w:rFonts w:hint="eastAsia" w:ascii="仿宋_GB2312" w:hAnsi="仿宋_GB2312" w:eastAsia="仿宋_GB2312" w:cs="仿宋_GB2312"/>
          <w:color w:val="auto"/>
          <w:sz w:val="32"/>
          <w:szCs w:val="32"/>
          <w:highlight w:val="none"/>
          <w:lang w:val="en-US" w:eastAsia="zh-CN"/>
        </w:rPr>
        <w:t>提升镇域公共服务能力。在原有资金渠道保障镇村医疗、教育、文化等公共资源配置优化的基础上，可支持用于完善镇村法律顾问服务机制，建设标准化卫生（院）室，乡村文化体育活动设施。重点鼓励用于：改造提升农贸市场和农产品集散中心、推进乡村智慧化改造。</w:t>
      </w:r>
      <w:r>
        <w:rPr>
          <w:rFonts w:hint="eastAsia" w:ascii="仿宋_GB2312" w:hAnsi="仿宋_GB2312" w:eastAsia="仿宋_GB2312" w:cs="仿宋_GB2312"/>
          <w:b/>
          <w:bCs/>
          <w:color w:val="auto"/>
          <w:sz w:val="32"/>
          <w:szCs w:val="32"/>
          <w:highlight w:val="none"/>
          <w:lang w:val="en-US" w:eastAsia="zh-CN"/>
        </w:rPr>
        <w:t>五是</w:t>
      </w:r>
      <w:r>
        <w:rPr>
          <w:rFonts w:hint="eastAsia" w:ascii="仿宋_GB2312" w:hAnsi="仿宋_GB2312" w:eastAsia="仿宋_GB2312" w:cs="仿宋_GB2312"/>
          <w:color w:val="auto"/>
          <w:sz w:val="32"/>
          <w:szCs w:val="32"/>
          <w:highlight w:val="none"/>
          <w:lang w:val="en-US" w:eastAsia="zh-CN"/>
        </w:rPr>
        <w:t>提升乡村产业发展水平。支持镇村培育壮大特色优势产业；支持农产品精深加工及技改升级、农产品宣传推广、农业技术推广，产业发展贷款贴息等有利于农业产业发展的项目；支持必要的产业配套设施建设，支持智慧农业、数字农业发展，重点鼓励用于：发展壮大村级集体经济，扶持壮大一批具有完善利益联结机制的新型农业经营主体，支持建设一批田头小站、农产品产地冷藏保鲜设施；支持探索用现代农业产业园模式发展“一村一品、一镇一业”，创建一批农业产业强镇强村。</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Times New Roman" w:eastAsia="仿宋_GB2312" w:cs="Times New Roman"/>
          <w:b/>
          <w:bCs/>
          <w:color w:val="auto"/>
          <w:sz w:val="32"/>
          <w:szCs w:val="32"/>
          <w:highlight w:val="none"/>
          <w:lang w:val="en-US" w:eastAsia="zh-CN"/>
        </w:rPr>
      </w:pPr>
      <w:r>
        <w:rPr>
          <w:rFonts w:hint="eastAsia" w:ascii="仿宋_GB2312" w:hAnsi="Times New Roman" w:eastAsia="仿宋_GB2312" w:cs="Times New Roman"/>
          <w:b/>
          <w:bCs/>
          <w:color w:val="auto"/>
          <w:sz w:val="32"/>
          <w:szCs w:val="32"/>
          <w:highlight w:val="none"/>
          <w:lang w:val="en-US" w:eastAsia="zh-CN"/>
        </w:rPr>
        <w:t>2.负面清单。</w:t>
      </w:r>
    </w:p>
    <w:p>
      <w:pPr>
        <w:pStyle w:val="2"/>
        <w:pageBreakBefore w:val="0"/>
        <w:kinsoku/>
        <w:wordWrap/>
        <w:overflowPunct/>
        <w:topLinePunct w:val="0"/>
        <w:autoSpaceDE/>
        <w:autoSpaceDN/>
        <w:bidi w:val="0"/>
        <w:spacing w:line="360" w:lineRule="auto"/>
        <w:ind w:left="0" w:leftChars="0" w:firstLine="640" w:firstLineChars="200"/>
        <w:rPr>
          <w:rFonts w:hint="eastAsia"/>
          <w:color w:val="auto"/>
          <w:highlight w:val="none"/>
          <w:lang w:val="en-US" w:eastAsia="zh-CN"/>
        </w:rPr>
      </w:pPr>
      <w:r>
        <w:rPr>
          <w:rFonts w:hint="eastAsia" w:ascii="仿宋_GB2312" w:hAnsi="仿宋_GB2312" w:eastAsia="仿宋_GB2312" w:cs="仿宋_GB2312"/>
          <w:b w:val="0"/>
          <w:bCs/>
          <w:color w:val="auto"/>
          <w:kern w:val="0"/>
          <w:sz w:val="32"/>
          <w:szCs w:val="32"/>
          <w:highlight w:val="none"/>
          <w:u w:val="none" w:color="auto"/>
          <w:lang w:eastAsia="zh-CN"/>
        </w:rPr>
        <w:t>帮扶资金不得用于与驻镇帮镇扶村工作无关的支出，包括：行政事业单位基本支出；各种奖金津贴和福利补助；弥补企业亏损；违规修建楼堂馆所；弥补预算支出缺口和偿还债务；大型基本建设项目；购买交通工具及</w:t>
      </w:r>
      <w:r>
        <w:rPr>
          <w:rFonts w:hint="eastAsia" w:ascii="仿宋_GB2312" w:hAnsi="仿宋_GB2312" w:eastAsia="仿宋_GB2312" w:cs="仿宋_GB2312"/>
          <w:b w:val="0"/>
          <w:bCs/>
          <w:color w:val="auto"/>
          <w:kern w:val="0"/>
          <w:sz w:val="32"/>
          <w:szCs w:val="32"/>
          <w:highlight w:val="none"/>
          <w:u w:val="none" w:color="auto"/>
          <w:shd w:val="clear" w:color="auto" w:fill="auto"/>
          <w:lang w:eastAsia="zh-CN"/>
        </w:rPr>
        <w:t>通讯设备</w:t>
      </w:r>
      <w:r>
        <w:rPr>
          <w:rFonts w:hint="eastAsia" w:ascii="仿宋_GB2312" w:hAnsi="仿宋_GB2312" w:eastAsia="仿宋_GB2312" w:cs="仿宋_GB2312"/>
          <w:b w:val="0"/>
          <w:bCs/>
          <w:color w:val="auto"/>
          <w:kern w:val="0"/>
          <w:sz w:val="32"/>
          <w:szCs w:val="32"/>
          <w:highlight w:val="none"/>
          <w:u w:val="none" w:color="auto"/>
          <w:lang w:eastAsia="zh-CN"/>
        </w:rPr>
        <w:t>；虚假投资（入股）、虚假分红、发放借款及平衡预算等；不符合国家产业政策的产业项目和国家法律、法规、规章等禁止的项目；其他非驻镇帮镇扶村的支出，如：万里碧道、大型水利设施、高标准农田等已有专项资金保障的项目。</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Times New Roman" w:eastAsia="仿宋_GB2312" w:cs="Times New Roman"/>
          <w:b/>
          <w:bCs/>
          <w:color w:val="auto"/>
          <w:sz w:val="32"/>
          <w:szCs w:val="32"/>
          <w:highlight w:val="none"/>
          <w:lang w:val="en-US" w:eastAsia="zh-CN"/>
        </w:rPr>
      </w:pPr>
      <w:r>
        <w:rPr>
          <w:rFonts w:hint="eastAsia" w:ascii="仿宋_GB2312" w:hAnsi="Times New Roman" w:eastAsia="仿宋_GB2312" w:cs="Times New Roman"/>
          <w:b/>
          <w:bCs/>
          <w:color w:val="auto"/>
          <w:sz w:val="32"/>
          <w:szCs w:val="32"/>
          <w:highlight w:val="none"/>
          <w:lang w:val="en-US" w:eastAsia="zh-CN"/>
        </w:rPr>
        <w:t>3.实施程序。</w:t>
      </w:r>
    </w:p>
    <w:p>
      <w:pPr>
        <w:pageBreakBefore w:val="0"/>
        <w:kinsoku/>
        <w:wordWrap/>
        <w:overflowPunct/>
        <w:topLinePunct w:val="0"/>
        <w:autoSpaceDE/>
        <w:autoSpaceDN/>
        <w:bidi w:val="0"/>
        <w:spacing w:line="360" w:lineRule="auto"/>
        <w:ind w:firstLine="640"/>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val="en-US" w:eastAsia="zh-CN"/>
        </w:rPr>
        <w:t>属地县（市、区）政府是帮扶资金使用管理的责任主体，负责根据省级下达的任务清单、绩效目标和审查意见，以及筹集的帮扶资金额度，按照“统筹兼顾，轻重缓急”的原则，从本级涉农资金统筹整合项目库中择优选择符合条件的帮镇扶村项目，自主确定安排各镇、各项目的资金额度。</w:t>
      </w:r>
    </w:p>
    <w:p>
      <w:pPr>
        <w:pageBreakBefore w:val="0"/>
        <w:kinsoku/>
        <w:wordWrap/>
        <w:overflowPunct/>
        <w:topLinePunct w:val="0"/>
        <w:autoSpaceDE/>
        <w:autoSpaceDN/>
        <w:bidi w:val="0"/>
        <w:spacing w:line="360" w:lineRule="auto"/>
        <w:ind w:firstLine="640"/>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val="en-US" w:eastAsia="zh-CN"/>
        </w:rPr>
        <w:t>属地乡镇政府是帮扶资金使用和项目管理的直接责任主体。乡镇党委、政府和驻镇工作队要根据镇域相关规划，共同研究谋划帮镇扶村项目，经属地乡镇主要负责人和驻镇帮扶工作队队长“双签”审批，报属地县（市、区）审定后纳入项目库。</w:t>
      </w:r>
    </w:p>
    <w:p>
      <w:pPr>
        <w:pageBreakBefore w:val="0"/>
        <w:kinsoku/>
        <w:wordWrap/>
        <w:overflowPunct/>
        <w:topLinePunct w:val="0"/>
        <w:autoSpaceDE/>
        <w:autoSpaceDN/>
        <w:bidi w:val="0"/>
        <w:spacing w:line="360" w:lineRule="auto"/>
        <w:ind w:firstLine="640"/>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auto"/>
          <w:kern w:val="0"/>
          <w:sz w:val="32"/>
          <w:szCs w:val="32"/>
          <w:highlight w:val="none"/>
          <w:u w:val="none"/>
          <w:lang w:val="en-US" w:eastAsia="zh-CN"/>
        </w:rPr>
        <w:t>帮扶资金可以采取直接补助、政府购买服务、贴息、先建后补、以奖代补、民办公助、资产折股量化、政府与社会资本合作等多种支持方式，具体由属地（县、区）农业农村（乡村振兴）部门商财政部门确定</w:t>
      </w:r>
      <w:r>
        <w:rPr>
          <w:rFonts w:ascii="仿宋_GB2312" w:hAnsi="仿宋_GB2312" w:eastAsia="仿宋_GB2312" w:cs="仿宋_GB2312"/>
          <w:color w:val="000000"/>
          <w:kern w:val="0"/>
          <w:sz w:val="31"/>
          <w:szCs w:val="31"/>
          <w:lang w:val="en-US" w:eastAsia="zh-CN" w:bidi="ar"/>
        </w:rPr>
        <w:t>。</w:t>
      </w:r>
      <w:r>
        <w:rPr>
          <w:rFonts w:hint="eastAsia" w:ascii="仿宋_GB2312" w:hAnsi="Times New Roman" w:eastAsia="仿宋_GB2312" w:cs="Times New Roman"/>
          <w:color w:val="auto"/>
          <w:sz w:val="32"/>
          <w:szCs w:val="32"/>
          <w:highlight w:val="none"/>
          <w:lang w:val="en-US" w:eastAsia="zh-CN"/>
        </w:rPr>
        <w:t>帮扶资金</w:t>
      </w:r>
      <w:r>
        <w:rPr>
          <w:rFonts w:hint="eastAsia" w:ascii="仿宋_GB2312" w:hAnsi="仿宋_GB2312" w:eastAsia="仿宋_GB2312" w:cs="仿宋_GB2312"/>
          <w:color w:val="auto"/>
          <w:kern w:val="0"/>
          <w:sz w:val="32"/>
          <w:szCs w:val="32"/>
          <w:highlight w:val="none"/>
          <w:u w:val="none"/>
          <w:lang w:val="en-US" w:eastAsia="zh-CN"/>
        </w:rPr>
        <w:t>由</w:t>
      </w:r>
      <w:r>
        <w:rPr>
          <w:rFonts w:hint="eastAsia" w:ascii="仿宋_GB2312" w:hAnsi="仿宋_GB2312" w:eastAsia="仿宋_GB2312" w:cs="仿宋_GB2312"/>
          <w:color w:val="auto"/>
          <w:kern w:val="0"/>
          <w:sz w:val="32"/>
          <w:szCs w:val="32"/>
          <w:highlight w:val="none"/>
          <w:u w:val="none"/>
          <w:lang w:eastAsia="zh-CN"/>
        </w:rPr>
        <w:t>属地县（市、区）</w:t>
      </w:r>
      <w:r>
        <w:rPr>
          <w:rFonts w:hint="eastAsia" w:ascii="仿宋_GB2312" w:hAnsi="仿宋_GB2312" w:eastAsia="仿宋_GB2312" w:cs="仿宋_GB2312"/>
          <w:color w:val="auto"/>
          <w:kern w:val="0"/>
          <w:sz w:val="32"/>
          <w:szCs w:val="32"/>
          <w:highlight w:val="none"/>
          <w:u w:val="none"/>
          <w:lang w:val="en-US" w:eastAsia="zh-CN"/>
        </w:rPr>
        <w:t>结合乡镇实际情况统筹使用，</w:t>
      </w:r>
      <w:r>
        <w:rPr>
          <w:rFonts w:hint="eastAsia" w:ascii="仿宋_GB2312" w:hAnsi="仿宋_GB2312" w:eastAsia="仿宋_GB2312" w:cs="仿宋_GB2312"/>
          <w:b w:val="0"/>
          <w:bCs w:val="0"/>
          <w:color w:val="auto"/>
          <w:kern w:val="0"/>
          <w:sz w:val="32"/>
          <w:szCs w:val="32"/>
          <w:highlight w:val="none"/>
          <w:u w:val="none"/>
          <w:lang w:val="en-US" w:eastAsia="zh-CN"/>
        </w:rPr>
        <w:t>对已率先启动驻镇帮镇扶村项目的镇村，可优先安排资金。</w:t>
      </w:r>
    </w:p>
    <w:p>
      <w:pPr>
        <w:pageBreakBefore w:val="0"/>
        <w:kinsoku/>
        <w:wordWrap/>
        <w:overflowPunct/>
        <w:topLinePunct w:val="0"/>
        <w:autoSpaceDE/>
        <w:autoSpaceDN/>
        <w:bidi w:val="0"/>
        <w:spacing w:line="360" w:lineRule="auto"/>
        <w:ind w:firstLine="640"/>
        <w:rPr>
          <w:rFonts w:hint="eastAsia"/>
          <w:color w:val="auto"/>
          <w:highlight w:val="none"/>
          <w:lang w:val="en-US" w:eastAsia="zh-CN"/>
        </w:rPr>
      </w:pPr>
      <w:r>
        <w:rPr>
          <w:rFonts w:hint="eastAsia" w:ascii="仿宋_GB2312" w:hAnsi="Times New Roman" w:eastAsia="仿宋_GB2312" w:cs="Times New Roman"/>
          <w:color w:val="auto"/>
          <w:sz w:val="32"/>
          <w:szCs w:val="32"/>
          <w:highlight w:val="none"/>
          <w:lang w:val="en-US" w:eastAsia="zh-CN"/>
        </w:rPr>
        <w:t>珠三角6市设立驻市帮扶指挥部，驻县（市、区）帮扶工作组，建立</w:t>
      </w:r>
      <w:r>
        <w:rPr>
          <w:rFonts w:hint="eastAsia" w:ascii="仿宋_GB2312" w:eastAsia="仿宋_GB2312"/>
          <w:color w:val="auto"/>
          <w:sz w:val="32"/>
          <w:szCs w:val="32"/>
          <w:highlight w:val="none"/>
          <w:lang w:eastAsia="zh-CN"/>
        </w:rPr>
        <w:t>驻镇帮镇扶村工作联系制度，统筹协调区域内派出的各驻镇帮扶工作队工作。</w:t>
      </w:r>
      <w:r>
        <w:rPr>
          <w:rFonts w:hint="eastAsia" w:ascii="仿宋_GB2312" w:hAnsi="仿宋_GB2312" w:eastAsia="仿宋_GB2312" w:cs="仿宋_GB2312"/>
          <w:color w:val="000000"/>
          <w:kern w:val="0"/>
          <w:sz w:val="31"/>
          <w:szCs w:val="31"/>
          <w:lang w:val="en-US" w:eastAsia="zh-CN" w:bidi="ar"/>
        </w:rPr>
        <w:t>结对帮扶地市见表1-2。</w:t>
      </w:r>
    </w:p>
    <w:p>
      <w:pPr>
        <w:pageBreakBefore w:val="0"/>
        <w:kinsoku/>
        <w:wordWrap/>
        <w:overflowPunct/>
        <w:topLinePunct w:val="0"/>
        <w:autoSpaceDE/>
        <w:autoSpaceDN/>
        <w:bidi w:val="0"/>
        <w:spacing w:line="360" w:lineRule="auto"/>
        <w:ind w:firstLine="640"/>
        <w:rPr>
          <w:rFonts w:hint="eastAsia" w:ascii="黑体" w:hAnsi="黑体" w:eastAsia="黑体" w:cs="黑体"/>
          <w:color w:val="auto"/>
          <w:sz w:val="28"/>
          <w:szCs w:val="28"/>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表1-2 全省乡村振兴驻镇帮镇扶村任务安排表</w:t>
      </w:r>
    </w:p>
    <w:tbl>
      <w:tblPr>
        <w:tblStyle w:val="12"/>
        <w:tblW w:w="8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1386"/>
        <w:gridCol w:w="1164"/>
        <w:gridCol w:w="1440"/>
        <w:gridCol w:w="1248"/>
        <w:gridCol w:w="96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04" w:type="dxa"/>
            <w:vMerge w:val="restart"/>
          </w:tcPr>
          <w:p>
            <w:pPr>
              <w:keepNext w:val="0"/>
              <w:keepLines w:val="0"/>
              <w:pageBreakBefore w:val="0"/>
              <w:widowControl/>
              <w:suppressLineNumbers w:val="0"/>
              <w:kinsoku/>
              <w:wordWrap/>
              <w:overflowPunct/>
              <w:topLinePunct w:val="0"/>
              <w:autoSpaceDE/>
              <w:autoSpaceDN/>
              <w:bidi w:val="0"/>
              <w:adjustRightInd/>
              <w:snapToGrid/>
              <w:spacing w:before="469" w:beforeLines="150" w:after="469" w:afterLines="150"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珠三角地市</w:t>
            </w:r>
          </w:p>
        </w:tc>
        <w:tc>
          <w:tcPr>
            <w:tcW w:w="1386" w:type="dxa"/>
            <w:vMerge w:val="restart"/>
            <w:vAlign w:val="top"/>
          </w:tcPr>
          <w:p>
            <w:pPr>
              <w:keepNext w:val="0"/>
              <w:keepLines w:val="0"/>
              <w:pageBreakBefore w:val="0"/>
              <w:widowControl/>
              <w:suppressLineNumbers w:val="0"/>
              <w:kinsoku/>
              <w:wordWrap/>
              <w:overflowPunct/>
              <w:topLinePunct w:val="0"/>
              <w:autoSpaceDE/>
              <w:autoSpaceDN/>
              <w:bidi w:val="0"/>
              <w:adjustRightInd/>
              <w:snapToGrid/>
              <w:spacing w:before="469" w:beforeLines="150" w:after="469" w:afterLines="150"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结对帮扶地市</w:t>
            </w:r>
          </w:p>
        </w:tc>
        <w:tc>
          <w:tcPr>
            <w:tcW w:w="5952" w:type="dxa"/>
            <w:gridSpan w:val="5"/>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帮扶类型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04" w:type="dxa"/>
            <w:vMerge w:val="continue"/>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eastAsia" w:ascii="仿宋_GB2312" w:hAnsi="宋体" w:eastAsia="仿宋_GB2312" w:cs="仿宋_GB2312"/>
                <w:b/>
                <w:bCs/>
                <w:i w:val="0"/>
                <w:iCs w:val="0"/>
                <w:color w:val="auto"/>
                <w:kern w:val="0"/>
                <w:sz w:val="24"/>
                <w:szCs w:val="24"/>
                <w:highlight w:val="none"/>
                <w:u w:val="none"/>
                <w:lang w:val="en-US" w:eastAsia="zh-CN" w:bidi="ar"/>
              </w:rPr>
            </w:pPr>
          </w:p>
        </w:tc>
        <w:tc>
          <w:tcPr>
            <w:tcW w:w="1386" w:type="dxa"/>
            <w:vMerge w:val="continue"/>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eastAsia" w:ascii="仿宋_GB2312" w:hAnsi="宋体" w:eastAsia="仿宋_GB2312" w:cs="仿宋_GB2312"/>
                <w:b/>
                <w:bCs/>
                <w:i w:val="0"/>
                <w:iCs w:val="0"/>
                <w:color w:val="auto"/>
                <w:kern w:val="0"/>
                <w:sz w:val="24"/>
                <w:szCs w:val="24"/>
                <w:highlight w:val="none"/>
                <w:u w:val="none"/>
                <w:lang w:val="en-US" w:eastAsia="zh-CN" w:bidi="ar"/>
              </w:rPr>
            </w:pPr>
          </w:p>
        </w:tc>
        <w:tc>
          <w:tcPr>
            <w:tcW w:w="4818" w:type="dxa"/>
            <w:gridSpan w:val="4"/>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eastAsia"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重点帮扶镇（个）</w:t>
            </w:r>
          </w:p>
        </w:tc>
        <w:tc>
          <w:tcPr>
            <w:tcW w:w="1134" w:type="dxa"/>
            <w:vMerge w:val="restart"/>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巩固提升镇（个）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blHeader/>
          <w:jc w:val="center"/>
        </w:trPr>
        <w:tc>
          <w:tcPr>
            <w:tcW w:w="1104" w:type="dxa"/>
            <w:vMerge w:val="continue"/>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p>
        </w:tc>
        <w:tc>
          <w:tcPr>
            <w:tcW w:w="1386" w:type="dxa"/>
            <w:vMerge w:val="continue"/>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p>
        </w:tc>
        <w:tc>
          <w:tcPr>
            <w:tcW w:w="1164" w:type="dxa"/>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珠三角帮扶</w:t>
            </w:r>
          </w:p>
        </w:tc>
        <w:tc>
          <w:tcPr>
            <w:tcW w:w="1440"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省直中直驻粤单位帮扶</w:t>
            </w:r>
          </w:p>
        </w:tc>
        <w:tc>
          <w:tcPr>
            <w:tcW w:w="1248" w:type="dxa"/>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属地市自行帮扶</w:t>
            </w:r>
          </w:p>
        </w:tc>
        <w:tc>
          <w:tcPr>
            <w:tcW w:w="966" w:type="dxa"/>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合计</w:t>
            </w:r>
          </w:p>
        </w:tc>
        <w:tc>
          <w:tcPr>
            <w:tcW w:w="1134" w:type="dxa"/>
            <w:vMerge w:val="continue"/>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restart"/>
          </w:tcPr>
          <w:p>
            <w:pPr>
              <w:keepNext w:val="0"/>
              <w:keepLines w:val="0"/>
              <w:pageBreakBefore w:val="0"/>
              <w:widowControl/>
              <w:suppressLineNumbers w:val="0"/>
              <w:kinsoku/>
              <w:wordWrap/>
              <w:overflowPunct/>
              <w:topLinePunct w:val="0"/>
              <w:autoSpaceDE/>
              <w:autoSpaceDN/>
              <w:bidi w:val="0"/>
              <w:adjustRightInd/>
              <w:snapToGrid/>
              <w:spacing w:before="469" w:beforeLines="150" w:after="469" w:afterLines="150"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广州市</w:t>
            </w:r>
          </w:p>
        </w:tc>
        <w:tc>
          <w:tcPr>
            <w:tcW w:w="138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梅州市</w:t>
            </w:r>
          </w:p>
        </w:tc>
        <w:tc>
          <w:tcPr>
            <w:tcW w:w="116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30</w:t>
            </w:r>
          </w:p>
        </w:tc>
        <w:tc>
          <w:tcPr>
            <w:tcW w:w="1440"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w:t>
            </w:r>
          </w:p>
        </w:tc>
        <w:tc>
          <w:tcPr>
            <w:tcW w:w="1248"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21</w:t>
            </w:r>
          </w:p>
        </w:tc>
        <w:tc>
          <w:tcPr>
            <w:tcW w:w="96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69</w:t>
            </w:r>
          </w:p>
        </w:tc>
        <w:tc>
          <w:tcPr>
            <w:tcW w:w="113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p>
        </w:tc>
        <w:tc>
          <w:tcPr>
            <w:tcW w:w="138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湛江市</w:t>
            </w:r>
          </w:p>
        </w:tc>
        <w:tc>
          <w:tcPr>
            <w:tcW w:w="116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24</w:t>
            </w:r>
          </w:p>
        </w:tc>
        <w:tc>
          <w:tcPr>
            <w:tcW w:w="1440"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w:t>
            </w:r>
          </w:p>
        </w:tc>
        <w:tc>
          <w:tcPr>
            <w:tcW w:w="1248"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w:t>
            </w:r>
          </w:p>
        </w:tc>
        <w:tc>
          <w:tcPr>
            <w:tcW w:w="96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56</w:t>
            </w:r>
          </w:p>
        </w:tc>
        <w:tc>
          <w:tcPr>
            <w:tcW w:w="113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p>
        </w:tc>
        <w:tc>
          <w:tcPr>
            <w:tcW w:w="138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清远市</w:t>
            </w:r>
          </w:p>
        </w:tc>
        <w:tc>
          <w:tcPr>
            <w:tcW w:w="116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24</w:t>
            </w:r>
          </w:p>
        </w:tc>
        <w:tc>
          <w:tcPr>
            <w:tcW w:w="1440"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w:t>
            </w:r>
          </w:p>
        </w:tc>
        <w:tc>
          <w:tcPr>
            <w:tcW w:w="1248"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w:t>
            </w:r>
          </w:p>
        </w:tc>
        <w:tc>
          <w:tcPr>
            <w:tcW w:w="96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53</w:t>
            </w:r>
          </w:p>
        </w:tc>
        <w:tc>
          <w:tcPr>
            <w:tcW w:w="113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p>
        </w:tc>
        <w:tc>
          <w:tcPr>
            <w:tcW w:w="138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小计</w:t>
            </w:r>
          </w:p>
        </w:tc>
        <w:tc>
          <w:tcPr>
            <w:tcW w:w="116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78</w:t>
            </w:r>
          </w:p>
        </w:tc>
        <w:tc>
          <w:tcPr>
            <w:tcW w:w="1440"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46</w:t>
            </w:r>
          </w:p>
        </w:tc>
        <w:tc>
          <w:tcPr>
            <w:tcW w:w="1248"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54</w:t>
            </w:r>
          </w:p>
        </w:tc>
        <w:tc>
          <w:tcPr>
            <w:tcW w:w="96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178</w:t>
            </w:r>
          </w:p>
        </w:tc>
        <w:tc>
          <w:tcPr>
            <w:tcW w:w="113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restart"/>
          </w:tcPr>
          <w:p>
            <w:pPr>
              <w:keepNext w:val="0"/>
              <w:keepLines w:val="0"/>
              <w:pageBreakBefore w:val="0"/>
              <w:widowControl/>
              <w:suppressLineNumbers w:val="0"/>
              <w:kinsoku/>
              <w:wordWrap/>
              <w:overflowPunct/>
              <w:topLinePunct w:val="0"/>
              <w:autoSpaceDE/>
              <w:autoSpaceDN/>
              <w:bidi w:val="0"/>
              <w:adjustRightInd/>
              <w:snapToGrid/>
              <w:spacing w:before="469" w:beforeLines="150" w:after="469" w:afterLines="150"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深圳市</w:t>
            </w:r>
          </w:p>
        </w:tc>
        <w:tc>
          <w:tcPr>
            <w:tcW w:w="138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汕头市</w:t>
            </w:r>
          </w:p>
        </w:tc>
        <w:tc>
          <w:tcPr>
            <w:tcW w:w="116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w:t>
            </w:r>
          </w:p>
        </w:tc>
        <w:tc>
          <w:tcPr>
            <w:tcW w:w="1440"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c>
          <w:tcPr>
            <w:tcW w:w="1248"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w:t>
            </w:r>
          </w:p>
        </w:tc>
        <w:tc>
          <w:tcPr>
            <w:tcW w:w="96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20</w:t>
            </w:r>
          </w:p>
        </w:tc>
        <w:tc>
          <w:tcPr>
            <w:tcW w:w="113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p>
        </w:tc>
        <w:tc>
          <w:tcPr>
            <w:tcW w:w="138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河源市</w:t>
            </w:r>
          </w:p>
        </w:tc>
        <w:tc>
          <w:tcPr>
            <w:tcW w:w="116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44</w:t>
            </w:r>
          </w:p>
        </w:tc>
        <w:tc>
          <w:tcPr>
            <w:tcW w:w="1440"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c>
          <w:tcPr>
            <w:tcW w:w="1248"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w:t>
            </w:r>
          </w:p>
        </w:tc>
        <w:tc>
          <w:tcPr>
            <w:tcW w:w="96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63</w:t>
            </w:r>
          </w:p>
        </w:tc>
        <w:tc>
          <w:tcPr>
            <w:tcW w:w="113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p>
        </w:tc>
        <w:tc>
          <w:tcPr>
            <w:tcW w:w="138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汕尾市</w:t>
            </w:r>
          </w:p>
        </w:tc>
        <w:tc>
          <w:tcPr>
            <w:tcW w:w="116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w:t>
            </w:r>
          </w:p>
        </w:tc>
        <w:tc>
          <w:tcPr>
            <w:tcW w:w="1440"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c>
          <w:tcPr>
            <w:tcW w:w="1248"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w:t>
            </w:r>
          </w:p>
        </w:tc>
        <w:tc>
          <w:tcPr>
            <w:tcW w:w="96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27</w:t>
            </w:r>
          </w:p>
        </w:tc>
        <w:tc>
          <w:tcPr>
            <w:tcW w:w="113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p>
        </w:tc>
        <w:tc>
          <w:tcPr>
            <w:tcW w:w="138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小计</w:t>
            </w:r>
          </w:p>
        </w:tc>
        <w:tc>
          <w:tcPr>
            <w:tcW w:w="116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76</w:t>
            </w:r>
          </w:p>
        </w:tc>
        <w:tc>
          <w:tcPr>
            <w:tcW w:w="1440"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w:t>
            </w:r>
          </w:p>
        </w:tc>
        <w:tc>
          <w:tcPr>
            <w:tcW w:w="1248"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31</w:t>
            </w:r>
          </w:p>
        </w:tc>
        <w:tc>
          <w:tcPr>
            <w:tcW w:w="96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110</w:t>
            </w:r>
          </w:p>
        </w:tc>
        <w:tc>
          <w:tcPr>
            <w:tcW w:w="113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restart"/>
          </w:tcPr>
          <w:p>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珠海市</w:t>
            </w:r>
          </w:p>
        </w:tc>
        <w:tc>
          <w:tcPr>
            <w:tcW w:w="138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阳江市</w:t>
            </w:r>
          </w:p>
        </w:tc>
        <w:tc>
          <w:tcPr>
            <w:tcW w:w="116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w:t>
            </w:r>
          </w:p>
        </w:tc>
        <w:tc>
          <w:tcPr>
            <w:tcW w:w="1440"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w:t>
            </w:r>
          </w:p>
        </w:tc>
        <w:tc>
          <w:tcPr>
            <w:tcW w:w="1248"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w:t>
            </w:r>
          </w:p>
        </w:tc>
        <w:tc>
          <w:tcPr>
            <w:tcW w:w="96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26</w:t>
            </w:r>
          </w:p>
        </w:tc>
        <w:tc>
          <w:tcPr>
            <w:tcW w:w="113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p>
        </w:tc>
        <w:tc>
          <w:tcPr>
            <w:tcW w:w="138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茂名市</w:t>
            </w:r>
          </w:p>
        </w:tc>
        <w:tc>
          <w:tcPr>
            <w:tcW w:w="116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21</w:t>
            </w:r>
          </w:p>
        </w:tc>
        <w:tc>
          <w:tcPr>
            <w:tcW w:w="1440"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w:t>
            </w:r>
          </w:p>
        </w:tc>
        <w:tc>
          <w:tcPr>
            <w:tcW w:w="1248"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w:t>
            </w:r>
          </w:p>
        </w:tc>
        <w:tc>
          <w:tcPr>
            <w:tcW w:w="96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57</w:t>
            </w:r>
          </w:p>
        </w:tc>
        <w:tc>
          <w:tcPr>
            <w:tcW w:w="113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p>
        </w:tc>
        <w:tc>
          <w:tcPr>
            <w:tcW w:w="138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小计</w:t>
            </w:r>
          </w:p>
        </w:tc>
        <w:tc>
          <w:tcPr>
            <w:tcW w:w="116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31</w:t>
            </w:r>
          </w:p>
        </w:tc>
        <w:tc>
          <w:tcPr>
            <w:tcW w:w="1440"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27</w:t>
            </w:r>
          </w:p>
        </w:tc>
        <w:tc>
          <w:tcPr>
            <w:tcW w:w="1248"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25</w:t>
            </w:r>
          </w:p>
        </w:tc>
        <w:tc>
          <w:tcPr>
            <w:tcW w:w="96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83</w:t>
            </w:r>
          </w:p>
        </w:tc>
        <w:tc>
          <w:tcPr>
            <w:tcW w:w="113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restart"/>
          </w:tcPr>
          <w:p>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佛山市</w:t>
            </w:r>
          </w:p>
        </w:tc>
        <w:tc>
          <w:tcPr>
            <w:tcW w:w="138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肇庆市</w:t>
            </w:r>
          </w:p>
        </w:tc>
        <w:tc>
          <w:tcPr>
            <w:tcW w:w="116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32</w:t>
            </w:r>
          </w:p>
        </w:tc>
        <w:tc>
          <w:tcPr>
            <w:tcW w:w="1440"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w:t>
            </w:r>
          </w:p>
        </w:tc>
        <w:tc>
          <w:tcPr>
            <w:tcW w:w="1248"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w:t>
            </w:r>
          </w:p>
        </w:tc>
        <w:tc>
          <w:tcPr>
            <w:tcW w:w="96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59</w:t>
            </w:r>
          </w:p>
        </w:tc>
        <w:tc>
          <w:tcPr>
            <w:tcW w:w="113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p>
        </w:tc>
        <w:tc>
          <w:tcPr>
            <w:tcW w:w="138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云浮市</w:t>
            </w:r>
          </w:p>
        </w:tc>
        <w:tc>
          <w:tcPr>
            <w:tcW w:w="116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21</w:t>
            </w:r>
          </w:p>
        </w:tc>
        <w:tc>
          <w:tcPr>
            <w:tcW w:w="1440"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w:t>
            </w:r>
          </w:p>
        </w:tc>
        <w:tc>
          <w:tcPr>
            <w:tcW w:w="1248"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w:t>
            </w:r>
          </w:p>
        </w:tc>
        <w:tc>
          <w:tcPr>
            <w:tcW w:w="96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37</w:t>
            </w:r>
          </w:p>
        </w:tc>
        <w:tc>
          <w:tcPr>
            <w:tcW w:w="113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p>
        </w:tc>
        <w:tc>
          <w:tcPr>
            <w:tcW w:w="138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小计</w:t>
            </w:r>
          </w:p>
        </w:tc>
        <w:tc>
          <w:tcPr>
            <w:tcW w:w="116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53</w:t>
            </w:r>
          </w:p>
        </w:tc>
        <w:tc>
          <w:tcPr>
            <w:tcW w:w="1440"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w:t>
            </w:r>
          </w:p>
        </w:tc>
        <w:tc>
          <w:tcPr>
            <w:tcW w:w="1248"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29</w:t>
            </w:r>
          </w:p>
        </w:tc>
        <w:tc>
          <w:tcPr>
            <w:tcW w:w="96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96</w:t>
            </w:r>
          </w:p>
        </w:tc>
        <w:tc>
          <w:tcPr>
            <w:tcW w:w="113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restart"/>
          </w:tcPr>
          <w:p>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东莞市</w:t>
            </w:r>
          </w:p>
        </w:tc>
        <w:tc>
          <w:tcPr>
            <w:tcW w:w="138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韶关市</w:t>
            </w:r>
          </w:p>
        </w:tc>
        <w:tc>
          <w:tcPr>
            <w:tcW w:w="116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30</w:t>
            </w:r>
          </w:p>
        </w:tc>
        <w:tc>
          <w:tcPr>
            <w:tcW w:w="1440"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w:t>
            </w:r>
          </w:p>
        </w:tc>
        <w:tc>
          <w:tcPr>
            <w:tcW w:w="1248"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w:t>
            </w:r>
          </w:p>
        </w:tc>
        <w:tc>
          <w:tcPr>
            <w:tcW w:w="96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63</w:t>
            </w:r>
          </w:p>
        </w:tc>
        <w:tc>
          <w:tcPr>
            <w:tcW w:w="113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p>
        </w:tc>
        <w:tc>
          <w:tcPr>
            <w:tcW w:w="138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揭阳市</w:t>
            </w:r>
          </w:p>
        </w:tc>
        <w:tc>
          <w:tcPr>
            <w:tcW w:w="116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20</w:t>
            </w:r>
          </w:p>
        </w:tc>
        <w:tc>
          <w:tcPr>
            <w:tcW w:w="1440"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w:t>
            </w:r>
          </w:p>
        </w:tc>
        <w:tc>
          <w:tcPr>
            <w:tcW w:w="1248"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w:t>
            </w:r>
          </w:p>
        </w:tc>
        <w:tc>
          <w:tcPr>
            <w:tcW w:w="96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43</w:t>
            </w:r>
          </w:p>
        </w:tc>
        <w:tc>
          <w:tcPr>
            <w:tcW w:w="113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p>
        </w:tc>
        <w:tc>
          <w:tcPr>
            <w:tcW w:w="138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小计</w:t>
            </w:r>
          </w:p>
        </w:tc>
        <w:tc>
          <w:tcPr>
            <w:tcW w:w="116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50</w:t>
            </w:r>
          </w:p>
        </w:tc>
        <w:tc>
          <w:tcPr>
            <w:tcW w:w="1440"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24</w:t>
            </w:r>
          </w:p>
        </w:tc>
        <w:tc>
          <w:tcPr>
            <w:tcW w:w="1248"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32</w:t>
            </w:r>
          </w:p>
        </w:tc>
        <w:tc>
          <w:tcPr>
            <w:tcW w:w="96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106</w:t>
            </w:r>
          </w:p>
        </w:tc>
        <w:tc>
          <w:tcPr>
            <w:tcW w:w="113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restart"/>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中山市</w:t>
            </w:r>
          </w:p>
        </w:tc>
        <w:tc>
          <w:tcPr>
            <w:tcW w:w="138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潮州市</w:t>
            </w:r>
          </w:p>
        </w:tc>
        <w:tc>
          <w:tcPr>
            <w:tcW w:w="116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w:t>
            </w:r>
          </w:p>
        </w:tc>
        <w:tc>
          <w:tcPr>
            <w:tcW w:w="1440"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w:t>
            </w:r>
          </w:p>
        </w:tc>
        <w:tc>
          <w:tcPr>
            <w:tcW w:w="1248"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w:t>
            </w:r>
          </w:p>
        </w:tc>
        <w:tc>
          <w:tcPr>
            <w:tcW w:w="96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27</w:t>
            </w:r>
          </w:p>
        </w:tc>
        <w:tc>
          <w:tcPr>
            <w:tcW w:w="113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104" w:type="dxa"/>
            <w:vMerge w:val="continue"/>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p>
        </w:tc>
        <w:tc>
          <w:tcPr>
            <w:tcW w:w="138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小计</w:t>
            </w:r>
          </w:p>
        </w:tc>
        <w:tc>
          <w:tcPr>
            <w:tcW w:w="116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w:t>
            </w:r>
          </w:p>
        </w:tc>
        <w:tc>
          <w:tcPr>
            <w:tcW w:w="1440"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w:t>
            </w:r>
          </w:p>
        </w:tc>
        <w:tc>
          <w:tcPr>
            <w:tcW w:w="1248"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w:t>
            </w:r>
          </w:p>
        </w:tc>
        <w:tc>
          <w:tcPr>
            <w:tcW w:w="96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27</w:t>
            </w:r>
          </w:p>
        </w:tc>
        <w:tc>
          <w:tcPr>
            <w:tcW w:w="113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490" w:type="dxa"/>
            <w:gridSpan w:val="2"/>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eastAsia"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合计</w:t>
            </w:r>
          </w:p>
        </w:tc>
        <w:tc>
          <w:tcPr>
            <w:tcW w:w="116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300</w:t>
            </w:r>
          </w:p>
        </w:tc>
        <w:tc>
          <w:tcPr>
            <w:tcW w:w="1440"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121</w:t>
            </w:r>
          </w:p>
        </w:tc>
        <w:tc>
          <w:tcPr>
            <w:tcW w:w="1248"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179</w:t>
            </w:r>
          </w:p>
        </w:tc>
        <w:tc>
          <w:tcPr>
            <w:tcW w:w="966"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600</w:t>
            </w:r>
          </w:p>
        </w:tc>
        <w:tc>
          <w:tcPr>
            <w:tcW w:w="1134" w:type="dxa"/>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301</w:t>
            </w:r>
          </w:p>
        </w:tc>
      </w:tr>
    </w:tbl>
    <w:p>
      <w:pPr>
        <w:pageBreakBefore w:val="0"/>
        <w:kinsoku/>
        <w:wordWrap/>
        <w:overflowPunct/>
        <w:topLinePunct w:val="0"/>
        <w:autoSpaceDE/>
        <w:autoSpaceDN/>
        <w:bidi w:val="0"/>
        <w:spacing w:line="360" w:lineRule="auto"/>
        <w:ind w:firstLine="640"/>
        <w:rPr>
          <w:rFonts w:hint="eastAsia"/>
          <w:color w:val="auto"/>
          <w:highlight w:val="none"/>
          <w:lang w:val="en-US" w:eastAsia="zh-CN"/>
        </w:rPr>
      </w:pPr>
    </w:p>
    <w:p>
      <w:pPr>
        <w:pStyle w:val="5"/>
        <w:pageBreakBefore w:val="0"/>
        <w:kinsoku/>
        <w:wordWrap/>
        <w:overflowPunct/>
        <w:topLinePunct w:val="0"/>
        <w:autoSpaceDE/>
        <w:autoSpaceDN/>
        <w:bidi w:val="0"/>
        <w:spacing w:line="360" w:lineRule="auto"/>
        <w:rPr>
          <w:rFonts w:hint="default"/>
          <w:color w:val="auto"/>
          <w:highlight w:val="none"/>
          <w:lang w:val="en-US" w:eastAsia="zh-CN"/>
        </w:rPr>
      </w:pPr>
      <w:bookmarkStart w:id="8" w:name="_Toc2782"/>
      <w:bookmarkStart w:id="9" w:name="_Toc7807"/>
      <w:r>
        <w:rPr>
          <w:rFonts w:hint="eastAsia"/>
          <w:color w:val="auto"/>
          <w:highlight w:val="none"/>
          <w:lang w:val="en-US" w:eastAsia="zh-CN"/>
        </w:rPr>
        <w:t>（三）</w:t>
      </w:r>
      <w:r>
        <w:rPr>
          <w:rFonts w:hint="default"/>
          <w:color w:val="auto"/>
          <w:highlight w:val="none"/>
          <w:lang w:val="en-US" w:eastAsia="zh-CN"/>
        </w:rPr>
        <w:t>绩效目标</w:t>
      </w:r>
      <w:bookmarkEnd w:id="8"/>
      <w:bookmarkEnd w:id="9"/>
    </w:p>
    <w:p>
      <w:pPr>
        <w:pageBreakBefore w:val="0"/>
        <w:kinsoku/>
        <w:wordWrap/>
        <w:overflowPunct/>
        <w:topLinePunct w:val="0"/>
        <w:autoSpaceDE/>
        <w:autoSpaceDN/>
        <w:bidi w:val="0"/>
        <w:spacing w:line="36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专项资金的绩效目标：</w:t>
      </w:r>
      <w:r>
        <w:rPr>
          <w:rFonts w:hint="eastAsia" w:ascii="仿宋_GB2312" w:eastAsia="仿宋_GB2312"/>
          <w:b/>
          <w:bCs/>
          <w:color w:val="auto"/>
          <w:sz w:val="32"/>
          <w:szCs w:val="32"/>
          <w:highlight w:val="none"/>
        </w:rPr>
        <w:t>一是</w:t>
      </w:r>
      <w:r>
        <w:rPr>
          <w:rFonts w:hint="eastAsia" w:ascii="仿宋_GB2312" w:eastAsia="仿宋_GB2312"/>
          <w:color w:val="auto"/>
          <w:sz w:val="32"/>
          <w:szCs w:val="32"/>
          <w:highlight w:val="none"/>
        </w:rPr>
        <w:t>全省脱贫攻坚成果进一步巩固拓展；</w:t>
      </w:r>
      <w:r>
        <w:rPr>
          <w:rFonts w:hint="eastAsia" w:ascii="仿宋_GB2312" w:eastAsia="仿宋_GB2312"/>
          <w:b/>
          <w:bCs/>
          <w:color w:val="auto"/>
          <w:sz w:val="32"/>
          <w:szCs w:val="32"/>
          <w:highlight w:val="none"/>
        </w:rPr>
        <w:t>二是</w:t>
      </w:r>
      <w:r>
        <w:rPr>
          <w:rFonts w:hint="eastAsia" w:ascii="仿宋_GB2312" w:eastAsia="仿宋_GB2312"/>
          <w:color w:val="auto"/>
          <w:sz w:val="32"/>
          <w:szCs w:val="32"/>
          <w:highlight w:val="none"/>
        </w:rPr>
        <w:t>全省人居环境整治成果进一步巩固；</w:t>
      </w:r>
      <w:r>
        <w:rPr>
          <w:rFonts w:hint="eastAsia" w:ascii="仿宋_GB2312" w:eastAsia="仿宋_GB2312"/>
          <w:b/>
          <w:bCs/>
          <w:color w:val="auto"/>
          <w:sz w:val="32"/>
          <w:szCs w:val="32"/>
          <w:highlight w:val="none"/>
        </w:rPr>
        <w:t>三是</w:t>
      </w:r>
      <w:r>
        <w:rPr>
          <w:rFonts w:hint="eastAsia" w:ascii="仿宋_GB2312" w:eastAsia="仿宋_GB2312"/>
          <w:color w:val="auto"/>
          <w:sz w:val="32"/>
          <w:szCs w:val="32"/>
          <w:highlight w:val="none"/>
        </w:rPr>
        <w:t>全省产业发展成果进一步巩固。绩效指标见表1-</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w:t>
      </w:r>
    </w:p>
    <w:p>
      <w:pPr>
        <w:pageBreakBefore w:val="0"/>
        <w:kinsoku/>
        <w:wordWrap/>
        <w:overflowPunct/>
        <w:topLinePunct w:val="0"/>
        <w:autoSpaceDE/>
        <w:autoSpaceDN/>
        <w:bidi w:val="0"/>
        <w:spacing w:line="360" w:lineRule="auto"/>
        <w:ind w:firstLine="640"/>
        <w:rPr>
          <w:rFonts w:hint="eastAsia"/>
        </w:rPr>
      </w:pPr>
      <w:r>
        <w:rPr>
          <w:rFonts w:hint="eastAsia" w:ascii="仿宋_GB2312" w:eastAsia="仿宋_GB2312"/>
          <w:color w:val="auto"/>
          <w:sz w:val="32"/>
          <w:szCs w:val="32"/>
          <w:highlight w:val="none"/>
          <w:lang w:val="en-US" w:eastAsia="zh-CN"/>
        </w:rPr>
        <w:t>专项资金的主要任务：</w:t>
      </w:r>
      <w:r>
        <w:rPr>
          <w:rFonts w:hint="eastAsia" w:ascii="仿宋_GB2312" w:eastAsia="仿宋_GB2312"/>
          <w:b/>
          <w:bCs/>
          <w:color w:val="auto"/>
          <w:sz w:val="32"/>
          <w:szCs w:val="32"/>
          <w:highlight w:val="none"/>
          <w:lang w:val="en-US" w:eastAsia="zh-CN"/>
        </w:rPr>
        <w:t>一是</w:t>
      </w:r>
      <w:r>
        <w:rPr>
          <w:rFonts w:hint="eastAsia" w:ascii="仿宋_GB2312" w:eastAsia="仿宋_GB2312"/>
          <w:color w:val="auto"/>
          <w:sz w:val="32"/>
          <w:szCs w:val="32"/>
          <w:highlight w:val="none"/>
          <w:lang w:val="en-US" w:eastAsia="zh-CN"/>
        </w:rPr>
        <w:t>提升脱贫攻坚成果水平，健全防止返贫动态监测和帮扶机制；</w:t>
      </w:r>
      <w:r>
        <w:rPr>
          <w:rFonts w:hint="eastAsia" w:ascii="仿宋_GB2312" w:eastAsia="仿宋_GB2312"/>
          <w:b/>
          <w:bCs/>
          <w:color w:val="auto"/>
          <w:sz w:val="32"/>
          <w:szCs w:val="32"/>
          <w:highlight w:val="none"/>
          <w:lang w:val="en-US" w:eastAsia="zh-CN"/>
        </w:rPr>
        <w:t>二是</w:t>
      </w:r>
      <w:r>
        <w:rPr>
          <w:rFonts w:hint="eastAsia" w:ascii="仿宋_GB2312" w:eastAsia="仿宋_GB2312"/>
          <w:color w:val="auto"/>
          <w:sz w:val="32"/>
          <w:szCs w:val="32"/>
          <w:highlight w:val="none"/>
          <w:lang w:val="en-US" w:eastAsia="zh-CN"/>
        </w:rPr>
        <w:t>提升镇村公共基础设施水平，健全城乡基础设施统一规划、统一建设、统一管护机制；</w:t>
      </w:r>
      <w:r>
        <w:rPr>
          <w:rFonts w:hint="eastAsia" w:ascii="仿宋_GB2312" w:eastAsia="仿宋_GB2312"/>
          <w:b/>
          <w:bCs/>
          <w:color w:val="auto"/>
          <w:sz w:val="32"/>
          <w:szCs w:val="32"/>
          <w:highlight w:val="none"/>
          <w:lang w:val="en-US" w:eastAsia="zh-CN"/>
        </w:rPr>
        <w:t>三是</w:t>
      </w:r>
      <w:r>
        <w:rPr>
          <w:rFonts w:hint="eastAsia" w:ascii="仿宋_GB2312" w:eastAsia="仿宋_GB2312"/>
          <w:color w:val="auto"/>
          <w:sz w:val="32"/>
          <w:szCs w:val="32"/>
          <w:highlight w:val="none"/>
          <w:lang w:val="en-US" w:eastAsia="zh-CN"/>
        </w:rPr>
        <w:t>提升镇域公共服务能力。围绕把乡镇建设成为服务农民的区域中心，统筹优化配置教育、医疗、文化等公共资源，强化服务农民功能；</w:t>
      </w:r>
      <w:r>
        <w:rPr>
          <w:rFonts w:hint="eastAsia" w:ascii="仿宋_GB2312" w:eastAsia="仿宋_GB2312"/>
          <w:b/>
          <w:bCs/>
          <w:color w:val="auto"/>
          <w:sz w:val="32"/>
          <w:szCs w:val="32"/>
          <w:highlight w:val="none"/>
          <w:lang w:val="en-US" w:eastAsia="zh-CN"/>
        </w:rPr>
        <w:t>四是</w:t>
      </w:r>
      <w:r>
        <w:rPr>
          <w:rFonts w:hint="eastAsia" w:ascii="仿宋_GB2312" w:eastAsia="仿宋_GB2312"/>
          <w:color w:val="auto"/>
          <w:sz w:val="32"/>
          <w:szCs w:val="32"/>
          <w:highlight w:val="none"/>
          <w:lang w:val="en-US" w:eastAsia="zh-CN"/>
        </w:rPr>
        <w:t>提升乡村产业发展水平，发挥当地资源禀赋、因地制宜发展特色小城镇，提高镇域经济发展水平；</w:t>
      </w:r>
      <w:r>
        <w:rPr>
          <w:rFonts w:hint="eastAsia" w:ascii="仿宋_GB2312" w:eastAsia="仿宋_GB2312"/>
          <w:b/>
          <w:bCs/>
          <w:color w:val="auto"/>
          <w:sz w:val="32"/>
          <w:szCs w:val="32"/>
          <w:highlight w:val="none"/>
          <w:lang w:val="en-US" w:eastAsia="zh-CN"/>
        </w:rPr>
        <w:t>五是</w:t>
      </w:r>
      <w:r>
        <w:rPr>
          <w:rFonts w:hint="eastAsia" w:ascii="仿宋_GB2312" w:eastAsia="仿宋_GB2312"/>
          <w:color w:val="auto"/>
          <w:sz w:val="32"/>
          <w:szCs w:val="32"/>
          <w:highlight w:val="none"/>
          <w:lang w:val="en-US" w:eastAsia="zh-CN"/>
        </w:rPr>
        <w:t>提升抓党建促乡村振兴水平，深入实施基层党建三年行动计划，强化乡镇党委在推进乡村振兴中的作用。</w:t>
      </w:r>
    </w:p>
    <w:tbl>
      <w:tblPr>
        <w:tblStyle w:val="11"/>
        <w:tblW w:w="9015" w:type="dxa"/>
        <w:jc w:val="center"/>
        <w:tblLayout w:type="fixed"/>
        <w:tblCellMar>
          <w:top w:w="0" w:type="dxa"/>
          <w:left w:w="0" w:type="dxa"/>
          <w:bottom w:w="0" w:type="dxa"/>
          <w:right w:w="0" w:type="dxa"/>
        </w:tblCellMar>
      </w:tblPr>
      <w:tblGrid>
        <w:gridCol w:w="612"/>
        <w:gridCol w:w="1138"/>
        <w:gridCol w:w="1311"/>
        <w:gridCol w:w="3770"/>
        <w:gridCol w:w="2184"/>
      </w:tblGrid>
      <w:tr>
        <w:tblPrEx>
          <w:tblCellMar>
            <w:top w:w="0" w:type="dxa"/>
            <w:left w:w="0" w:type="dxa"/>
            <w:bottom w:w="0" w:type="dxa"/>
            <w:right w:w="0" w:type="dxa"/>
          </w:tblCellMar>
        </w:tblPrEx>
        <w:trPr>
          <w:trHeight w:val="668" w:hRule="atLeast"/>
          <w:jc w:val="center"/>
        </w:trPr>
        <w:tc>
          <w:tcPr>
            <w:tcW w:w="9015" w:type="dxa"/>
            <w:gridSpan w:val="5"/>
            <w:tcBorders>
              <w:top w:val="nil"/>
              <w:left w:val="nil"/>
              <w:bottom w:val="nil"/>
              <w:right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ascii="黑体" w:hAnsi="宋体" w:eastAsia="黑体" w:cs="黑体"/>
                <w:i w:val="0"/>
                <w:color w:val="auto"/>
                <w:sz w:val="28"/>
                <w:szCs w:val="28"/>
                <w:highlight w:val="none"/>
                <w:u w:val="none"/>
              </w:rPr>
            </w:pPr>
            <w:r>
              <w:rPr>
                <w:rFonts w:hint="eastAsia" w:ascii="黑体" w:hAnsi="宋体" w:eastAsia="黑体" w:cs="黑体"/>
                <w:i w:val="0"/>
                <w:color w:val="auto"/>
                <w:kern w:val="0"/>
                <w:sz w:val="28"/>
                <w:szCs w:val="28"/>
                <w:highlight w:val="none"/>
                <w:u w:val="none"/>
                <w:lang w:val="en-US" w:eastAsia="zh-CN" w:bidi="ar"/>
              </w:rPr>
              <w:t>表1-3 2021年专项资金绩效目标表</w:t>
            </w:r>
          </w:p>
        </w:tc>
      </w:tr>
      <w:tr>
        <w:tblPrEx>
          <w:tblCellMar>
            <w:top w:w="0" w:type="dxa"/>
            <w:left w:w="0" w:type="dxa"/>
            <w:bottom w:w="0" w:type="dxa"/>
            <w:right w:w="0" w:type="dxa"/>
          </w:tblCellMar>
        </w:tblPrEx>
        <w:trPr>
          <w:trHeight w:val="412" w:hRule="atLeast"/>
          <w:jc w:val="center"/>
        </w:trPr>
        <w:tc>
          <w:tcPr>
            <w:tcW w:w="306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仿宋_GB2312" w:hAnsi="仿宋_GB2312" w:eastAsia="仿宋_GB2312" w:cs="仿宋_GB2312"/>
                <w:color w:val="auto"/>
                <w:kern w:val="2"/>
                <w:sz w:val="24"/>
                <w:szCs w:val="24"/>
                <w:highlight w:val="none"/>
                <w:lang w:val="en-US" w:eastAsia="zh-CN" w:bidi="ar-SA"/>
              </w:rPr>
              <w:t>专项资金名称</w:t>
            </w:r>
          </w:p>
        </w:tc>
        <w:tc>
          <w:tcPr>
            <w:tcW w:w="59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省级乡村振兴驻镇帮镇扶村资金</w:t>
            </w:r>
          </w:p>
        </w:tc>
      </w:tr>
      <w:tr>
        <w:tblPrEx>
          <w:tblCellMar>
            <w:top w:w="0" w:type="dxa"/>
            <w:left w:w="0" w:type="dxa"/>
            <w:bottom w:w="0" w:type="dxa"/>
            <w:right w:w="0" w:type="dxa"/>
          </w:tblCellMar>
        </w:tblPrEx>
        <w:trPr>
          <w:trHeight w:val="830" w:hRule="atLeast"/>
          <w:jc w:val="center"/>
        </w:trPr>
        <w:tc>
          <w:tcPr>
            <w:tcW w:w="306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总体绩效目标</w:t>
            </w:r>
          </w:p>
        </w:tc>
        <w:tc>
          <w:tcPr>
            <w:tcW w:w="59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脱贫攻坚成果进一步巩固拓展；人居环境整治成果进一步巩固；产业发展成果进一步巩固。</w:t>
            </w:r>
          </w:p>
        </w:tc>
      </w:tr>
      <w:tr>
        <w:tblPrEx>
          <w:tblCellMar>
            <w:top w:w="0" w:type="dxa"/>
            <w:left w:w="0" w:type="dxa"/>
            <w:bottom w:w="0" w:type="dxa"/>
            <w:right w:w="0" w:type="dxa"/>
          </w:tblCellMar>
        </w:tblPrEx>
        <w:trPr>
          <w:trHeight w:val="426" w:hRule="atLeast"/>
          <w:jc w:val="center"/>
        </w:trPr>
        <w:tc>
          <w:tcPr>
            <w:tcW w:w="612" w:type="dxa"/>
            <w:vMerge w:val="restart"/>
            <w:tcBorders>
              <w:top w:val="single" w:color="000000" w:sz="4" w:space="0"/>
              <w:left w:val="single" w:color="000000" w:sz="4" w:space="0"/>
              <w:right w:val="single" w:color="000000" w:sz="4" w:space="0"/>
            </w:tcBorders>
            <w:tcMar>
              <w:top w:w="12" w:type="dxa"/>
              <w:left w:w="12" w:type="dxa"/>
              <w:right w:w="12"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绩效指标</w:t>
            </w:r>
          </w:p>
        </w:tc>
        <w:tc>
          <w:tcPr>
            <w:tcW w:w="11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一级指标</w:t>
            </w:r>
          </w:p>
        </w:tc>
        <w:tc>
          <w:tcPr>
            <w:tcW w:w="13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二级指标</w:t>
            </w:r>
          </w:p>
        </w:tc>
        <w:tc>
          <w:tcPr>
            <w:tcW w:w="3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三级指标</w:t>
            </w:r>
          </w:p>
        </w:tc>
        <w:tc>
          <w:tcPr>
            <w:tcW w:w="21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指标值</w:t>
            </w:r>
          </w:p>
        </w:tc>
      </w:tr>
      <w:tr>
        <w:tblPrEx>
          <w:tblCellMar>
            <w:top w:w="0" w:type="dxa"/>
            <w:left w:w="0" w:type="dxa"/>
            <w:bottom w:w="0" w:type="dxa"/>
            <w:right w:w="0" w:type="dxa"/>
          </w:tblCellMar>
        </w:tblPrEx>
        <w:trPr>
          <w:trHeight w:val="494" w:hRule="atLeast"/>
          <w:jc w:val="center"/>
        </w:trPr>
        <w:tc>
          <w:tcPr>
            <w:tcW w:w="612" w:type="dxa"/>
            <w:vMerge w:val="continue"/>
            <w:tcBorders>
              <w:left w:val="single" w:color="000000" w:sz="4" w:space="0"/>
              <w:right w:val="single" w:color="000000" w:sz="4" w:space="0"/>
            </w:tcBorders>
            <w:tcMar>
              <w:top w:w="12" w:type="dxa"/>
              <w:left w:w="12" w:type="dxa"/>
              <w:right w:w="12"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p>
        </w:tc>
        <w:tc>
          <w:tcPr>
            <w:tcW w:w="113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产出指标</w:t>
            </w:r>
          </w:p>
        </w:tc>
        <w:tc>
          <w:tcPr>
            <w:tcW w:w="1311"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数量指标</w:t>
            </w:r>
          </w:p>
        </w:tc>
        <w:tc>
          <w:tcPr>
            <w:tcW w:w="3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编制乡村振兴驻镇帮镇扶村五年规划编制（个）</w:t>
            </w:r>
          </w:p>
        </w:tc>
        <w:tc>
          <w:tcPr>
            <w:tcW w:w="21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901</w:t>
            </w:r>
          </w:p>
        </w:tc>
      </w:tr>
      <w:tr>
        <w:tblPrEx>
          <w:tblCellMar>
            <w:top w:w="0" w:type="dxa"/>
            <w:left w:w="0" w:type="dxa"/>
            <w:bottom w:w="0" w:type="dxa"/>
            <w:right w:w="0" w:type="dxa"/>
          </w:tblCellMar>
        </w:tblPrEx>
        <w:trPr>
          <w:trHeight w:val="494" w:hRule="atLeast"/>
          <w:jc w:val="center"/>
        </w:trPr>
        <w:tc>
          <w:tcPr>
            <w:tcW w:w="612" w:type="dxa"/>
            <w:vMerge w:val="continue"/>
            <w:tcBorders>
              <w:left w:val="single" w:color="000000" w:sz="4" w:space="0"/>
              <w:right w:val="single" w:color="000000" w:sz="4" w:space="0"/>
            </w:tcBorders>
            <w:tcMar>
              <w:top w:w="12" w:type="dxa"/>
              <w:left w:w="12" w:type="dxa"/>
              <w:right w:w="12"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p>
        </w:tc>
        <w:tc>
          <w:tcPr>
            <w:tcW w:w="113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p>
        </w:tc>
        <w:tc>
          <w:tcPr>
            <w:tcW w:w="1311"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p>
        </w:tc>
        <w:tc>
          <w:tcPr>
            <w:tcW w:w="3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每镇培育发展提升1个以上带动100户农户的特色产业（个）</w:t>
            </w:r>
          </w:p>
        </w:tc>
        <w:tc>
          <w:tcPr>
            <w:tcW w:w="21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901</w:t>
            </w:r>
          </w:p>
        </w:tc>
      </w:tr>
      <w:tr>
        <w:tblPrEx>
          <w:tblCellMar>
            <w:top w:w="0" w:type="dxa"/>
            <w:left w:w="0" w:type="dxa"/>
            <w:bottom w:w="0" w:type="dxa"/>
            <w:right w:w="0" w:type="dxa"/>
          </w:tblCellMar>
        </w:tblPrEx>
        <w:trPr>
          <w:trHeight w:val="526" w:hRule="atLeast"/>
          <w:jc w:val="center"/>
        </w:trPr>
        <w:tc>
          <w:tcPr>
            <w:tcW w:w="612" w:type="dxa"/>
            <w:vMerge w:val="continue"/>
            <w:tcBorders>
              <w:left w:val="single" w:color="000000" w:sz="4" w:space="0"/>
              <w:right w:val="single" w:color="000000" w:sz="4" w:space="0"/>
            </w:tcBorders>
            <w:tcMar>
              <w:top w:w="12" w:type="dxa"/>
              <w:left w:w="12" w:type="dxa"/>
              <w:right w:w="12"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p>
        </w:tc>
        <w:tc>
          <w:tcPr>
            <w:tcW w:w="113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p>
        </w:tc>
        <w:tc>
          <w:tcPr>
            <w:tcW w:w="1311"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质量指标</w:t>
            </w:r>
          </w:p>
        </w:tc>
        <w:tc>
          <w:tcPr>
            <w:tcW w:w="3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守好不发生规模性返贫底线（%）</w:t>
            </w:r>
          </w:p>
        </w:tc>
        <w:tc>
          <w:tcPr>
            <w:tcW w:w="21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100%</w:t>
            </w:r>
          </w:p>
        </w:tc>
      </w:tr>
      <w:tr>
        <w:tblPrEx>
          <w:tblCellMar>
            <w:top w:w="0" w:type="dxa"/>
            <w:left w:w="0" w:type="dxa"/>
            <w:bottom w:w="0" w:type="dxa"/>
            <w:right w:w="0" w:type="dxa"/>
          </w:tblCellMar>
        </w:tblPrEx>
        <w:trPr>
          <w:trHeight w:val="382" w:hRule="atLeast"/>
          <w:jc w:val="center"/>
        </w:trPr>
        <w:tc>
          <w:tcPr>
            <w:tcW w:w="612" w:type="dxa"/>
            <w:vMerge w:val="continue"/>
            <w:tcBorders>
              <w:left w:val="single" w:color="000000" w:sz="4" w:space="0"/>
              <w:right w:val="single" w:color="000000" w:sz="4" w:space="0"/>
            </w:tcBorders>
            <w:tcMar>
              <w:top w:w="12" w:type="dxa"/>
              <w:left w:w="12" w:type="dxa"/>
              <w:right w:w="12"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p>
        </w:tc>
        <w:tc>
          <w:tcPr>
            <w:tcW w:w="113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p>
        </w:tc>
        <w:tc>
          <w:tcPr>
            <w:tcW w:w="1311"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时效指标</w:t>
            </w:r>
          </w:p>
        </w:tc>
        <w:tc>
          <w:tcPr>
            <w:tcW w:w="3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项目完成时效</w:t>
            </w:r>
          </w:p>
        </w:tc>
        <w:tc>
          <w:tcPr>
            <w:tcW w:w="21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2022年12月底前</w:t>
            </w:r>
          </w:p>
        </w:tc>
      </w:tr>
      <w:tr>
        <w:tblPrEx>
          <w:tblCellMar>
            <w:top w:w="0" w:type="dxa"/>
            <w:left w:w="0" w:type="dxa"/>
            <w:bottom w:w="0" w:type="dxa"/>
            <w:right w:w="0" w:type="dxa"/>
          </w:tblCellMar>
        </w:tblPrEx>
        <w:trPr>
          <w:trHeight w:val="602" w:hRule="atLeast"/>
          <w:jc w:val="center"/>
        </w:trPr>
        <w:tc>
          <w:tcPr>
            <w:tcW w:w="612" w:type="dxa"/>
            <w:vMerge w:val="continue"/>
            <w:tcBorders>
              <w:left w:val="single" w:color="000000" w:sz="4" w:space="0"/>
              <w:right w:val="single" w:color="000000" w:sz="4" w:space="0"/>
            </w:tcBorders>
            <w:tcMar>
              <w:top w:w="12" w:type="dxa"/>
              <w:left w:w="12" w:type="dxa"/>
              <w:right w:w="12"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p>
        </w:tc>
        <w:tc>
          <w:tcPr>
            <w:tcW w:w="113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p>
        </w:tc>
        <w:tc>
          <w:tcPr>
            <w:tcW w:w="1311"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成本指标</w:t>
            </w:r>
          </w:p>
        </w:tc>
        <w:tc>
          <w:tcPr>
            <w:tcW w:w="3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每镇制定完善镇域乡村振兴规划财政资金投入(万元）</w:t>
            </w:r>
          </w:p>
        </w:tc>
        <w:tc>
          <w:tcPr>
            <w:tcW w:w="21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≦80</w:t>
            </w:r>
          </w:p>
        </w:tc>
      </w:tr>
      <w:tr>
        <w:tblPrEx>
          <w:tblCellMar>
            <w:top w:w="0" w:type="dxa"/>
            <w:left w:w="0" w:type="dxa"/>
            <w:bottom w:w="0" w:type="dxa"/>
            <w:right w:w="0" w:type="dxa"/>
          </w:tblCellMar>
        </w:tblPrEx>
        <w:trPr>
          <w:trHeight w:val="602" w:hRule="atLeast"/>
          <w:jc w:val="center"/>
        </w:trPr>
        <w:tc>
          <w:tcPr>
            <w:tcW w:w="612" w:type="dxa"/>
            <w:vMerge w:val="continue"/>
            <w:tcBorders>
              <w:left w:val="single" w:color="000000" w:sz="4" w:space="0"/>
              <w:right w:val="single" w:color="000000" w:sz="4" w:space="0"/>
            </w:tcBorders>
            <w:tcMar>
              <w:top w:w="12" w:type="dxa"/>
              <w:left w:w="12" w:type="dxa"/>
              <w:right w:w="12"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p>
        </w:tc>
        <w:tc>
          <w:tcPr>
            <w:tcW w:w="113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p>
        </w:tc>
        <w:tc>
          <w:tcPr>
            <w:tcW w:w="1311"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p>
        </w:tc>
        <w:tc>
          <w:tcPr>
            <w:tcW w:w="3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每镇培育发展提升带动100户农户的特色产业财政资金投入（万元）</w:t>
            </w:r>
          </w:p>
        </w:tc>
        <w:tc>
          <w:tcPr>
            <w:tcW w:w="21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≧200</w:t>
            </w:r>
          </w:p>
        </w:tc>
      </w:tr>
      <w:tr>
        <w:tblPrEx>
          <w:tblCellMar>
            <w:top w:w="0" w:type="dxa"/>
            <w:left w:w="0" w:type="dxa"/>
            <w:bottom w:w="0" w:type="dxa"/>
            <w:right w:w="0" w:type="dxa"/>
          </w:tblCellMar>
        </w:tblPrEx>
        <w:trPr>
          <w:trHeight w:val="602" w:hRule="atLeast"/>
          <w:jc w:val="center"/>
        </w:trPr>
        <w:tc>
          <w:tcPr>
            <w:tcW w:w="612" w:type="dxa"/>
            <w:vMerge w:val="continue"/>
            <w:tcBorders>
              <w:left w:val="single" w:color="000000" w:sz="4" w:space="0"/>
              <w:right w:val="single" w:color="000000" w:sz="4" w:space="0"/>
            </w:tcBorders>
            <w:tcMar>
              <w:top w:w="12" w:type="dxa"/>
              <w:left w:w="12" w:type="dxa"/>
              <w:right w:w="12"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p>
        </w:tc>
        <w:tc>
          <w:tcPr>
            <w:tcW w:w="1138" w:type="dxa"/>
            <w:vMerge w:val="continue"/>
            <w:tcBorders>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p>
        </w:tc>
        <w:tc>
          <w:tcPr>
            <w:tcW w:w="1311" w:type="dxa"/>
            <w:vMerge w:val="continue"/>
            <w:tcBorders>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p>
        </w:tc>
        <w:tc>
          <w:tcPr>
            <w:tcW w:w="3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每镇县域内扶贫项目资产后续管理财政资金投入（万元）</w:t>
            </w:r>
          </w:p>
        </w:tc>
        <w:tc>
          <w:tcPr>
            <w:tcW w:w="21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≧10</w:t>
            </w:r>
          </w:p>
        </w:tc>
      </w:tr>
      <w:tr>
        <w:tblPrEx>
          <w:tblCellMar>
            <w:top w:w="0" w:type="dxa"/>
            <w:left w:w="0" w:type="dxa"/>
            <w:bottom w:w="0" w:type="dxa"/>
            <w:right w:w="0" w:type="dxa"/>
          </w:tblCellMar>
        </w:tblPrEx>
        <w:trPr>
          <w:trHeight w:val="464" w:hRule="atLeast"/>
          <w:jc w:val="center"/>
        </w:trPr>
        <w:tc>
          <w:tcPr>
            <w:tcW w:w="612" w:type="dxa"/>
            <w:vMerge w:val="continue"/>
            <w:tcBorders>
              <w:left w:val="single" w:color="000000" w:sz="4" w:space="0"/>
              <w:right w:val="single" w:color="000000" w:sz="4" w:space="0"/>
            </w:tcBorders>
            <w:tcMar>
              <w:top w:w="12" w:type="dxa"/>
              <w:left w:w="12" w:type="dxa"/>
              <w:right w:w="12"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p>
        </w:tc>
        <w:tc>
          <w:tcPr>
            <w:tcW w:w="1138" w:type="dxa"/>
            <w:vMerge w:val="restart"/>
            <w:tcBorders>
              <w:top w:val="single" w:color="auto" w:sz="4" w:space="0"/>
              <w:left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效益</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指标</w:t>
            </w:r>
          </w:p>
        </w:tc>
        <w:tc>
          <w:tcPr>
            <w:tcW w:w="1311" w:type="dxa"/>
            <w:vMerge w:val="restart"/>
            <w:tcBorders>
              <w:top w:val="single" w:color="auto" w:sz="4" w:space="0"/>
              <w:left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经济效益</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指标</w:t>
            </w:r>
          </w:p>
        </w:tc>
        <w:tc>
          <w:tcPr>
            <w:tcW w:w="3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当地集体经济发展</w:t>
            </w:r>
          </w:p>
        </w:tc>
        <w:tc>
          <w:tcPr>
            <w:tcW w:w="21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提高</w:t>
            </w:r>
          </w:p>
        </w:tc>
      </w:tr>
      <w:tr>
        <w:tblPrEx>
          <w:tblCellMar>
            <w:top w:w="0" w:type="dxa"/>
            <w:left w:w="0" w:type="dxa"/>
            <w:bottom w:w="0" w:type="dxa"/>
            <w:right w:w="0" w:type="dxa"/>
          </w:tblCellMar>
        </w:tblPrEx>
        <w:trPr>
          <w:trHeight w:val="374" w:hRule="atLeast"/>
          <w:jc w:val="center"/>
        </w:trPr>
        <w:tc>
          <w:tcPr>
            <w:tcW w:w="612" w:type="dxa"/>
            <w:vMerge w:val="continue"/>
            <w:tcBorders>
              <w:left w:val="single" w:color="000000" w:sz="4" w:space="0"/>
              <w:right w:val="single" w:color="000000" w:sz="4" w:space="0"/>
            </w:tcBorders>
            <w:tcMar>
              <w:top w:w="12" w:type="dxa"/>
              <w:left w:w="12" w:type="dxa"/>
              <w:right w:w="12"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p>
        </w:tc>
        <w:tc>
          <w:tcPr>
            <w:tcW w:w="113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p>
        </w:tc>
        <w:tc>
          <w:tcPr>
            <w:tcW w:w="1311"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p>
        </w:tc>
        <w:tc>
          <w:tcPr>
            <w:tcW w:w="3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当地群众收入</w:t>
            </w:r>
          </w:p>
        </w:tc>
        <w:tc>
          <w:tcPr>
            <w:tcW w:w="21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提高</w:t>
            </w:r>
          </w:p>
        </w:tc>
      </w:tr>
      <w:tr>
        <w:tblPrEx>
          <w:tblCellMar>
            <w:top w:w="0" w:type="dxa"/>
            <w:left w:w="0" w:type="dxa"/>
            <w:bottom w:w="0" w:type="dxa"/>
            <w:right w:w="0" w:type="dxa"/>
          </w:tblCellMar>
        </w:tblPrEx>
        <w:trPr>
          <w:trHeight w:val="694" w:hRule="atLeast"/>
          <w:jc w:val="center"/>
        </w:trPr>
        <w:tc>
          <w:tcPr>
            <w:tcW w:w="612" w:type="dxa"/>
            <w:vMerge w:val="continue"/>
            <w:tcBorders>
              <w:left w:val="single" w:color="000000" w:sz="4" w:space="0"/>
              <w:bottom w:val="single" w:color="000000" w:sz="4" w:space="0"/>
              <w:right w:val="single" w:color="000000" w:sz="4" w:space="0"/>
            </w:tcBorders>
            <w:tcMar>
              <w:top w:w="12" w:type="dxa"/>
              <w:left w:w="12" w:type="dxa"/>
              <w:right w:w="12"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p>
        </w:tc>
        <w:tc>
          <w:tcPr>
            <w:tcW w:w="113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p>
        </w:tc>
        <w:tc>
          <w:tcPr>
            <w:tcW w:w="1311"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服务对象满意度指标</w:t>
            </w:r>
          </w:p>
        </w:tc>
        <w:tc>
          <w:tcPr>
            <w:tcW w:w="3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群众对产业发展的满意度（%）</w:t>
            </w:r>
          </w:p>
        </w:tc>
        <w:tc>
          <w:tcPr>
            <w:tcW w:w="21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基本满意</w:t>
            </w:r>
          </w:p>
        </w:tc>
      </w:tr>
    </w:tbl>
    <w:p>
      <w:pPr>
        <w:pStyle w:val="4"/>
        <w:keepNext/>
        <w:keepLines/>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Cs w:val="0"/>
          <w:color w:val="auto"/>
          <w:kern w:val="2"/>
          <w:sz w:val="21"/>
          <w:szCs w:val="21"/>
          <w:highlight w:val="none"/>
          <w:lang w:val="en-US" w:eastAsia="zh-CN"/>
        </w:rPr>
      </w:pPr>
      <w:r>
        <w:rPr>
          <w:rFonts w:hint="eastAsia" w:ascii="仿宋_GB2312" w:hAnsi="仿宋_GB2312" w:eastAsia="仿宋_GB2312" w:cs="仿宋_GB2312"/>
          <w:bCs w:val="0"/>
          <w:color w:val="auto"/>
          <w:kern w:val="2"/>
          <w:sz w:val="21"/>
          <w:szCs w:val="21"/>
          <w:highlight w:val="none"/>
          <w:lang w:eastAsia="zh-CN"/>
        </w:rPr>
        <w:t>说明：</w:t>
      </w:r>
      <w:bookmarkStart w:id="10" w:name="_Toc4227"/>
      <w:r>
        <w:rPr>
          <w:rFonts w:hint="eastAsia" w:ascii="仿宋_GB2312" w:hAnsi="仿宋_GB2312" w:eastAsia="仿宋_GB2312" w:cs="仿宋_GB2312"/>
          <w:bCs w:val="0"/>
          <w:color w:val="auto"/>
          <w:kern w:val="2"/>
          <w:sz w:val="21"/>
          <w:szCs w:val="21"/>
          <w:highlight w:val="none"/>
          <w:lang w:eastAsia="zh-CN"/>
        </w:rPr>
        <w:t>《广东省财政厅关于下达2021年省级乡村振兴驻镇帮镇扶村资金的通知》（粤财农〔2021〕123号）未随文下达绩效指标。本表绩效指标根据</w:t>
      </w:r>
      <w:r>
        <w:rPr>
          <w:rFonts w:hint="eastAsia" w:ascii="仿宋_GB2312" w:hAnsi="仿宋_GB2312" w:eastAsia="仿宋_GB2312" w:cs="仿宋_GB2312"/>
          <w:bCs w:val="0"/>
          <w:color w:val="auto"/>
          <w:kern w:val="2"/>
          <w:sz w:val="21"/>
          <w:szCs w:val="21"/>
          <w:highlight w:val="none"/>
          <w:lang w:val="en-US" w:eastAsia="zh-CN"/>
        </w:rPr>
        <w:t>2021年驻镇帮镇扶村工作主要目标任务梳理。</w:t>
      </w:r>
    </w:p>
    <w:p>
      <w:pPr>
        <w:pageBreakBefore w:val="0"/>
        <w:kinsoku/>
        <w:wordWrap/>
        <w:overflowPunct/>
        <w:topLinePunct w:val="0"/>
        <w:autoSpaceDE/>
        <w:autoSpaceDN/>
        <w:bidi w:val="0"/>
        <w:spacing w:line="360" w:lineRule="auto"/>
        <w:rPr>
          <w:rFonts w:hint="default"/>
          <w:lang w:eastAsia="zh-CN"/>
        </w:rPr>
      </w:pPr>
    </w:p>
    <w:p>
      <w:pPr>
        <w:pStyle w:val="4"/>
        <w:pageBreakBefore w:val="0"/>
        <w:kinsoku/>
        <w:wordWrap/>
        <w:overflowPunct/>
        <w:topLinePunct w:val="0"/>
        <w:autoSpaceDE/>
        <w:autoSpaceDN/>
        <w:bidi w:val="0"/>
        <w:spacing w:line="360" w:lineRule="auto"/>
        <w:rPr>
          <w:rFonts w:hint="eastAsia"/>
          <w:color w:val="auto"/>
          <w:highlight w:val="none"/>
        </w:rPr>
      </w:pPr>
      <w:r>
        <w:rPr>
          <w:rFonts w:hint="eastAsia"/>
          <w:color w:val="auto"/>
          <w:highlight w:val="none"/>
        </w:rPr>
        <w:t>二、自评情况</w:t>
      </w:r>
      <w:bookmarkEnd w:id="10"/>
    </w:p>
    <w:p>
      <w:pPr>
        <w:pStyle w:val="5"/>
        <w:pageBreakBefore w:val="0"/>
        <w:kinsoku/>
        <w:wordWrap/>
        <w:overflowPunct/>
        <w:topLinePunct w:val="0"/>
        <w:autoSpaceDE/>
        <w:autoSpaceDN/>
        <w:bidi w:val="0"/>
        <w:spacing w:line="360" w:lineRule="auto"/>
        <w:rPr>
          <w:rFonts w:hint="eastAsia"/>
          <w:color w:val="auto"/>
          <w:highlight w:val="none"/>
        </w:rPr>
      </w:pPr>
      <w:bookmarkStart w:id="11" w:name="_Toc27607"/>
      <w:r>
        <w:rPr>
          <w:rFonts w:hint="eastAsia"/>
          <w:color w:val="auto"/>
          <w:highlight w:val="none"/>
        </w:rPr>
        <w:t>（一）自评分数</w:t>
      </w:r>
      <w:bookmarkEnd w:id="11"/>
    </w:p>
    <w:p>
      <w:pPr>
        <w:pageBreakBefore w:val="0"/>
        <w:kinsoku/>
        <w:wordWrap/>
        <w:overflowPunct/>
        <w:topLinePunct w:val="0"/>
        <w:autoSpaceDE/>
        <w:autoSpaceDN/>
        <w:bidi w:val="0"/>
        <w:spacing w:line="360" w:lineRule="auto"/>
        <w:ind w:firstLine="640" w:firstLineChars="200"/>
        <w:rPr>
          <w:rFonts w:hint="eastAsia"/>
          <w:color w:val="auto"/>
          <w:highlight w:val="none"/>
        </w:rPr>
      </w:pPr>
      <w:r>
        <w:rPr>
          <w:rFonts w:hint="eastAsia" w:ascii="仿宋_GB2312" w:hAnsi="仿宋_GB2312" w:eastAsia="仿宋_GB2312" w:cs="仿宋_GB2312"/>
          <w:color w:val="auto"/>
          <w:sz w:val="32"/>
          <w:szCs w:val="32"/>
          <w:highlight w:val="none"/>
          <w:lang w:val="en-US" w:eastAsia="zh-CN"/>
        </w:rPr>
        <w:t>通过审核分析有关自评材料，依据既定的评价指标体系和评分标准，综合评定“2021年省级乡村振兴驻镇帮镇扶村资金”绩效自评得分99分，绩效等级为“优”。一级指标自评得分情况见表2-1。专项资金在进一步巩固拓展脱贫攻坚成果、整治改善人居环境、进一步巩固产业发展成果等方面发挥了重要作用。省级乡村振兴驻镇帮镇扶村资金取得了明显的效益，专项资金投入合理，产出可观，兼具经济效益与社会效益。但也存在资金支出率有待提高等问题。</w:t>
      </w: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黑体" w:hAnsi="黑体" w:eastAsia="黑体"/>
          <w:color w:val="auto"/>
          <w:sz w:val="21"/>
          <w:szCs w:val="21"/>
          <w:highlight w:val="none"/>
        </w:rPr>
      </w:pP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黑体" w:hAnsi="黑体" w:eastAsia="黑体"/>
          <w:color w:val="auto"/>
          <w:sz w:val="28"/>
          <w:szCs w:val="28"/>
          <w:highlight w:val="none"/>
        </w:rPr>
      </w:pPr>
      <w:r>
        <w:rPr>
          <w:rFonts w:hint="eastAsia" w:ascii="黑体" w:hAnsi="黑体" w:eastAsia="黑体"/>
          <w:color w:val="auto"/>
          <w:sz w:val="28"/>
          <w:szCs w:val="28"/>
          <w:highlight w:val="none"/>
        </w:rPr>
        <w:t>表</w:t>
      </w:r>
      <w:r>
        <w:rPr>
          <w:rFonts w:hint="eastAsia" w:ascii="黑体" w:hAnsi="黑体" w:eastAsia="黑体"/>
          <w:color w:val="auto"/>
          <w:sz w:val="28"/>
          <w:szCs w:val="28"/>
          <w:highlight w:val="none"/>
          <w:lang w:val="en-US" w:eastAsia="zh-CN"/>
        </w:rPr>
        <w:t>2</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lang w:val="en-US" w:eastAsia="zh-CN"/>
        </w:rPr>
        <w:t>1</w:t>
      </w:r>
      <w:r>
        <w:rPr>
          <w:rFonts w:hint="eastAsia" w:ascii="黑体" w:hAnsi="黑体" w:eastAsia="黑体"/>
          <w:color w:val="auto"/>
          <w:sz w:val="28"/>
          <w:szCs w:val="28"/>
          <w:highlight w:val="none"/>
        </w:rPr>
        <w:t>一级指标得分情况表</w:t>
      </w:r>
    </w:p>
    <w:tbl>
      <w:tblPr>
        <w:tblStyle w:val="11"/>
        <w:tblW w:w="8579"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652"/>
        <w:gridCol w:w="1975"/>
        <w:gridCol w:w="1975"/>
        <w:gridCol w:w="197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一级指标（评价因素）</w:t>
            </w:r>
          </w:p>
        </w:tc>
        <w:tc>
          <w:tcPr>
            <w:tcW w:w="1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分值</w:t>
            </w:r>
          </w:p>
        </w:tc>
        <w:tc>
          <w:tcPr>
            <w:tcW w:w="1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得分</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得分率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总分</w:t>
            </w:r>
          </w:p>
        </w:tc>
        <w:tc>
          <w:tcPr>
            <w:tcW w:w="1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100</w:t>
            </w:r>
          </w:p>
        </w:tc>
        <w:tc>
          <w:tcPr>
            <w:tcW w:w="1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99</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99</w:t>
            </w:r>
            <w:r>
              <w:rPr>
                <w:rFonts w:hint="eastAsia" w:ascii="仿宋_GB2312" w:hAnsi="仿宋_GB2312" w:eastAsia="仿宋_GB2312" w:cs="仿宋_GB2312"/>
                <w:b/>
                <w:bCs/>
                <w:color w:val="auto"/>
                <w:sz w:val="24"/>
                <w:szCs w:val="24"/>
                <w:highlight w:val="none"/>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一</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过程</w:t>
            </w:r>
            <w:r>
              <w:rPr>
                <w:rFonts w:hint="eastAsia" w:ascii="仿宋_GB2312" w:hAnsi="仿宋_GB2312" w:eastAsia="仿宋_GB2312" w:cs="仿宋_GB2312"/>
                <w:color w:val="auto"/>
                <w:sz w:val="24"/>
                <w:szCs w:val="24"/>
                <w:highlight w:val="none"/>
                <w:lang w:val="en-US" w:eastAsia="zh-CN"/>
              </w:rPr>
              <w:t>分析</w:t>
            </w:r>
          </w:p>
        </w:tc>
        <w:tc>
          <w:tcPr>
            <w:tcW w:w="1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w:t>
            </w:r>
          </w:p>
        </w:tc>
        <w:tc>
          <w:tcPr>
            <w:tcW w:w="1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default" w:ascii="仿宋_GB2312" w:hAnsi="仿宋_GB2312" w:eastAsia="仿宋_GB2312" w:cs="仿宋_GB2312"/>
                <w:color w:val="auto"/>
                <w:sz w:val="24"/>
                <w:szCs w:val="24"/>
                <w:highlight w:val="none"/>
                <w:lang w:val="en-US" w:eastAsia="zh-CN"/>
              </w:rPr>
            </w:pPr>
            <w:r>
              <w:rPr>
                <w:rFonts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9</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w:t>
            </w:r>
            <w:r>
              <w:rPr>
                <w:rFonts w:hint="eastAsia" w:ascii="仿宋_GB2312" w:hAnsi="仿宋_GB2312" w:eastAsia="仿宋_GB2312" w:cs="仿宋_GB2312"/>
                <w:color w:val="auto"/>
                <w:sz w:val="24"/>
                <w:szCs w:val="24"/>
                <w:highlight w:val="none"/>
              </w:rPr>
              <w:t>、产出</w:t>
            </w:r>
            <w:r>
              <w:rPr>
                <w:rFonts w:hint="eastAsia" w:ascii="仿宋_GB2312" w:hAnsi="仿宋_GB2312" w:eastAsia="仿宋_GB2312" w:cs="仿宋_GB2312"/>
                <w:color w:val="auto"/>
                <w:sz w:val="24"/>
                <w:szCs w:val="24"/>
                <w:highlight w:val="none"/>
                <w:lang w:val="en-US" w:eastAsia="zh-CN"/>
              </w:rPr>
              <w:t>分析</w:t>
            </w:r>
          </w:p>
        </w:tc>
        <w:tc>
          <w:tcPr>
            <w:tcW w:w="1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0</w:t>
            </w:r>
          </w:p>
        </w:tc>
        <w:tc>
          <w:tcPr>
            <w:tcW w:w="1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40</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三</w:t>
            </w:r>
            <w:r>
              <w:rPr>
                <w:rFonts w:hint="eastAsia" w:ascii="仿宋_GB2312" w:hAnsi="仿宋_GB2312" w:eastAsia="仿宋_GB2312" w:cs="仿宋_GB2312"/>
                <w:color w:val="auto"/>
                <w:sz w:val="24"/>
                <w:szCs w:val="24"/>
                <w:highlight w:val="none"/>
              </w:rPr>
              <w:t>、效益</w:t>
            </w:r>
            <w:r>
              <w:rPr>
                <w:rFonts w:hint="eastAsia" w:ascii="仿宋_GB2312" w:hAnsi="仿宋_GB2312" w:eastAsia="仿宋_GB2312" w:cs="仿宋_GB2312"/>
                <w:color w:val="auto"/>
                <w:sz w:val="24"/>
                <w:szCs w:val="24"/>
                <w:highlight w:val="none"/>
                <w:lang w:val="en-US" w:eastAsia="zh-CN"/>
              </w:rPr>
              <w:t>分析</w:t>
            </w:r>
          </w:p>
        </w:tc>
        <w:tc>
          <w:tcPr>
            <w:tcW w:w="1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0</w:t>
            </w:r>
          </w:p>
        </w:tc>
        <w:tc>
          <w:tcPr>
            <w:tcW w:w="1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40</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100</w:t>
            </w:r>
            <w:r>
              <w:rPr>
                <w:rFonts w:hint="eastAsia" w:ascii="仿宋_GB2312" w:hAnsi="仿宋_GB2312" w:eastAsia="仿宋_GB2312" w:cs="仿宋_GB2312"/>
                <w:color w:val="auto"/>
                <w:sz w:val="24"/>
                <w:szCs w:val="24"/>
                <w:highlight w:val="none"/>
              </w:rPr>
              <w:t>%</w:t>
            </w:r>
          </w:p>
        </w:tc>
      </w:tr>
    </w:tbl>
    <w:p>
      <w:pPr>
        <w:pageBreakBefore w:val="0"/>
        <w:kinsoku/>
        <w:wordWrap/>
        <w:overflowPunct/>
        <w:topLinePunct w:val="0"/>
        <w:autoSpaceDE/>
        <w:autoSpaceDN/>
        <w:bidi w:val="0"/>
        <w:snapToGrid w:val="0"/>
        <w:spacing w:beforeLines="0" w:afterLines="0" w:line="360" w:lineRule="auto"/>
        <w:rPr>
          <w:rFonts w:hint="eastAsia" w:ascii="楷体" w:hAnsi="楷体" w:eastAsia="楷体" w:cs="楷体"/>
          <w:b/>
          <w:bCs/>
          <w:color w:val="auto"/>
          <w:sz w:val="21"/>
          <w:szCs w:val="21"/>
          <w:highlight w:val="none"/>
        </w:rPr>
      </w:pPr>
    </w:p>
    <w:p>
      <w:pPr>
        <w:pageBreakBefore w:val="0"/>
        <w:kinsoku/>
        <w:wordWrap/>
        <w:overflowPunct/>
        <w:topLinePunct w:val="0"/>
        <w:autoSpaceDE/>
        <w:autoSpaceDN/>
        <w:bidi w:val="0"/>
        <w:spacing w:line="360" w:lineRule="auto"/>
        <w:ind w:firstLine="642" w:firstLineChars="200"/>
        <w:rPr>
          <w:rFonts w:hint="eastAsia" w:ascii="仿宋_GB2312" w:hAnsi="仿宋_GB2312" w:eastAsia="仿宋_GB2312" w:cs="Calibri"/>
          <w:color w:val="auto"/>
          <w:sz w:val="32"/>
          <w:highlight w:val="none"/>
          <w:lang w:val="en-US" w:eastAsia="zh-CN"/>
        </w:rPr>
      </w:pPr>
      <w:r>
        <w:rPr>
          <w:rFonts w:hint="eastAsia" w:ascii="仿宋_GB2312" w:hAnsi="仿宋_GB2312" w:eastAsia="仿宋_GB2312" w:cs="Calibri"/>
          <w:b/>
          <w:bCs/>
          <w:color w:val="auto"/>
          <w:sz w:val="32"/>
          <w:highlight w:val="none"/>
          <w:lang w:val="en-US" w:eastAsia="zh-CN"/>
        </w:rPr>
        <w:t>绩效评价指标分析</w:t>
      </w:r>
    </w:p>
    <w:p>
      <w:pPr>
        <w:pageBreakBefore w:val="0"/>
        <w:kinsoku/>
        <w:wordWrap/>
        <w:overflowPunct/>
        <w:topLinePunct w:val="0"/>
        <w:autoSpaceDE/>
        <w:autoSpaceDN/>
        <w:bidi w:val="0"/>
        <w:spacing w:line="360" w:lineRule="auto"/>
        <w:ind w:firstLine="642" w:firstLineChars="200"/>
        <w:textAlignment w:val="auto"/>
        <w:rPr>
          <w:rFonts w:hint="default" w:ascii="仿宋" w:hAnsi="仿宋" w:eastAsia="仿宋" w:cs="仿宋"/>
          <w:color w:val="auto"/>
          <w:sz w:val="21"/>
          <w:szCs w:val="21"/>
          <w:highlight w:val="none"/>
          <w:lang w:val="en-US"/>
        </w:rPr>
      </w:pPr>
      <w:bookmarkStart w:id="12" w:name="_Toc8982"/>
      <w:bookmarkStart w:id="13" w:name="_Toc18811"/>
      <w:bookmarkStart w:id="14" w:name="_Toc23982"/>
      <w:r>
        <w:rPr>
          <w:rStyle w:val="14"/>
          <w:rFonts w:hint="eastAsia"/>
          <w:color w:val="auto"/>
          <w:highlight w:val="none"/>
          <w:lang w:val="en-US" w:eastAsia="zh-CN"/>
        </w:rPr>
        <w:t>1.过程</w:t>
      </w:r>
      <w:bookmarkEnd w:id="12"/>
      <w:bookmarkEnd w:id="13"/>
      <w:bookmarkEnd w:id="14"/>
      <w:r>
        <w:rPr>
          <w:rFonts w:hint="eastAsia" w:ascii="仿宋_GB2312" w:hAnsi="Times New Roman" w:eastAsia="仿宋_GB2312" w:cs="Times New Roman"/>
          <w:b/>
          <w:bCs/>
          <w:color w:val="auto"/>
          <w:kern w:val="2"/>
          <w:sz w:val="32"/>
          <w:szCs w:val="24"/>
          <w:highlight w:val="none"/>
          <w:lang w:val="en-US" w:eastAsia="zh-CN" w:bidi="ar-SA"/>
        </w:rPr>
        <w:t>。</w:t>
      </w:r>
      <w:r>
        <w:rPr>
          <w:rFonts w:hint="eastAsia" w:ascii="仿宋_GB2312" w:hAnsi="仿宋_GB2312" w:eastAsia="仿宋_GB2312" w:cstheme="minorBidi"/>
          <w:color w:val="auto"/>
          <w:sz w:val="32"/>
          <w:highlight w:val="none"/>
          <w:lang w:eastAsia="zh-CN"/>
        </w:rPr>
        <w:t>该指标主要从资金管理和事项管理两方面考核</w:t>
      </w:r>
      <w:r>
        <w:rPr>
          <w:rFonts w:hint="eastAsia" w:ascii="仿宋_GB2312" w:hAnsi="仿宋_GB2312" w:eastAsia="仿宋_GB2312" w:cstheme="minorBidi"/>
          <w:color w:val="auto"/>
          <w:sz w:val="32"/>
          <w:highlight w:val="none"/>
        </w:rPr>
        <w:t>专项资金</w:t>
      </w:r>
      <w:r>
        <w:rPr>
          <w:rFonts w:hint="eastAsia" w:ascii="仿宋_GB2312" w:hAnsi="仿宋_GB2312" w:eastAsia="仿宋_GB2312" w:cstheme="minorBidi"/>
          <w:color w:val="auto"/>
          <w:sz w:val="32"/>
          <w:highlight w:val="none"/>
          <w:lang w:val="en-US" w:eastAsia="zh-CN"/>
        </w:rPr>
        <w:t>支出率</w:t>
      </w:r>
      <w:r>
        <w:rPr>
          <w:rFonts w:hint="eastAsia" w:ascii="仿宋_GB2312" w:hAnsi="仿宋_GB2312" w:eastAsia="仿宋_GB2312" w:cstheme="minorBidi"/>
          <w:color w:val="auto"/>
          <w:sz w:val="32"/>
          <w:highlight w:val="none"/>
          <w:lang w:eastAsia="zh-CN"/>
        </w:rPr>
        <w:t>、</w:t>
      </w:r>
      <w:r>
        <w:rPr>
          <w:rFonts w:hint="eastAsia" w:ascii="仿宋_GB2312" w:hAnsi="仿宋_GB2312" w:eastAsia="仿宋_GB2312" w:cstheme="minorBidi"/>
          <w:color w:val="auto"/>
          <w:sz w:val="32"/>
          <w:highlight w:val="none"/>
          <w:lang w:val="en-US" w:eastAsia="zh-CN"/>
        </w:rPr>
        <w:t>监管有效性</w:t>
      </w:r>
      <w:r>
        <w:rPr>
          <w:rFonts w:hint="eastAsia" w:ascii="仿宋_GB2312" w:hAnsi="仿宋_GB2312" w:eastAsia="仿宋_GB2312" w:cstheme="minorBidi"/>
          <w:color w:val="auto"/>
          <w:sz w:val="32"/>
          <w:highlight w:val="none"/>
          <w:lang w:eastAsia="zh-CN"/>
        </w:rPr>
        <w:t>等。指标分值20分，评价得分</w:t>
      </w:r>
      <w:r>
        <w:rPr>
          <w:rFonts w:hint="eastAsia" w:ascii="仿宋_GB2312" w:hAnsi="仿宋_GB2312" w:eastAsia="仿宋_GB2312" w:cstheme="minorBidi"/>
          <w:color w:val="auto"/>
          <w:sz w:val="32"/>
          <w:highlight w:val="none"/>
          <w:lang w:val="en-US" w:eastAsia="zh-CN"/>
        </w:rPr>
        <w:t>19</w:t>
      </w:r>
      <w:r>
        <w:rPr>
          <w:rFonts w:hint="eastAsia" w:ascii="仿宋_GB2312" w:hAnsi="仿宋_GB2312" w:eastAsia="仿宋_GB2312" w:cstheme="minorBidi"/>
          <w:color w:val="auto"/>
          <w:sz w:val="32"/>
          <w:highlight w:val="none"/>
          <w:lang w:eastAsia="zh-CN"/>
        </w:rPr>
        <w:t>分，得分率为</w:t>
      </w:r>
      <w:r>
        <w:rPr>
          <w:rFonts w:hint="eastAsia" w:ascii="仿宋_GB2312" w:hAnsi="仿宋_GB2312" w:eastAsia="仿宋_GB2312" w:cstheme="minorBidi"/>
          <w:color w:val="auto"/>
          <w:sz w:val="32"/>
          <w:highlight w:val="none"/>
          <w:lang w:val="en-US" w:eastAsia="zh-CN"/>
        </w:rPr>
        <w:t>95</w:t>
      </w:r>
      <w:r>
        <w:rPr>
          <w:rFonts w:hint="eastAsia" w:ascii="仿宋_GB2312" w:hAnsi="仿宋_GB2312" w:eastAsia="仿宋_GB2312" w:cstheme="minorBidi"/>
          <w:color w:val="auto"/>
          <w:sz w:val="32"/>
          <w:highlight w:val="none"/>
          <w:lang w:eastAsia="zh-CN"/>
        </w:rPr>
        <w:t>%。</w:t>
      </w:r>
    </w:p>
    <w:p>
      <w:pPr>
        <w:pageBreakBefore w:val="0"/>
        <w:kinsoku/>
        <w:wordWrap/>
        <w:overflowPunct/>
        <w:topLinePunct w:val="0"/>
        <w:autoSpaceDE/>
        <w:autoSpaceDN/>
        <w:bidi w:val="0"/>
        <w:snapToGrid w:val="0"/>
        <w:spacing w:beforeLines="0" w:afterLines="0" w:line="360" w:lineRule="auto"/>
        <w:ind w:firstLine="640" w:firstLineChars="200"/>
        <w:rPr>
          <w:rFonts w:hint="eastAsia" w:ascii="仿宋_GB2312" w:hAnsi="仿宋" w:eastAsia="仿宋GB2312" w:cstheme="minorBidi"/>
          <w:b w:val="0"/>
          <w:bCs w:val="0"/>
          <w:color w:val="auto"/>
          <w:kern w:val="2"/>
          <w:sz w:val="32"/>
          <w:szCs w:val="32"/>
          <w:highlight w:val="none"/>
          <w:lang w:val="en-US" w:eastAsia="zh-CN" w:bidi="ar-SA"/>
        </w:rPr>
      </w:pPr>
      <w:r>
        <w:rPr>
          <w:rFonts w:hint="eastAsia"/>
          <w:color w:val="auto"/>
          <w:sz w:val="32"/>
          <w:szCs w:val="32"/>
          <w:highlight w:val="none"/>
          <w:lang w:val="en-US" w:eastAsia="zh-CN"/>
        </w:rPr>
        <w:t>（</w:t>
      </w:r>
      <w:r>
        <w:rPr>
          <w:rFonts w:hint="eastAsia" w:ascii="仿宋_GB2312" w:hAnsi="仿宋" w:eastAsia="仿宋GB2312" w:cstheme="minorBidi"/>
          <w:b w:val="0"/>
          <w:bCs w:val="0"/>
          <w:color w:val="auto"/>
          <w:kern w:val="2"/>
          <w:sz w:val="32"/>
          <w:szCs w:val="32"/>
          <w:highlight w:val="none"/>
          <w:lang w:val="en-US" w:eastAsia="zh-CN" w:bidi="ar-SA"/>
        </w:rPr>
        <w:t>1）</w:t>
      </w:r>
      <w:r>
        <w:rPr>
          <w:rFonts w:hint="eastAsia" w:ascii="仿宋_GB2312" w:hAnsi="仿宋_GB2312" w:eastAsia="仿宋_GB2312" w:cstheme="minorBidi"/>
          <w:color w:val="auto"/>
          <w:sz w:val="32"/>
          <w:highlight w:val="none"/>
          <w:lang w:val="en-US" w:eastAsia="zh-CN"/>
        </w:rPr>
        <w:t>资金支出率。该指标分值10分，评价得分9分，得分率为90%。2021年省财政下达省级乡村振兴驻镇帮镇扶村资金450000万元，</w:t>
      </w:r>
      <w:r>
        <w:rPr>
          <w:rFonts w:hint="eastAsia" w:ascii="仿宋_GB2312" w:hAnsi="仿宋_GB2312" w:eastAsia="仿宋_GB2312" w:cstheme="minorBidi"/>
          <w:color w:val="auto"/>
          <w:sz w:val="32"/>
          <w:highlight w:val="none"/>
          <w:lang w:eastAsia="zh-CN"/>
        </w:rPr>
        <w:t>截至2021年12月31日，专项资金到位数450000万元，支出数252425万元，占预算资金的56.09</w:t>
      </w:r>
      <w:r>
        <w:rPr>
          <w:rFonts w:hint="eastAsia" w:ascii="仿宋_GB2312" w:eastAsia="仿宋_GB2312"/>
          <w:color w:val="auto"/>
          <w:sz w:val="32"/>
          <w:szCs w:val="32"/>
          <w:highlight w:val="none"/>
        </w:rPr>
        <w:t>%。支出率较低的原因</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一是省委</w:t>
      </w:r>
      <w:r>
        <w:rPr>
          <w:rFonts w:hint="eastAsia" w:ascii="仿宋_GB2312" w:eastAsia="仿宋_GB2312"/>
          <w:color w:val="auto"/>
          <w:sz w:val="32"/>
          <w:szCs w:val="32"/>
          <w:highlight w:val="none"/>
          <w:lang w:eastAsia="zh-CN"/>
        </w:rPr>
        <w:t>办公厅</w:t>
      </w:r>
      <w:r>
        <w:rPr>
          <w:rFonts w:hint="eastAsia" w:ascii="仿宋_GB2312" w:eastAsia="仿宋_GB2312"/>
          <w:color w:val="auto"/>
          <w:sz w:val="32"/>
          <w:szCs w:val="32"/>
          <w:highlight w:val="none"/>
        </w:rPr>
        <w:t>省政府</w:t>
      </w:r>
      <w:r>
        <w:rPr>
          <w:rFonts w:hint="eastAsia" w:ascii="仿宋_GB2312" w:eastAsia="仿宋_GB2312"/>
          <w:color w:val="auto"/>
          <w:sz w:val="32"/>
          <w:szCs w:val="32"/>
          <w:highlight w:val="none"/>
          <w:lang w:eastAsia="zh-CN"/>
        </w:rPr>
        <w:t>办公厅</w:t>
      </w:r>
      <w:r>
        <w:rPr>
          <w:rFonts w:hint="eastAsia" w:ascii="仿宋_GB2312" w:eastAsia="仿宋_GB2312"/>
          <w:color w:val="auto"/>
          <w:sz w:val="32"/>
          <w:szCs w:val="32"/>
          <w:highlight w:val="none"/>
          <w:lang w:val="en-US" w:eastAsia="zh-CN"/>
        </w:rPr>
        <w:t>2021年</w:t>
      </w:r>
      <w:r>
        <w:rPr>
          <w:rFonts w:hint="eastAsia" w:ascii="仿宋_GB2312" w:eastAsia="仿宋_GB2312"/>
          <w:color w:val="auto"/>
          <w:sz w:val="32"/>
          <w:szCs w:val="32"/>
          <w:highlight w:val="none"/>
        </w:rPr>
        <w:t>6月份</w:t>
      </w:r>
      <w:r>
        <w:rPr>
          <w:rFonts w:hint="eastAsia" w:ascii="仿宋_GB2312" w:eastAsia="仿宋_GB2312"/>
          <w:color w:val="auto"/>
          <w:sz w:val="32"/>
          <w:szCs w:val="32"/>
          <w:highlight w:val="none"/>
          <w:lang w:eastAsia="zh-CN"/>
        </w:rPr>
        <w:t>印发《广东省乡村振兴驻镇帮镇扶村工作方案》</w:t>
      </w:r>
      <w:r>
        <w:rPr>
          <w:rFonts w:hint="eastAsia" w:ascii="仿宋_GB2312" w:eastAsia="仿宋_GB2312"/>
          <w:color w:val="auto"/>
          <w:sz w:val="32"/>
          <w:szCs w:val="32"/>
          <w:highlight w:val="none"/>
        </w:rPr>
        <w:t>启动驻镇帮镇扶村工作</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由于</w:t>
      </w:r>
      <w:r>
        <w:rPr>
          <w:rFonts w:hint="eastAsia" w:ascii="仿宋_GB2312" w:eastAsia="仿宋_GB2312"/>
          <w:color w:val="auto"/>
          <w:sz w:val="32"/>
          <w:szCs w:val="32"/>
          <w:highlight w:val="none"/>
          <w:lang w:eastAsia="zh-CN"/>
        </w:rPr>
        <w:t>这</w:t>
      </w:r>
      <w:r>
        <w:rPr>
          <w:rFonts w:hint="eastAsia" w:ascii="仿宋_GB2312" w:eastAsia="仿宋_GB2312"/>
          <w:color w:val="auto"/>
          <w:sz w:val="32"/>
          <w:szCs w:val="32"/>
          <w:highlight w:val="none"/>
        </w:rPr>
        <w:t>是一项全新的工作，</w:t>
      </w:r>
      <w:r>
        <w:rPr>
          <w:rFonts w:hint="eastAsia" w:ascii="仿宋_GB2312" w:eastAsia="仿宋_GB2312"/>
          <w:color w:val="auto"/>
          <w:sz w:val="32"/>
          <w:szCs w:val="32"/>
          <w:highlight w:val="none"/>
          <w:lang w:eastAsia="zh-CN"/>
        </w:rPr>
        <w:t>因此</w:t>
      </w:r>
      <w:r>
        <w:rPr>
          <w:rFonts w:hint="eastAsia" w:ascii="仿宋_GB2312" w:eastAsia="仿宋_GB2312"/>
          <w:color w:val="auto"/>
          <w:sz w:val="32"/>
          <w:szCs w:val="32"/>
          <w:highlight w:val="none"/>
        </w:rPr>
        <w:t>无法提前一年储备项目。二是</w:t>
      </w:r>
      <w:r>
        <w:rPr>
          <w:rFonts w:hint="eastAsia" w:ascii="仿宋_GB2312" w:eastAsia="仿宋_GB2312"/>
          <w:color w:val="auto"/>
          <w:sz w:val="32"/>
          <w:szCs w:val="32"/>
          <w:highlight w:val="none"/>
          <w:lang w:val="en-US" w:eastAsia="zh-CN"/>
        </w:rPr>
        <w:t>2021年8月省领导批准</w:t>
      </w:r>
      <w:r>
        <w:rPr>
          <w:rFonts w:hint="eastAsia" w:ascii="仿宋_GB2312" w:eastAsia="仿宋_GB2312"/>
          <w:color w:val="auto"/>
          <w:sz w:val="32"/>
          <w:szCs w:val="32"/>
          <w:highlight w:val="none"/>
        </w:rPr>
        <w:t>驻镇帮镇扶村</w:t>
      </w:r>
      <w:r>
        <w:rPr>
          <w:rFonts w:hint="eastAsia" w:ascii="仿宋_GB2312" w:eastAsia="仿宋_GB2312"/>
          <w:color w:val="auto"/>
          <w:sz w:val="32"/>
          <w:szCs w:val="32"/>
          <w:highlight w:val="none"/>
          <w:lang w:eastAsia="zh-CN"/>
        </w:rPr>
        <w:t>资金安排方案，省财政</w:t>
      </w:r>
      <w:r>
        <w:rPr>
          <w:rFonts w:hint="eastAsia" w:ascii="仿宋_GB2312" w:eastAsia="仿宋_GB2312"/>
          <w:color w:val="auto"/>
          <w:sz w:val="32"/>
          <w:szCs w:val="32"/>
          <w:highlight w:val="none"/>
          <w:lang w:val="en-US" w:eastAsia="zh-CN"/>
        </w:rPr>
        <w:t>2021年9月底下达专项</w:t>
      </w:r>
      <w:r>
        <w:rPr>
          <w:rFonts w:hint="eastAsia" w:ascii="仿宋_GB2312" w:eastAsia="仿宋_GB2312"/>
          <w:color w:val="auto"/>
          <w:sz w:val="32"/>
          <w:szCs w:val="32"/>
          <w:highlight w:val="none"/>
        </w:rPr>
        <w:t>资金，</w:t>
      </w:r>
      <w:r>
        <w:rPr>
          <w:rFonts w:hint="eastAsia" w:ascii="仿宋_GB2312" w:eastAsia="仿宋_GB2312"/>
          <w:color w:val="auto"/>
          <w:sz w:val="32"/>
          <w:szCs w:val="32"/>
          <w:highlight w:val="none"/>
          <w:lang w:eastAsia="zh-CN"/>
        </w:rPr>
        <w:t>当年度项目实施时间只有</w:t>
      </w:r>
      <w:r>
        <w:rPr>
          <w:rFonts w:hint="eastAsia" w:ascii="仿宋_GB2312" w:eastAsia="仿宋_GB2312"/>
          <w:color w:val="auto"/>
          <w:sz w:val="32"/>
          <w:szCs w:val="32"/>
          <w:highlight w:val="none"/>
          <w:lang w:val="en-US" w:eastAsia="zh-CN"/>
        </w:rPr>
        <w:t>3个月，而2021年下达的</w:t>
      </w:r>
      <w:r>
        <w:rPr>
          <w:rFonts w:hint="eastAsia" w:ascii="仿宋_GB2312" w:eastAsia="仿宋_GB2312"/>
          <w:color w:val="auto"/>
          <w:sz w:val="32"/>
          <w:szCs w:val="32"/>
          <w:highlight w:val="none"/>
        </w:rPr>
        <w:t>驻镇帮镇扶村</w:t>
      </w:r>
      <w:r>
        <w:rPr>
          <w:rFonts w:hint="eastAsia" w:ascii="仿宋_GB2312" w:eastAsia="仿宋_GB2312"/>
          <w:color w:val="auto"/>
          <w:sz w:val="32"/>
          <w:szCs w:val="32"/>
          <w:highlight w:val="none"/>
          <w:lang w:eastAsia="zh-CN"/>
        </w:rPr>
        <w:t>专项资金项目实施周期为</w:t>
      </w:r>
      <w:r>
        <w:rPr>
          <w:rFonts w:hint="eastAsia" w:ascii="仿宋_GB2312" w:eastAsia="仿宋_GB2312"/>
          <w:color w:val="auto"/>
          <w:sz w:val="32"/>
          <w:szCs w:val="32"/>
          <w:highlight w:val="none"/>
          <w:lang w:val="en-US" w:eastAsia="zh-CN"/>
        </w:rPr>
        <w:t>2022年12月底前完成，部分资金按计划需在2022年支出。</w:t>
      </w:r>
      <w:r>
        <w:rPr>
          <w:rFonts w:hint="eastAsia" w:ascii="仿宋_GB2312" w:hAnsi="仿宋" w:eastAsia="仿宋GB2312" w:cstheme="minorBidi"/>
          <w:b w:val="0"/>
          <w:bCs w:val="0"/>
          <w:color w:val="auto"/>
          <w:kern w:val="2"/>
          <w:sz w:val="32"/>
          <w:szCs w:val="32"/>
          <w:highlight w:val="none"/>
          <w:lang w:val="en-US" w:eastAsia="zh-CN" w:bidi="ar-SA"/>
        </w:rPr>
        <w:t>各市支出情况见表2-2。</w:t>
      </w:r>
    </w:p>
    <w:tbl>
      <w:tblPr>
        <w:tblStyle w:val="11"/>
        <w:tblW w:w="79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2"/>
        <w:gridCol w:w="1408"/>
        <w:gridCol w:w="1284"/>
        <w:gridCol w:w="1496"/>
        <w:gridCol w:w="1488"/>
        <w:gridCol w:w="1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7956"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表2-2 2021年专项资金支出情况表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ascii="仿宋_GB2312" w:hAnsi="宋体" w:eastAsia="仿宋_GB2312" w:cs="仿宋_GB2312"/>
                <w:b/>
                <w:bCs/>
                <w:i w:val="0"/>
                <w:iCs w:val="0"/>
                <w:color w:val="auto"/>
                <w:sz w:val="24"/>
                <w:szCs w:val="24"/>
                <w:highlight w:val="none"/>
                <w:u w:val="none"/>
              </w:rPr>
            </w:pPr>
            <w:r>
              <w:rPr>
                <w:rFonts w:hint="default" w:ascii="仿宋_GB2312" w:hAnsi="宋体" w:eastAsia="仿宋_GB2312" w:cs="仿宋_GB2312"/>
                <w:b/>
                <w:bCs/>
                <w:i w:val="0"/>
                <w:iCs w:val="0"/>
                <w:color w:val="auto"/>
                <w:kern w:val="0"/>
                <w:sz w:val="24"/>
                <w:szCs w:val="24"/>
                <w:highlight w:val="none"/>
                <w:u w:val="none"/>
                <w:lang w:val="en-US" w:eastAsia="zh-CN" w:bidi="ar"/>
              </w:rPr>
              <w:t>序号</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b/>
                <w:bCs/>
                <w:i w:val="0"/>
                <w:iCs w:val="0"/>
                <w:color w:val="auto"/>
                <w:sz w:val="24"/>
                <w:szCs w:val="24"/>
                <w:highlight w:val="none"/>
                <w:u w:val="none"/>
              </w:rPr>
            </w:pPr>
            <w:r>
              <w:rPr>
                <w:rFonts w:hint="default" w:ascii="仿宋_GB2312" w:hAnsi="宋体" w:eastAsia="仿宋_GB2312" w:cs="仿宋_GB2312"/>
                <w:b/>
                <w:bCs/>
                <w:i w:val="0"/>
                <w:iCs w:val="0"/>
                <w:color w:val="auto"/>
                <w:kern w:val="0"/>
                <w:sz w:val="24"/>
                <w:szCs w:val="24"/>
                <w:highlight w:val="none"/>
                <w:u w:val="none"/>
                <w:lang w:val="en-US" w:eastAsia="zh-CN" w:bidi="ar"/>
              </w:rPr>
              <w:t>地市</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b/>
                <w:bCs/>
                <w:i w:val="0"/>
                <w:iCs w:val="0"/>
                <w:color w:val="auto"/>
                <w:sz w:val="24"/>
                <w:szCs w:val="24"/>
                <w:highlight w:val="none"/>
                <w:u w:val="none"/>
              </w:rPr>
            </w:pPr>
            <w:r>
              <w:rPr>
                <w:rFonts w:hint="default" w:ascii="仿宋_GB2312" w:hAnsi="宋体" w:eastAsia="仿宋_GB2312" w:cs="仿宋_GB2312"/>
                <w:b/>
                <w:bCs/>
                <w:i w:val="0"/>
                <w:iCs w:val="0"/>
                <w:color w:val="auto"/>
                <w:kern w:val="0"/>
                <w:sz w:val="24"/>
                <w:szCs w:val="24"/>
                <w:highlight w:val="none"/>
                <w:u w:val="none"/>
                <w:lang w:val="en-US" w:eastAsia="zh-CN" w:bidi="ar"/>
              </w:rPr>
              <w:t>乡镇个数（个）</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b/>
                <w:bCs/>
                <w:i w:val="0"/>
                <w:iCs w:val="0"/>
                <w:color w:val="auto"/>
                <w:sz w:val="24"/>
                <w:szCs w:val="24"/>
                <w:highlight w:val="none"/>
                <w:u w:val="none"/>
              </w:rPr>
            </w:pPr>
            <w:r>
              <w:rPr>
                <w:rFonts w:hint="default" w:ascii="仿宋_GB2312" w:hAnsi="宋体" w:eastAsia="仿宋_GB2312" w:cs="仿宋_GB2312"/>
                <w:b/>
                <w:bCs/>
                <w:i w:val="0"/>
                <w:iCs w:val="0"/>
                <w:color w:val="auto"/>
                <w:kern w:val="0"/>
                <w:sz w:val="24"/>
                <w:szCs w:val="24"/>
                <w:highlight w:val="none"/>
                <w:u w:val="none"/>
                <w:lang w:val="en-US" w:eastAsia="zh-CN" w:bidi="ar"/>
              </w:rPr>
              <w:t>预算数</w:t>
            </w:r>
            <w:r>
              <w:rPr>
                <w:rFonts w:hint="eastAsia" w:ascii="仿宋_GB2312" w:hAnsi="宋体" w:eastAsia="仿宋_GB2312" w:cs="仿宋_GB2312"/>
                <w:b/>
                <w:bCs/>
                <w:i w:val="0"/>
                <w:iCs w:val="0"/>
                <w:color w:val="auto"/>
                <w:kern w:val="0"/>
                <w:sz w:val="24"/>
                <w:szCs w:val="24"/>
                <w:highlight w:val="none"/>
                <w:u w:val="none"/>
                <w:lang w:val="en-US" w:eastAsia="zh-CN" w:bidi="ar"/>
              </w:rPr>
              <w:t xml:space="preserve">  </w:t>
            </w:r>
            <w:r>
              <w:rPr>
                <w:rFonts w:hint="default" w:ascii="仿宋_GB2312" w:hAnsi="宋体" w:eastAsia="仿宋_GB2312" w:cs="仿宋_GB2312"/>
                <w:b/>
                <w:bCs/>
                <w:i w:val="0"/>
                <w:iCs w:val="0"/>
                <w:color w:val="auto"/>
                <w:kern w:val="0"/>
                <w:sz w:val="24"/>
                <w:szCs w:val="24"/>
                <w:highlight w:val="none"/>
                <w:u w:val="none"/>
                <w:lang w:val="en-US" w:eastAsia="zh-CN" w:bidi="ar"/>
              </w:rPr>
              <w:t>（万元）</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b/>
                <w:bCs/>
                <w:i w:val="0"/>
                <w:iCs w:val="0"/>
                <w:color w:val="auto"/>
                <w:sz w:val="24"/>
                <w:szCs w:val="24"/>
                <w:highlight w:val="none"/>
                <w:u w:val="none"/>
              </w:rPr>
            </w:pPr>
            <w:r>
              <w:rPr>
                <w:rFonts w:hint="default" w:ascii="仿宋_GB2312" w:hAnsi="宋体" w:eastAsia="仿宋_GB2312" w:cs="仿宋_GB2312"/>
                <w:b/>
                <w:bCs/>
                <w:i w:val="0"/>
                <w:iCs w:val="0"/>
                <w:color w:val="auto"/>
                <w:kern w:val="0"/>
                <w:sz w:val="24"/>
                <w:szCs w:val="24"/>
                <w:highlight w:val="none"/>
                <w:u w:val="none"/>
                <w:lang w:val="en-US" w:eastAsia="zh-CN" w:bidi="ar"/>
              </w:rPr>
              <w:t>支出数</w:t>
            </w:r>
            <w:r>
              <w:rPr>
                <w:rFonts w:hint="eastAsia" w:ascii="仿宋_GB2312" w:hAnsi="宋体" w:eastAsia="仿宋_GB2312" w:cs="仿宋_GB2312"/>
                <w:b/>
                <w:bCs/>
                <w:i w:val="0"/>
                <w:iCs w:val="0"/>
                <w:color w:val="auto"/>
                <w:kern w:val="0"/>
                <w:sz w:val="24"/>
                <w:szCs w:val="24"/>
                <w:highlight w:val="none"/>
                <w:u w:val="none"/>
                <w:lang w:val="en-US" w:eastAsia="zh-CN" w:bidi="ar"/>
              </w:rPr>
              <w:t xml:space="preserve">  </w:t>
            </w:r>
            <w:r>
              <w:rPr>
                <w:rFonts w:hint="default" w:ascii="仿宋_GB2312" w:hAnsi="宋体" w:eastAsia="仿宋_GB2312" w:cs="仿宋_GB2312"/>
                <w:b/>
                <w:bCs/>
                <w:i w:val="0"/>
                <w:iCs w:val="0"/>
                <w:color w:val="auto"/>
                <w:kern w:val="0"/>
                <w:sz w:val="24"/>
                <w:szCs w:val="24"/>
                <w:highlight w:val="none"/>
                <w:u w:val="none"/>
                <w:lang w:val="en-US" w:eastAsia="zh-CN" w:bidi="ar"/>
              </w:rPr>
              <w:t>（万元）</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b/>
                <w:bCs/>
                <w:i w:val="0"/>
                <w:iCs w:val="0"/>
                <w:color w:val="auto"/>
                <w:sz w:val="24"/>
                <w:szCs w:val="24"/>
                <w:highlight w:val="none"/>
                <w:u w:val="none"/>
              </w:rPr>
            </w:pPr>
            <w:r>
              <w:rPr>
                <w:rFonts w:hint="default" w:ascii="仿宋_GB2312" w:hAnsi="宋体" w:eastAsia="仿宋_GB2312" w:cs="仿宋_GB2312"/>
                <w:b/>
                <w:bCs/>
                <w:i w:val="0"/>
                <w:iCs w:val="0"/>
                <w:color w:val="auto"/>
                <w:kern w:val="0"/>
                <w:sz w:val="24"/>
                <w:szCs w:val="24"/>
                <w:highlight w:val="none"/>
                <w:u w:val="none"/>
                <w:lang w:val="en-US" w:eastAsia="zh-CN" w:bidi="ar"/>
              </w:rPr>
              <w:t>支出率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b/>
                <w:bCs/>
                <w:i w:val="0"/>
                <w:iCs w:val="0"/>
                <w:color w:val="auto"/>
                <w:sz w:val="24"/>
                <w:szCs w:val="24"/>
                <w:highlight w:val="none"/>
                <w:u w:val="none"/>
              </w:rPr>
            </w:pPr>
            <w:r>
              <w:rPr>
                <w:rFonts w:hint="default" w:ascii="仿宋_GB2312" w:hAnsi="宋体" w:eastAsia="仿宋_GB2312" w:cs="仿宋_GB2312"/>
                <w:b/>
                <w:bCs/>
                <w:i w:val="0"/>
                <w:iCs w:val="0"/>
                <w:color w:val="auto"/>
                <w:kern w:val="0"/>
                <w:sz w:val="24"/>
                <w:szCs w:val="24"/>
                <w:highlight w:val="none"/>
                <w:u w:val="none"/>
                <w:lang w:val="en-US" w:eastAsia="zh-CN" w:bidi="ar"/>
              </w:rPr>
              <w:t>合计</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b/>
                <w:bCs/>
                <w:i w:val="0"/>
                <w:iCs w:val="0"/>
                <w:color w:val="auto"/>
                <w:sz w:val="24"/>
                <w:szCs w:val="24"/>
                <w:highlight w:val="none"/>
                <w:u w:val="none"/>
              </w:rPr>
            </w:pPr>
            <w:r>
              <w:rPr>
                <w:rFonts w:hint="default" w:ascii="仿宋_GB2312" w:hAnsi="宋体" w:eastAsia="仿宋_GB2312" w:cs="仿宋_GB2312"/>
                <w:b/>
                <w:bCs/>
                <w:i w:val="0"/>
                <w:iCs w:val="0"/>
                <w:color w:val="auto"/>
                <w:kern w:val="0"/>
                <w:sz w:val="24"/>
                <w:szCs w:val="24"/>
                <w:highlight w:val="none"/>
                <w:u w:val="none"/>
                <w:lang w:val="en-US" w:eastAsia="zh-CN" w:bidi="ar"/>
              </w:rPr>
              <w:t>901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b/>
                <w:bCs/>
                <w:i w:val="0"/>
                <w:iCs w:val="0"/>
                <w:color w:val="auto"/>
                <w:sz w:val="24"/>
                <w:szCs w:val="24"/>
                <w:highlight w:val="none"/>
                <w:u w:val="none"/>
              </w:rPr>
            </w:pPr>
            <w:r>
              <w:rPr>
                <w:rFonts w:hint="default" w:ascii="仿宋_GB2312" w:hAnsi="宋体" w:eastAsia="仿宋_GB2312" w:cs="仿宋_GB2312"/>
                <w:b/>
                <w:bCs/>
                <w:i w:val="0"/>
                <w:iCs w:val="0"/>
                <w:color w:val="auto"/>
                <w:kern w:val="0"/>
                <w:sz w:val="24"/>
                <w:szCs w:val="24"/>
                <w:highlight w:val="none"/>
                <w:u w:val="none"/>
                <w:lang w:val="en-US" w:eastAsia="zh-CN" w:bidi="ar"/>
              </w:rPr>
              <w:t>450000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b/>
                <w:bCs/>
                <w:i w:val="0"/>
                <w:iCs w:val="0"/>
                <w:color w:val="auto"/>
                <w:sz w:val="24"/>
                <w:szCs w:val="24"/>
                <w:highlight w:val="none"/>
                <w:u w:val="none"/>
              </w:rPr>
            </w:pPr>
            <w:r>
              <w:rPr>
                <w:rFonts w:hint="default" w:ascii="仿宋_GB2312" w:hAnsi="宋体" w:eastAsia="仿宋_GB2312" w:cs="仿宋_GB2312"/>
                <w:b/>
                <w:bCs/>
                <w:i w:val="0"/>
                <w:iCs w:val="0"/>
                <w:color w:val="auto"/>
                <w:kern w:val="0"/>
                <w:sz w:val="24"/>
                <w:szCs w:val="24"/>
                <w:highlight w:val="none"/>
                <w:u w:val="none"/>
                <w:lang w:val="en-US" w:eastAsia="zh-CN" w:bidi="ar"/>
              </w:rPr>
              <w:t xml:space="preserve">252425.37 </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b/>
                <w:bCs/>
                <w:i w:val="0"/>
                <w:iCs w:val="0"/>
                <w:color w:val="auto"/>
                <w:sz w:val="24"/>
                <w:szCs w:val="24"/>
                <w:highlight w:val="none"/>
                <w:u w:val="none"/>
              </w:rPr>
            </w:pPr>
            <w:r>
              <w:rPr>
                <w:rFonts w:hint="default" w:ascii="仿宋_GB2312" w:hAnsi="宋体" w:eastAsia="仿宋_GB2312" w:cs="仿宋_GB2312"/>
                <w:b/>
                <w:bCs/>
                <w:i w:val="0"/>
                <w:iCs w:val="0"/>
                <w:color w:val="auto"/>
                <w:kern w:val="0"/>
                <w:sz w:val="24"/>
                <w:szCs w:val="24"/>
                <w:highlight w:val="none"/>
                <w:u w:val="none"/>
                <w:lang w:val="en-US" w:eastAsia="zh-CN" w:bidi="ar"/>
              </w:rPr>
              <w:t>56.09%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汕头市</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30</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15000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5.07</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2</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韶关市</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95</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47500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29684.04</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62.49%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3</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河源市</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95</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47500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23285.9</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49.02%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4</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梅州市</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104</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51500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16651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32.33%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5</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汕尾市</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40</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20000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13943.8</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69.72%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6</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阳江市</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38</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19000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7750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40.79%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7</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湛江市</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84</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42000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18000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42.86%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8</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茂名市</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86</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43000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43000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9</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肇庆市</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88</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44000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23707.99</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53.88%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清远市</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80</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40000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22772.88</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56.93%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11</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潮州市</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41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20500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12524.69</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61.10%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12</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揭阳市</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65</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32500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27100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83.38%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13</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云浮市</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55</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360" w:lineRule="auto"/>
              <w:jc w:val="center"/>
              <w:textAlignment w:val="bottom"/>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27500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14000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50.91%</w:t>
            </w:r>
          </w:p>
        </w:tc>
      </w:tr>
    </w:tbl>
    <w:p>
      <w:pPr>
        <w:pageBreakBefore w:val="0"/>
        <w:kinsoku/>
        <w:wordWrap/>
        <w:overflowPunct/>
        <w:topLinePunct w:val="0"/>
        <w:autoSpaceDE/>
        <w:autoSpaceDN/>
        <w:bidi w:val="0"/>
        <w:adjustRightInd w:val="0"/>
        <w:snapToGrid w:val="0"/>
        <w:spacing w:line="360" w:lineRule="auto"/>
        <w:jc w:val="left"/>
        <w:rPr>
          <w:rFonts w:hint="default" w:ascii="仿宋_GB2312" w:hAnsi="仿宋_GB2312" w:eastAsia="仿宋_GB2312" w:cstheme="minorBidi"/>
          <w:color w:val="auto"/>
          <w:sz w:val="21"/>
          <w:szCs w:val="21"/>
          <w:highlight w:val="none"/>
          <w:lang w:val="en-US" w:eastAsia="zh-CN"/>
        </w:rPr>
      </w:pPr>
    </w:p>
    <w:p>
      <w:pPr>
        <w:pStyle w:val="2"/>
        <w:pageBreakBefore w:val="0"/>
        <w:kinsoku/>
        <w:wordWrap/>
        <w:overflowPunct/>
        <w:topLinePunct w:val="0"/>
        <w:autoSpaceDE/>
        <w:autoSpaceDN/>
        <w:bidi w:val="0"/>
        <w:spacing w:line="360" w:lineRule="auto"/>
        <w:ind w:left="0" w:leftChars="0" w:firstLine="640" w:firstLineChars="200"/>
        <w:rPr>
          <w:rFonts w:hint="eastAsia" w:ascii="仿宋_GB2312" w:hAnsi="仿宋" w:eastAsia="仿宋GB2312" w:cstheme="minorBidi"/>
          <w:b w:val="0"/>
          <w:bCs w:val="0"/>
          <w:color w:val="auto"/>
          <w:kern w:val="2"/>
          <w:sz w:val="32"/>
          <w:szCs w:val="32"/>
          <w:highlight w:val="none"/>
          <w:lang w:val="en-US" w:eastAsia="zh-CN" w:bidi="ar-SA"/>
        </w:rPr>
      </w:pPr>
      <w:r>
        <w:rPr>
          <w:rFonts w:hint="eastAsia" w:ascii="仿宋_GB2312" w:hAnsi="仿宋" w:eastAsia="仿宋GB2312" w:cstheme="minorBidi"/>
          <w:b w:val="0"/>
          <w:bCs w:val="0"/>
          <w:color w:val="auto"/>
          <w:kern w:val="2"/>
          <w:sz w:val="32"/>
          <w:szCs w:val="32"/>
          <w:highlight w:val="none"/>
          <w:lang w:val="en-US" w:eastAsia="zh-CN" w:bidi="ar-SA"/>
        </w:rPr>
        <w:t>（2）</w:t>
      </w:r>
      <w:r>
        <w:rPr>
          <w:rFonts w:hint="eastAsia" w:ascii="仿宋_GB2312" w:hAnsi="Times New Roman" w:eastAsia="仿宋_GB2312" w:cs="Times New Roman"/>
          <w:color w:val="auto"/>
          <w:sz w:val="32"/>
          <w:szCs w:val="32"/>
          <w:highlight w:val="none"/>
          <w:lang w:val="en-US" w:eastAsia="zh-CN"/>
        </w:rPr>
        <w:t>监管有效性。该指标分值10分，评价得分10分，得分率为100%。我厅对专项资金项目的监管工作高度重视，建立健全各项管理制度并抓好落实，主要通过全国防返贫监测信息系统监管资金和项目，期间不定期发出项目信息战报，结合国家对我省2021年度衔接推进乡村振兴补助资金（含驻镇帮镇扶村资金）的绩效评价，我厅还委托第三方机构对2021年度衔接推进乡村振兴补助资金（含驻镇帮镇扶村资金）开展了绩效评价。</w:t>
      </w:r>
      <w:r>
        <w:rPr>
          <w:rFonts w:hint="eastAsia" w:ascii="仿宋_GB2312" w:hAnsi="仿宋" w:eastAsia="仿宋GB2312" w:cstheme="minorBidi"/>
          <w:b w:val="0"/>
          <w:bCs w:val="0"/>
          <w:color w:val="auto"/>
          <w:kern w:val="2"/>
          <w:sz w:val="32"/>
          <w:szCs w:val="32"/>
          <w:highlight w:val="none"/>
          <w:lang w:val="en-US" w:eastAsia="zh-CN" w:bidi="ar-SA"/>
        </w:rPr>
        <w:t>对项目实施过程进行有效检查、监控，发现问题及时要求整改。</w:t>
      </w:r>
    </w:p>
    <w:p>
      <w:pPr>
        <w:pStyle w:val="2"/>
        <w:pageBreakBefore w:val="0"/>
        <w:kinsoku/>
        <w:wordWrap/>
        <w:overflowPunct/>
        <w:topLinePunct w:val="0"/>
        <w:autoSpaceDE/>
        <w:autoSpaceDN/>
        <w:bidi w:val="0"/>
        <w:spacing w:line="360" w:lineRule="auto"/>
        <w:ind w:left="0" w:leftChars="0" w:firstLine="642" w:firstLineChars="200"/>
        <w:rPr>
          <w:rFonts w:hint="eastAsia" w:ascii="仿宋_GB2312" w:hAnsi="仿宋_GB2312" w:eastAsia="仿宋_GB2312" w:cstheme="minorBidi"/>
          <w:color w:val="auto"/>
          <w:kern w:val="0"/>
          <w:sz w:val="32"/>
          <w:szCs w:val="32"/>
          <w:highlight w:val="none"/>
          <w:lang w:val="en-US" w:eastAsia="zh-CN" w:bidi="ar-SA"/>
        </w:rPr>
      </w:pPr>
      <w:bookmarkStart w:id="15" w:name="_Toc12550"/>
      <w:bookmarkStart w:id="16" w:name="_Toc30674"/>
      <w:bookmarkStart w:id="17" w:name="_Toc11226"/>
      <w:r>
        <w:rPr>
          <w:rStyle w:val="14"/>
          <w:rFonts w:hint="eastAsia"/>
          <w:color w:val="auto"/>
          <w:highlight w:val="none"/>
          <w:lang w:val="en-US" w:eastAsia="zh-CN"/>
        </w:rPr>
        <w:t>2.产出</w:t>
      </w:r>
      <w:bookmarkEnd w:id="15"/>
      <w:bookmarkEnd w:id="16"/>
      <w:bookmarkEnd w:id="17"/>
      <w:r>
        <w:rPr>
          <w:rFonts w:hint="eastAsia" w:ascii="仿宋_GB2312" w:hAnsi="仿宋" w:eastAsia="仿宋_GB2312" w:cs="Times New Roman"/>
          <w:b/>
          <w:bCs/>
          <w:color w:val="auto"/>
          <w:kern w:val="2"/>
          <w:sz w:val="32"/>
          <w:szCs w:val="24"/>
          <w:highlight w:val="none"/>
          <w:lang w:val="en-US" w:eastAsia="zh-CN" w:bidi="ar-SA"/>
        </w:rPr>
        <w:t>。</w:t>
      </w:r>
      <w:r>
        <w:rPr>
          <w:rFonts w:hint="eastAsia" w:ascii="仿宋_GB2312" w:hAnsi="仿宋_GB2312" w:eastAsia="仿宋_GB2312" w:cstheme="minorBidi"/>
          <w:color w:val="auto"/>
          <w:sz w:val="32"/>
          <w:highlight w:val="none"/>
          <w:lang w:val="en-US" w:eastAsia="zh-CN"/>
        </w:rPr>
        <w:t>该指标主要从数量指标、质量指标、时效指标和成本指标四方面考核专项资金在编制乡村振兴驻镇帮镇扶村五年规划编制（个）、每镇培育发展提升1个以上带动100户农户的特色产业、守好不发生规模性返贫底线（%）、项目完成时效、每镇制定完善镇域乡村振兴规划财政资金投入（万元）、每镇培育发展提升带动100户农户的特色产业财政资金投入（万元）、每镇县域内扶贫项目资产后续管理财政资金投入（万元）等方面的</w:t>
      </w:r>
      <w:r>
        <w:rPr>
          <w:rFonts w:hint="eastAsia" w:ascii="仿宋_GB2312" w:hAnsi="仿宋_GB2312" w:eastAsia="仿宋_GB2312" w:cstheme="minorBidi"/>
          <w:color w:val="auto"/>
          <w:kern w:val="0"/>
          <w:sz w:val="32"/>
          <w:szCs w:val="32"/>
          <w:highlight w:val="none"/>
          <w:lang w:val="en-US" w:eastAsia="zh-CN" w:bidi="ar-SA"/>
        </w:rPr>
        <w:t>产出。指标分值40分，评价得分40分，得分率为100%。</w:t>
      </w:r>
    </w:p>
    <w:p>
      <w:pPr>
        <w:pStyle w:val="2"/>
        <w:pageBreakBefore w:val="0"/>
        <w:kinsoku/>
        <w:wordWrap/>
        <w:overflowPunct/>
        <w:topLinePunct w:val="0"/>
        <w:autoSpaceDE/>
        <w:autoSpaceDN/>
        <w:bidi w:val="0"/>
        <w:spacing w:line="360" w:lineRule="auto"/>
        <w:ind w:left="0" w:leftChars="0" w:firstLine="640" w:firstLineChars="200"/>
        <w:rPr>
          <w:rFonts w:hint="eastAsia" w:ascii="仿宋_GB2312" w:hAnsi="仿宋_GB2312" w:eastAsia="仿宋_GB2312" w:cstheme="minorBidi"/>
          <w:color w:val="auto"/>
          <w:kern w:val="0"/>
          <w:sz w:val="32"/>
          <w:szCs w:val="32"/>
          <w:highlight w:val="none"/>
          <w:lang w:val="en-US" w:eastAsia="zh-CN" w:bidi="ar-SA"/>
        </w:rPr>
      </w:pPr>
      <w:r>
        <w:rPr>
          <w:rFonts w:hint="eastAsia" w:ascii="仿宋_GB2312" w:hAnsi="仿宋_GB2312" w:eastAsia="仿宋_GB2312" w:cstheme="minorBidi"/>
          <w:color w:val="auto"/>
          <w:kern w:val="0"/>
          <w:sz w:val="32"/>
          <w:szCs w:val="32"/>
          <w:highlight w:val="none"/>
          <w:lang w:val="en-US" w:eastAsia="zh-CN" w:bidi="ar-SA"/>
        </w:rPr>
        <w:t>（1）编制乡村振兴驻镇帮镇扶村五年规划编制。该指标分值5分，评价得分5分，得分率为100%。任务完成情况良好，901个重点帮扶镇均按要求编制了乡村振兴驻镇帮镇扶村五年规划。</w:t>
      </w:r>
    </w:p>
    <w:p>
      <w:pPr>
        <w:pStyle w:val="2"/>
        <w:pageBreakBefore w:val="0"/>
        <w:kinsoku/>
        <w:wordWrap/>
        <w:overflowPunct/>
        <w:topLinePunct w:val="0"/>
        <w:autoSpaceDE/>
        <w:autoSpaceDN/>
        <w:bidi w:val="0"/>
        <w:spacing w:line="360" w:lineRule="auto"/>
        <w:ind w:left="0" w:leftChars="0" w:firstLine="640" w:firstLineChars="200"/>
        <w:rPr>
          <w:rFonts w:hint="eastAsia" w:ascii="仿宋_GB2312" w:hAnsi="仿宋_GB2312" w:eastAsia="仿宋_GB2312" w:cstheme="minorBidi"/>
          <w:color w:val="auto"/>
          <w:kern w:val="0"/>
          <w:sz w:val="32"/>
          <w:szCs w:val="32"/>
          <w:highlight w:val="none"/>
          <w:lang w:val="en-US" w:eastAsia="zh-CN" w:bidi="ar-SA"/>
        </w:rPr>
      </w:pPr>
      <w:r>
        <w:rPr>
          <w:rFonts w:hint="eastAsia" w:ascii="仿宋_GB2312" w:hAnsi="仿宋_GB2312" w:eastAsia="仿宋_GB2312" w:cstheme="minorBidi"/>
          <w:color w:val="auto"/>
          <w:kern w:val="0"/>
          <w:sz w:val="32"/>
          <w:szCs w:val="32"/>
          <w:highlight w:val="none"/>
          <w:lang w:val="en-US" w:eastAsia="zh-CN" w:bidi="ar-SA"/>
        </w:rPr>
        <w:t>（2）每镇培育发展提升1个以上带动100户农户的特色产业。指标分值5分，评价得分5分，得分率为100%。901个重点帮扶镇产业发展进一步巩固，能够持续抓好产业帮扶、就业帮扶、消费帮扶、基础设施、党建引领等多项帮扶工作，切实巩固拓展脱贫攻坚成果，取得阶段性成效，为2022年底全面完成专项资金目标任务夯实基础。</w:t>
      </w:r>
    </w:p>
    <w:p>
      <w:pPr>
        <w:pStyle w:val="2"/>
        <w:pageBreakBefore w:val="0"/>
        <w:kinsoku/>
        <w:wordWrap/>
        <w:overflowPunct/>
        <w:topLinePunct w:val="0"/>
        <w:autoSpaceDE/>
        <w:autoSpaceDN/>
        <w:bidi w:val="0"/>
        <w:spacing w:line="360" w:lineRule="auto"/>
        <w:ind w:left="0" w:leftChars="0" w:firstLine="640" w:firstLineChars="200"/>
        <w:rPr>
          <w:rFonts w:hint="eastAsia" w:ascii="仿宋_GB2312" w:hAnsi="仿宋_GB2312" w:eastAsia="仿宋_GB2312" w:cstheme="minorBidi"/>
          <w:color w:val="auto"/>
          <w:kern w:val="0"/>
          <w:sz w:val="32"/>
          <w:szCs w:val="32"/>
          <w:highlight w:val="none"/>
          <w:lang w:val="en-US" w:eastAsia="zh-CN" w:bidi="ar-SA"/>
        </w:rPr>
      </w:pPr>
      <w:r>
        <w:rPr>
          <w:rFonts w:hint="eastAsia" w:ascii="仿宋_GB2312" w:hAnsi="仿宋_GB2312" w:eastAsia="仿宋_GB2312" w:cstheme="minorBidi"/>
          <w:color w:val="auto"/>
          <w:kern w:val="0"/>
          <w:sz w:val="32"/>
          <w:szCs w:val="32"/>
          <w:highlight w:val="none"/>
          <w:lang w:val="en-US" w:eastAsia="zh-CN" w:bidi="ar-SA"/>
        </w:rPr>
        <w:t>（3）守好不发生规模性返贫底线。该指标分值10分，评价得分10分，得分率为100%。实施系列稳就业行动，累计建设“乡村振兴车间”238个，吸纳8386人就近就业，其中已脱贫户2099人；举办培训班1419期，培训已脱贫人口90566人次。举办系列促增收展销活动，通过线上或举办脱贫村农副产品产销对接活动，带动销售4.05亿元帮扶产品。2021年未出现规模性返贫情况。</w:t>
      </w:r>
    </w:p>
    <w:p>
      <w:pPr>
        <w:pStyle w:val="2"/>
        <w:pageBreakBefore w:val="0"/>
        <w:kinsoku/>
        <w:wordWrap/>
        <w:overflowPunct/>
        <w:topLinePunct w:val="0"/>
        <w:autoSpaceDE/>
        <w:autoSpaceDN/>
        <w:bidi w:val="0"/>
        <w:spacing w:line="360" w:lineRule="auto"/>
        <w:ind w:left="0" w:leftChars="0" w:firstLine="640" w:firstLineChars="200"/>
        <w:rPr>
          <w:rFonts w:hint="default" w:ascii="仿宋_GB2312" w:hAnsi="仿宋_GB2312" w:eastAsia="仿宋_GB2312" w:cstheme="minorBidi"/>
          <w:color w:val="auto"/>
          <w:kern w:val="0"/>
          <w:sz w:val="32"/>
          <w:szCs w:val="32"/>
          <w:highlight w:val="none"/>
          <w:lang w:val="en-US" w:eastAsia="zh-CN" w:bidi="ar-SA"/>
        </w:rPr>
      </w:pPr>
      <w:r>
        <w:rPr>
          <w:rFonts w:hint="eastAsia" w:ascii="仿宋_GB2312" w:hAnsi="仿宋_GB2312" w:eastAsia="仿宋_GB2312" w:cstheme="minorBidi"/>
          <w:color w:val="auto"/>
          <w:kern w:val="0"/>
          <w:sz w:val="32"/>
          <w:szCs w:val="32"/>
          <w:highlight w:val="none"/>
          <w:lang w:val="en-US" w:eastAsia="zh-CN" w:bidi="ar-SA"/>
        </w:rPr>
        <w:t>（4）项目完成时效。指标分值10分，评价得分10分，得分率为100%。专项资金项目计划在2022年12月底前按时完成，2021年已完成年度阶段性目标任务，完成效率高。预计2022年12月底前可按时完成专项资金各项绩效目标。</w:t>
      </w:r>
    </w:p>
    <w:p>
      <w:pPr>
        <w:pStyle w:val="2"/>
        <w:pageBreakBefore w:val="0"/>
        <w:kinsoku/>
        <w:wordWrap/>
        <w:overflowPunct/>
        <w:topLinePunct w:val="0"/>
        <w:autoSpaceDE/>
        <w:autoSpaceDN/>
        <w:bidi w:val="0"/>
        <w:spacing w:line="360" w:lineRule="auto"/>
        <w:ind w:left="0" w:leftChars="0" w:firstLine="640" w:firstLineChars="200"/>
        <w:rPr>
          <w:rFonts w:hint="default" w:ascii="仿宋_GB2312" w:hAnsi="仿宋_GB2312" w:eastAsia="仿宋_GB2312" w:cstheme="minorBidi"/>
          <w:color w:val="auto"/>
          <w:kern w:val="0"/>
          <w:sz w:val="32"/>
          <w:szCs w:val="32"/>
          <w:highlight w:val="none"/>
          <w:lang w:val="en-US" w:eastAsia="zh-CN" w:bidi="ar-SA"/>
        </w:rPr>
      </w:pPr>
      <w:r>
        <w:rPr>
          <w:rFonts w:hint="eastAsia" w:ascii="仿宋_GB2312" w:hAnsi="仿宋_GB2312" w:eastAsia="仿宋_GB2312" w:cstheme="minorBidi"/>
          <w:color w:val="auto"/>
          <w:kern w:val="0"/>
          <w:sz w:val="32"/>
          <w:szCs w:val="32"/>
          <w:highlight w:val="none"/>
          <w:lang w:val="en-US" w:eastAsia="zh-CN" w:bidi="ar-SA"/>
        </w:rPr>
        <w:t>（5）每镇制定完善镇域乡村振兴规划财政资金投入（≦80万元）。该指标分值3.40分，评价得分3.40分，得分率为100%。2021年各地受帮扶镇用于制定完善镇域乡村振兴规划的专项资金支出均小于80万元，成本控制在预算范围内，100%完成绩效指标。</w:t>
      </w:r>
    </w:p>
    <w:p>
      <w:pPr>
        <w:pStyle w:val="2"/>
        <w:pageBreakBefore w:val="0"/>
        <w:kinsoku/>
        <w:wordWrap/>
        <w:overflowPunct/>
        <w:topLinePunct w:val="0"/>
        <w:autoSpaceDE/>
        <w:autoSpaceDN/>
        <w:bidi w:val="0"/>
        <w:spacing w:line="360" w:lineRule="auto"/>
        <w:ind w:left="0" w:leftChars="0" w:firstLine="640" w:firstLineChars="200"/>
        <w:rPr>
          <w:rFonts w:hint="default" w:ascii="仿宋_GB2312" w:hAnsi="仿宋_GB2312" w:eastAsia="仿宋_GB2312" w:cstheme="minorBidi"/>
          <w:color w:val="auto"/>
          <w:kern w:val="0"/>
          <w:sz w:val="32"/>
          <w:szCs w:val="32"/>
          <w:highlight w:val="none"/>
          <w:lang w:val="en-US" w:eastAsia="zh-CN" w:bidi="ar-SA"/>
        </w:rPr>
      </w:pPr>
      <w:r>
        <w:rPr>
          <w:rFonts w:hint="eastAsia" w:ascii="仿宋_GB2312" w:hAnsi="仿宋_GB2312" w:eastAsia="仿宋_GB2312" w:cstheme="minorBidi"/>
          <w:color w:val="auto"/>
          <w:kern w:val="0"/>
          <w:sz w:val="32"/>
          <w:szCs w:val="32"/>
          <w:highlight w:val="none"/>
          <w:lang w:val="en-US" w:eastAsia="zh-CN" w:bidi="ar-SA"/>
        </w:rPr>
        <w:t>（6）每镇培育发展提升带动100户农户的特色产业财政资金投入（≧200万元）。指标分值3.30分，评价得分3.30分，得分率为100%。2021年各地受帮扶镇专项资金安排用于培育发展提升带动100户农户的特色产业方面的专项资金投入均大于200万元，100%完成绩效指标。</w:t>
      </w:r>
    </w:p>
    <w:p>
      <w:pPr>
        <w:pStyle w:val="2"/>
        <w:pageBreakBefore w:val="0"/>
        <w:kinsoku/>
        <w:wordWrap/>
        <w:overflowPunct/>
        <w:topLinePunct w:val="0"/>
        <w:autoSpaceDE/>
        <w:autoSpaceDN/>
        <w:bidi w:val="0"/>
        <w:spacing w:line="360" w:lineRule="auto"/>
        <w:ind w:left="0" w:leftChars="0" w:firstLine="640" w:firstLineChars="200"/>
        <w:rPr>
          <w:rFonts w:hint="default" w:ascii="仿宋_GB2312" w:hAnsi="仿宋_GB2312" w:eastAsia="仿宋_GB2312" w:cstheme="minorBidi"/>
          <w:color w:val="auto"/>
          <w:kern w:val="0"/>
          <w:sz w:val="32"/>
          <w:szCs w:val="32"/>
          <w:highlight w:val="none"/>
          <w:lang w:val="en-US" w:eastAsia="zh-CN" w:bidi="ar-SA"/>
        </w:rPr>
      </w:pPr>
      <w:r>
        <w:rPr>
          <w:rFonts w:hint="eastAsia" w:ascii="仿宋_GB2312" w:hAnsi="仿宋_GB2312" w:eastAsia="仿宋_GB2312" w:cstheme="minorBidi"/>
          <w:color w:val="auto"/>
          <w:kern w:val="0"/>
          <w:sz w:val="32"/>
          <w:szCs w:val="32"/>
          <w:highlight w:val="none"/>
          <w:lang w:val="en-US" w:eastAsia="zh-CN" w:bidi="ar-SA"/>
        </w:rPr>
        <w:t>（7）每镇县域内扶贫项目资产后续管理财政资金投入（≧10万元）。该指标分值3.30分，评价得分3.30分，得分率为100%。2021年各地受帮扶镇安排用于县域内扶贫项目资产后续管理的专项资金均大于10万元，100%完成绩效指标。</w:t>
      </w:r>
    </w:p>
    <w:p>
      <w:pPr>
        <w:pStyle w:val="2"/>
        <w:pageBreakBefore w:val="0"/>
        <w:kinsoku/>
        <w:wordWrap/>
        <w:overflowPunct/>
        <w:topLinePunct w:val="0"/>
        <w:autoSpaceDE/>
        <w:autoSpaceDN/>
        <w:bidi w:val="0"/>
        <w:spacing w:line="360" w:lineRule="auto"/>
        <w:ind w:left="0" w:leftChars="0" w:firstLine="642" w:firstLineChars="200"/>
        <w:rPr>
          <w:rFonts w:hint="eastAsia" w:ascii="仿宋_GB2312" w:hAnsi="仿宋" w:eastAsia="仿宋_GB2312" w:cstheme="minorBidi"/>
          <w:b w:val="0"/>
          <w:bCs w:val="0"/>
          <w:color w:val="auto"/>
          <w:kern w:val="2"/>
          <w:sz w:val="32"/>
          <w:szCs w:val="24"/>
          <w:highlight w:val="none"/>
          <w:lang w:val="en-US" w:eastAsia="zh-CN" w:bidi="ar-SA"/>
        </w:rPr>
      </w:pPr>
      <w:r>
        <w:rPr>
          <w:rStyle w:val="14"/>
          <w:rFonts w:hint="eastAsia" w:cstheme="minorBidi"/>
          <w:color w:val="auto"/>
          <w:kern w:val="0"/>
          <w:szCs w:val="32"/>
          <w:highlight w:val="none"/>
          <w:lang w:val="en-US" w:eastAsia="zh-CN" w:bidi="ar-SA"/>
        </w:rPr>
        <w:t>3.效益</w:t>
      </w:r>
      <w:r>
        <w:rPr>
          <w:rFonts w:hint="eastAsia" w:ascii="仿宋_GB2312" w:hAnsi="仿宋_GB2312" w:eastAsia="仿宋_GB2312" w:cstheme="minorBidi"/>
          <w:b/>
          <w:bCs w:val="0"/>
          <w:color w:val="auto"/>
          <w:kern w:val="2"/>
          <w:sz w:val="32"/>
          <w:szCs w:val="24"/>
          <w:highlight w:val="none"/>
          <w:lang w:val="en-US" w:eastAsia="zh-CN" w:bidi="ar-SA"/>
        </w:rPr>
        <w:t>。</w:t>
      </w:r>
      <w:r>
        <w:rPr>
          <w:rFonts w:hint="eastAsia" w:ascii="仿宋_GB2312" w:hAnsi="仿宋_GB2312" w:eastAsia="仿宋_GB2312" w:cstheme="minorBidi"/>
          <w:color w:val="auto"/>
          <w:kern w:val="0"/>
          <w:sz w:val="32"/>
          <w:szCs w:val="32"/>
          <w:highlight w:val="none"/>
          <w:lang w:val="en-US" w:eastAsia="zh-CN" w:bidi="ar-SA"/>
        </w:rPr>
        <w:t>该指标主要从经济效益指标和服务对象满意度指标两方面考核专项资金项目在促进当地集体经济发展、提高当地群众收入以及服务对象满意度等情况。指标分值40分，评价得分40分，得分率为100%。</w:t>
      </w:r>
    </w:p>
    <w:p>
      <w:pPr>
        <w:pStyle w:val="2"/>
        <w:pageBreakBefore w:val="0"/>
        <w:kinsoku/>
        <w:wordWrap/>
        <w:overflowPunct/>
        <w:topLinePunct w:val="0"/>
        <w:autoSpaceDE/>
        <w:autoSpaceDN/>
        <w:bidi w:val="0"/>
        <w:spacing w:line="360" w:lineRule="auto"/>
        <w:ind w:left="0" w:leftChars="0" w:firstLine="640" w:firstLineChars="200"/>
        <w:rPr>
          <w:rFonts w:hint="default" w:ascii="仿宋_GB2312" w:hAnsi="仿宋_GB2312" w:eastAsia="仿宋_GB2312" w:cstheme="minorBidi"/>
          <w:color w:val="auto"/>
          <w:kern w:val="0"/>
          <w:sz w:val="32"/>
          <w:szCs w:val="32"/>
          <w:highlight w:val="none"/>
          <w:lang w:val="en-US" w:eastAsia="zh-CN" w:bidi="ar-SA"/>
        </w:rPr>
      </w:pPr>
      <w:r>
        <w:rPr>
          <w:rFonts w:hint="eastAsia" w:ascii="仿宋_GB2312" w:hAnsi="仿宋_GB2312" w:eastAsia="仿宋_GB2312" w:cstheme="minorBidi"/>
          <w:color w:val="auto"/>
          <w:kern w:val="0"/>
          <w:sz w:val="32"/>
          <w:szCs w:val="32"/>
          <w:highlight w:val="none"/>
          <w:lang w:val="en-US" w:eastAsia="zh-CN" w:bidi="ar-SA"/>
        </w:rPr>
        <w:t>（1）当地集体经济发展（提高）。该指标分值10分，评价得分10分，得分率为100%。专项资金的使用有利于发展壮大村级集体经济，扶持壮大一批具有完善利益联结机制的新型农业经营主体，支持建设一批田头小站、农产品产地冷藏保鲜设施；有效地支持探索用现代农业产业园模式发展“一村一品、一镇一业”，创建一批农业产业强镇强村。有力地促进了当地集体经济发展。</w:t>
      </w:r>
    </w:p>
    <w:p>
      <w:pPr>
        <w:pStyle w:val="2"/>
        <w:pageBreakBefore w:val="0"/>
        <w:kinsoku/>
        <w:wordWrap/>
        <w:overflowPunct/>
        <w:topLinePunct w:val="0"/>
        <w:autoSpaceDE/>
        <w:autoSpaceDN/>
        <w:bidi w:val="0"/>
        <w:spacing w:line="360" w:lineRule="auto"/>
        <w:ind w:left="0" w:leftChars="0" w:firstLine="640" w:firstLineChars="200"/>
        <w:rPr>
          <w:rFonts w:hint="eastAsia" w:ascii="仿宋_GB2312" w:hAnsi="仿宋_GB2312" w:eastAsia="仿宋_GB2312" w:cstheme="minorBidi"/>
          <w:color w:val="auto"/>
          <w:kern w:val="0"/>
          <w:sz w:val="32"/>
          <w:szCs w:val="32"/>
          <w:highlight w:val="none"/>
          <w:lang w:val="en-US" w:eastAsia="zh-CN" w:bidi="ar-SA"/>
        </w:rPr>
      </w:pPr>
      <w:r>
        <w:rPr>
          <w:rFonts w:hint="eastAsia" w:ascii="仿宋_GB2312" w:hAnsi="仿宋_GB2312" w:eastAsia="仿宋_GB2312" w:cstheme="minorBidi"/>
          <w:color w:val="auto"/>
          <w:kern w:val="0"/>
          <w:sz w:val="32"/>
          <w:szCs w:val="32"/>
          <w:highlight w:val="none"/>
          <w:lang w:val="en-US" w:eastAsia="zh-CN" w:bidi="ar-SA"/>
        </w:rPr>
        <w:t>（2）当地群众收入（提高）。指标分值10分，评价得分10分，得分率为100%。各地引进大量促发展项目，全省持续实施帮扶项目8754个，引导2108家企业到粤东粤西粤北地区投资，辐射带动低收入群众59836多人，有效地提高了当地群众收入。</w:t>
      </w:r>
    </w:p>
    <w:p>
      <w:pPr>
        <w:pStyle w:val="2"/>
        <w:pageBreakBefore w:val="0"/>
        <w:kinsoku/>
        <w:wordWrap/>
        <w:overflowPunct/>
        <w:topLinePunct w:val="0"/>
        <w:autoSpaceDE/>
        <w:autoSpaceDN/>
        <w:bidi w:val="0"/>
        <w:spacing w:line="360" w:lineRule="auto"/>
        <w:ind w:left="0" w:leftChars="0" w:firstLine="640" w:firstLineChars="200"/>
        <w:rPr>
          <w:rFonts w:hint="default" w:ascii="仿宋_GB2312" w:hAnsi="仿宋_GB2312" w:eastAsia="仿宋_GB2312" w:cstheme="minorBidi"/>
          <w:color w:val="auto"/>
          <w:kern w:val="0"/>
          <w:sz w:val="32"/>
          <w:szCs w:val="32"/>
          <w:highlight w:val="none"/>
          <w:lang w:val="en-US" w:eastAsia="zh-CN" w:bidi="ar-SA"/>
        </w:rPr>
      </w:pPr>
      <w:r>
        <w:rPr>
          <w:rFonts w:hint="eastAsia" w:ascii="仿宋_GB2312" w:hAnsi="仿宋_GB2312" w:eastAsia="仿宋_GB2312" w:cstheme="minorBidi"/>
          <w:color w:val="auto"/>
          <w:kern w:val="0"/>
          <w:sz w:val="32"/>
          <w:szCs w:val="32"/>
          <w:highlight w:val="none"/>
          <w:lang w:val="en-US" w:eastAsia="zh-CN" w:bidi="ar-SA"/>
        </w:rPr>
        <w:t>（3）群众对产业发展的满意度（90%）。该指标分值20分，评价得分20分，得分率为100%。专项资金的使用有利于巩固拓展脱贫攻坚成果同乡村振兴有效衔接、发展了富民兴村产业、提升了镇村公共基础设施水平、提升了镇域公共服务能力，有利于解决乡村振兴的短板弱项和群众急难愁盼的实际问题，确保了镇村群众直接受益，群众对产业发展的满意度较高。</w:t>
      </w:r>
    </w:p>
    <w:p>
      <w:pPr>
        <w:pStyle w:val="5"/>
        <w:pageBreakBefore w:val="0"/>
        <w:kinsoku/>
        <w:wordWrap/>
        <w:overflowPunct/>
        <w:topLinePunct w:val="0"/>
        <w:autoSpaceDE/>
        <w:autoSpaceDN/>
        <w:bidi w:val="0"/>
        <w:spacing w:line="360" w:lineRule="auto"/>
        <w:rPr>
          <w:rFonts w:hint="eastAsia"/>
          <w:color w:val="auto"/>
          <w:highlight w:val="none"/>
        </w:rPr>
      </w:pPr>
      <w:bookmarkStart w:id="18" w:name="_Toc30852"/>
      <w:r>
        <w:rPr>
          <w:rFonts w:hint="eastAsia"/>
          <w:color w:val="auto"/>
          <w:highlight w:val="none"/>
        </w:rPr>
        <w:t>（二）专项资金使用绩效</w:t>
      </w:r>
      <w:bookmarkEnd w:id="18"/>
    </w:p>
    <w:p>
      <w:pPr>
        <w:pStyle w:val="6"/>
        <w:pageBreakBefore w:val="0"/>
        <w:kinsoku/>
        <w:wordWrap/>
        <w:overflowPunct/>
        <w:topLinePunct w:val="0"/>
        <w:autoSpaceDE/>
        <w:autoSpaceDN/>
        <w:bidi w:val="0"/>
        <w:spacing w:line="360" w:lineRule="auto"/>
        <w:rPr>
          <w:rFonts w:hint="eastAsia"/>
          <w:color w:val="auto"/>
          <w:highlight w:val="none"/>
        </w:rPr>
      </w:pPr>
      <w:r>
        <w:rPr>
          <w:rFonts w:hint="eastAsia"/>
          <w:color w:val="auto"/>
          <w:highlight w:val="none"/>
        </w:rPr>
        <w:t>1.专项资金支出情况。</w:t>
      </w:r>
    </w:p>
    <w:p>
      <w:pPr>
        <w:pageBreakBefore w:val="0"/>
        <w:kinsoku/>
        <w:wordWrap/>
        <w:overflowPunct/>
        <w:topLinePunct w:val="0"/>
        <w:autoSpaceDE/>
        <w:autoSpaceDN/>
        <w:bidi w:val="0"/>
        <w:snapToGrid w:val="0"/>
        <w:spacing w:beforeLines="0" w:afterLines="0" w:line="36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截至2021年12月31日，专项资金到位数450000万元，支出数252425万元，占预算资金的56.09%。支出率较低的原因</w:t>
      </w:r>
      <w:r>
        <w:rPr>
          <w:rFonts w:hint="eastAsia" w:ascii="仿宋_GB2312" w:eastAsia="仿宋_GB2312"/>
          <w:color w:val="auto"/>
          <w:sz w:val="32"/>
          <w:szCs w:val="32"/>
          <w:highlight w:val="none"/>
          <w:lang w:eastAsia="zh-CN"/>
        </w:rPr>
        <w:t>：</w:t>
      </w:r>
      <w:r>
        <w:rPr>
          <w:rFonts w:hint="eastAsia" w:ascii="仿宋_GB2312" w:eastAsia="仿宋_GB2312"/>
          <w:b/>
          <w:bCs/>
          <w:color w:val="auto"/>
          <w:sz w:val="32"/>
          <w:szCs w:val="32"/>
          <w:highlight w:val="none"/>
        </w:rPr>
        <w:t>一是</w:t>
      </w:r>
      <w:r>
        <w:rPr>
          <w:rFonts w:hint="eastAsia" w:ascii="仿宋_GB2312" w:eastAsia="仿宋_GB2312"/>
          <w:color w:val="auto"/>
          <w:sz w:val="32"/>
          <w:szCs w:val="32"/>
          <w:highlight w:val="none"/>
        </w:rPr>
        <w:t>省委</w:t>
      </w:r>
      <w:r>
        <w:rPr>
          <w:rFonts w:hint="eastAsia" w:ascii="仿宋_GB2312" w:eastAsia="仿宋_GB2312"/>
          <w:color w:val="auto"/>
          <w:sz w:val="32"/>
          <w:szCs w:val="32"/>
          <w:highlight w:val="none"/>
          <w:lang w:eastAsia="zh-CN"/>
        </w:rPr>
        <w:t>办公厅</w:t>
      </w:r>
      <w:r>
        <w:rPr>
          <w:rFonts w:hint="eastAsia" w:ascii="仿宋_GB2312" w:eastAsia="仿宋_GB2312"/>
          <w:color w:val="auto"/>
          <w:sz w:val="32"/>
          <w:szCs w:val="32"/>
          <w:highlight w:val="none"/>
        </w:rPr>
        <w:t>省政府</w:t>
      </w:r>
      <w:r>
        <w:rPr>
          <w:rFonts w:hint="eastAsia" w:ascii="仿宋_GB2312" w:eastAsia="仿宋_GB2312"/>
          <w:color w:val="auto"/>
          <w:sz w:val="32"/>
          <w:szCs w:val="32"/>
          <w:highlight w:val="none"/>
          <w:lang w:eastAsia="zh-CN"/>
        </w:rPr>
        <w:t>办公厅</w:t>
      </w:r>
      <w:r>
        <w:rPr>
          <w:rFonts w:hint="eastAsia" w:ascii="仿宋_GB2312" w:eastAsia="仿宋_GB2312"/>
          <w:color w:val="auto"/>
          <w:sz w:val="32"/>
          <w:szCs w:val="32"/>
          <w:highlight w:val="none"/>
          <w:lang w:val="en-US" w:eastAsia="zh-CN"/>
        </w:rPr>
        <w:t>2021年</w:t>
      </w:r>
      <w:r>
        <w:rPr>
          <w:rFonts w:hint="eastAsia" w:ascii="仿宋_GB2312" w:eastAsia="仿宋_GB2312"/>
          <w:color w:val="auto"/>
          <w:sz w:val="32"/>
          <w:szCs w:val="32"/>
          <w:highlight w:val="none"/>
        </w:rPr>
        <w:t>6月份</w:t>
      </w:r>
      <w:r>
        <w:rPr>
          <w:rFonts w:hint="eastAsia" w:ascii="仿宋_GB2312" w:eastAsia="仿宋_GB2312"/>
          <w:color w:val="auto"/>
          <w:sz w:val="32"/>
          <w:szCs w:val="32"/>
          <w:highlight w:val="none"/>
          <w:lang w:eastAsia="zh-CN"/>
        </w:rPr>
        <w:t>印发《广东省乡村振兴驻镇帮镇扶村工作方案》</w:t>
      </w:r>
      <w:r>
        <w:rPr>
          <w:rFonts w:hint="eastAsia" w:ascii="仿宋_GB2312" w:eastAsia="仿宋_GB2312"/>
          <w:color w:val="auto"/>
          <w:sz w:val="32"/>
          <w:szCs w:val="32"/>
          <w:highlight w:val="none"/>
        </w:rPr>
        <w:t>启动驻镇帮镇扶村工作</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由于</w:t>
      </w:r>
      <w:r>
        <w:rPr>
          <w:rFonts w:hint="eastAsia" w:ascii="仿宋_GB2312" w:eastAsia="仿宋_GB2312"/>
          <w:color w:val="auto"/>
          <w:sz w:val="32"/>
          <w:szCs w:val="32"/>
          <w:highlight w:val="none"/>
          <w:lang w:eastAsia="zh-CN"/>
        </w:rPr>
        <w:t>这</w:t>
      </w:r>
      <w:r>
        <w:rPr>
          <w:rFonts w:hint="eastAsia" w:ascii="仿宋_GB2312" w:eastAsia="仿宋_GB2312"/>
          <w:color w:val="auto"/>
          <w:sz w:val="32"/>
          <w:szCs w:val="32"/>
          <w:highlight w:val="none"/>
        </w:rPr>
        <w:t>是一项全新的工作，</w:t>
      </w:r>
      <w:r>
        <w:rPr>
          <w:rFonts w:hint="eastAsia" w:ascii="仿宋_GB2312" w:eastAsia="仿宋_GB2312"/>
          <w:color w:val="auto"/>
          <w:sz w:val="32"/>
          <w:szCs w:val="32"/>
          <w:highlight w:val="none"/>
          <w:lang w:eastAsia="zh-CN"/>
        </w:rPr>
        <w:t>因此</w:t>
      </w:r>
      <w:r>
        <w:rPr>
          <w:rFonts w:hint="eastAsia" w:ascii="仿宋_GB2312" w:eastAsia="仿宋_GB2312"/>
          <w:color w:val="auto"/>
          <w:sz w:val="32"/>
          <w:szCs w:val="32"/>
          <w:highlight w:val="none"/>
        </w:rPr>
        <w:t>无法提前一年储备项目。</w:t>
      </w:r>
      <w:r>
        <w:rPr>
          <w:rFonts w:hint="eastAsia" w:ascii="仿宋_GB2312" w:eastAsia="仿宋_GB2312"/>
          <w:b/>
          <w:bCs/>
          <w:color w:val="auto"/>
          <w:sz w:val="32"/>
          <w:szCs w:val="32"/>
          <w:highlight w:val="none"/>
        </w:rPr>
        <w:t>二是</w:t>
      </w:r>
      <w:r>
        <w:rPr>
          <w:rFonts w:hint="eastAsia" w:ascii="仿宋_GB2312" w:eastAsia="仿宋_GB2312"/>
          <w:color w:val="auto"/>
          <w:sz w:val="32"/>
          <w:szCs w:val="32"/>
          <w:highlight w:val="none"/>
          <w:lang w:val="en-US" w:eastAsia="zh-CN"/>
        </w:rPr>
        <w:t>2021年8月省领导批准</w:t>
      </w:r>
      <w:r>
        <w:rPr>
          <w:rFonts w:hint="eastAsia" w:ascii="仿宋_GB2312" w:eastAsia="仿宋_GB2312"/>
          <w:color w:val="auto"/>
          <w:sz w:val="32"/>
          <w:szCs w:val="32"/>
          <w:highlight w:val="none"/>
        </w:rPr>
        <w:t>驻镇帮镇扶村</w:t>
      </w:r>
      <w:r>
        <w:rPr>
          <w:rFonts w:hint="eastAsia" w:ascii="仿宋_GB2312" w:eastAsia="仿宋_GB2312"/>
          <w:color w:val="auto"/>
          <w:sz w:val="32"/>
          <w:szCs w:val="32"/>
          <w:highlight w:val="none"/>
          <w:lang w:eastAsia="zh-CN"/>
        </w:rPr>
        <w:t>资金安排方案，省财政</w:t>
      </w:r>
      <w:r>
        <w:rPr>
          <w:rFonts w:hint="eastAsia" w:ascii="仿宋_GB2312" w:eastAsia="仿宋_GB2312"/>
          <w:color w:val="auto"/>
          <w:sz w:val="32"/>
          <w:szCs w:val="32"/>
          <w:highlight w:val="none"/>
          <w:lang w:val="en-US" w:eastAsia="zh-CN"/>
        </w:rPr>
        <w:t>2021年9月底下达专项</w:t>
      </w:r>
      <w:r>
        <w:rPr>
          <w:rFonts w:hint="eastAsia" w:ascii="仿宋_GB2312" w:eastAsia="仿宋_GB2312"/>
          <w:color w:val="auto"/>
          <w:sz w:val="32"/>
          <w:szCs w:val="32"/>
          <w:highlight w:val="none"/>
        </w:rPr>
        <w:t>资金，</w:t>
      </w:r>
      <w:r>
        <w:rPr>
          <w:rFonts w:hint="eastAsia" w:ascii="仿宋_GB2312" w:eastAsia="仿宋_GB2312"/>
          <w:color w:val="auto"/>
          <w:sz w:val="32"/>
          <w:szCs w:val="32"/>
          <w:highlight w:val="none"/>
          <w:lang w:eastAsia="zh-CN"/>
        </w:rPr>
        <w:t>当年度项目实施时间只有</w:t>
      </w:r>
      <w:r>
        <w:rPr>
          <w:rFonts w:hint="eastAsia" w:ascii="仿宋_GB2312" w:eastAsia="仿宋_GB2312"/>
          <w:color w:val="auto"/>
          <w:sz w:val="32"/>
          <w:szCs w:val="32"/>
          <w:highlight w:val="none"/>
          <w:lang w:val="en-US" w:eastAsia="zh-CN"/>
        </w:rPr>
        <w:t>3个月，并且2021年下达的</w:t>
      </w:r>
      <w:r>
        <w:rPr>
          <w:rFonts w:hint="eastAsia" w:ascii="仿宋_GB2312" w:eastAsia="仿宋_GB2312"/>
          <w:color w:val="auto"/>
          <w:sz w:val="32"/>
          <w:szCs w:val="32"/>
          <w:highlight w:val="none"/>
        </w:rPr>
        <w:t>驻镇帮镇扶村</w:t>
      </w:r>
      <w:r>
        <w:rPr>
          <w:rFonts w:hint="eastAsia" w:ascii="仿宋_GB2312" w:eastAsia="仿宋_GB2312"/>
          <w:color w:val="auto"/>
          <w:sz w:val="32"/>
          <w:szCs w:val="32"/>
          <w:highlight w:val="none"/>
          <w:lang w:eastAsia="zh-CN"/>
        </w:rPr>
        <w:t>专项资金项目实施周期为</w:t>
      </w:r>
      <w:r>
        <w:rPr>
          <w:rFonts w:hint="eastAsia" w:ascii="仿宋_GB2312" w:eastAsia="仿宋_GB2312"/>
          <w:color w:val="auto"/>
          <w:sz w:val="32"/>
          <w:szCs w:val="32"/>
          <w:highlight w:val="none"/>
          <w:lang w:val="en-US" w:eastAsia="zh-CN"/>
        </w:rPr>
        <w:t>2022年12月底前完成，部分资金按计划需在2022年支出。</w:t>
      </w:r>
      <w:r>
        <w:rPr>
          <w:rFonts w:hint="eastAsia" w:ascii="仿宋_GB2312" w:hAnsi="Times New Roman" w:eastAsia="仿宋_GB2312" w:cs="Times New Roman"/>
          <w:color w:val="auto"/>
          <w:sz w:val="32"/>
          <w:szCs w:val="32"/>
          <w:highlight w:val="none"/>
          <w:lang w:val="en-US" w:eastAsia="zh-CN"/>
        </w:rPr>
        <w:t>各市支出情况见表2-2。</w:t>
      </w:r>
    </w:p>
    <w:p>
      <w:pPr>
        <w:pageBreakBefore w:val="0"/>
        <w:kinsoku/>
        <w:wordWrap/>
        <w:overflowPunct/>
        <w:topLinePunct w:val="0"/>
        <w:autoSpaceDE/>
        <w:autoSpaceDN/>
        <w:bidi w:val="0"/>
        <w:snapToGrid w:val="0"/>
        <w:spacing w:beforeLines="0" w:afterLines="0" w:line="360" w:lineRule="auto"/>
        <w:ind w:firstLine="642" w:firstLineChars="200"/>
        <w:rPr>
          <w:rFonts w:hint="eastAsia" w:ascii="仿宋_GB2312" w:hAnsi="Times New Roman" w:eastAsia="仿宋_GB2312" w:cs="Times New Roman"/>
          <w:b/>
          <w:bCs/>
          <w:color w:val="auto"/>
          <w:sz w:val="32"/>
          <w:szCs w:val="32"/>
          <w:highlight w:val="none"/>
        </w:rPr>
      </w:pPr>
      <w:r>
        <w:rPr>
          <w:rFonts w:hint="eastAsia" w:ascii="仿宋_GB2312" w:hAnsi="Times New Roman" w:eastAsia="仿宋_GB2312" w:cs="Times New Roman"/>
          <w:b/>
          <w:bCs/>
          <w:color w:val="auto"/>
          <w:sz w:val="32"/>
          <w:szCs w:val="32"/>
          <w:highlight w:val="none"/>
        </w:rPr>
        <w:t>2.专项资金完成绩效目标情况。</w:t>
      </w:r>
    </w:p>
    <w:p>
      <w:pPr>
        <w:pageBreakBefore w:val="0"/>
        <w:kinsoku/>
        <w:wordWrap/>
        <w:overflowPunct/>
        <w:topLinePunct w:val="0"/>
        <w:autoSpaceDE/>
        <w:autoSpaceDN/>
        <w:bidi w:val="0"/>
        <w:snapToGrid w:val="0"/>
        <w:spacing w:line="360" w:lineRule="auto"/>
        <w:ind w:firstLine="640" w:firstLineChars="200"/>
        <w:rPr>
          <w:rFonts w:hint="default" w:ascii="仿宋_GB2312" w:eastAsia="仿宋_GB2312"/>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eastAsia="zh-CN"/>
        </w:rPr>
        <w:t>总体上，专项资金基本完成了绩效目标。</w:t>
      </w:r>
      <w:r>
        <w:rPr>
          <w:rFonts w:hint="eastAsia" w:ascii="仿宋_GB2312" w:eastAsia="仿宋_GB2312"/>
          <w:b/>
          <w:bCs/>
          <w:color w:val="auto"/>
          <w:sz w:val="32"/>
          <w:szCs w:val="32"/>
          <w:highlight w:val="none"/>
        </w:rPr>
        <w:t>一是</w:t>
      </w:r>
      <w:r>
        <w:rPr>
          <w:rFonts w:hint="eastAsia" w:ascii="仿宋_GB2312" w:eastAsia="仿宋_GB2312"/>
          <w:color w:val="auto"/>
          <w:sz w:val="32"/>
          <w:szCs w:val="32"/>
          <w:highlight w:val="none"/>
        </w:rPr>
        <w:t>进一步巩固拓展</w:t>
      </w:r>
      <w:r>
        <w:rPr>
          <w:rFonts w:hint="eastAsia" w:ascii="仿宋_GB2312" w:eastAsia="仿宋_GB2312"/>
          <w:color w:val="auto"/>
          <w:sz w:val="32"/>
          <w:szCs w:val="32"/>
          <w:highlight w:val="none"/>
          <w:lang w:eastAsia="zh-CN"/>
        </w:rPr>
        <w:t>了</w:t>
      </w:r>
      <w:r>
        <w:rPr>
          <w:rFonts w:hint="eastAsia" w:ascii="仿宋_GB2312" w:eastAsia="仿宋_GB2312"/>
          <w:color w:val="auto"/>
          <w:sz w:val="32"/>
          <w:szCs w:val="32"/>
          <w:highlight w:val="none"/>
        </w:rPr>
        <w:t>全省脱贫攻坚成果；</w:t>
      </w:r>
      <w:r>
        <w:rPr>
          <w:rFonts w:hint="eastAsia" w:ascii="仿宋_GB2312" w:eastAsia="仿宋_GB2312"/>
          <w:b/>
          <w:bCs/>
          <w:color w:val="auto"/>
          <w:sz w:val="32"/>
          <w:szCs w:val="32"/>
          <w:highlight w:val="none"/>
        </w:rPr>
        <w:t>二是</w:t>
      </w:r>
      <w:r>
        <w:rPr>
          <w:rFonts w:hint="eastAsia" w:ascii="仿宋_GB2312" w:eastAsia="仿宋_GB2312"/>
          <w:color w:val="auto"/>
          <w:sz w:val="32"/>
          <w:szCs w:val="32"/>
          <w:highlight w:val="none"/>
        </w:rPr>
        <w:t>进一步巩固</w:t>
      </w:r>
      <w:r>
        <w:rPr>
          <w:rFonts w:hint="eastAsia" w:ascii="仿宋_GB2312" w:eastAsia="仿宋_GB2312"/>
          <w:color w:val="auto"/>
          <w:sz w:val="32"/>
          <w:szCs w:val="32"/>
          <w:highlight w:val="none"/>
          <w:lang w:eastAsia="zh-CN"/>
        </w:rPr>
        <w:t>了</w:t>
      </w:r>
      <w:r>
        <w:rPr>
          <w:rFonts w:hint="eastAsia" w:ascii="仿宋_GB2312" w:eastAsia="仿宋_GB2312"/>
          <w:color w:val="auto"/>
          <w:sz w:val="32"/>
          <w:szCs w:val="32"/>
          <w:highlight w:val="none"/>
        </w:rPr>
        <w:t>全省人居环境整治成果；</w:t>
      </w:r>
      <w:r>
        <w:rPr>
          <w:rFonts w:hint="eastAsia" w:ascii="仿宋_GB2312" w:eastAsia="仿宋_GB2312"/>
          <w:b/>
          <w:bCs/>
          <w:color w:val="auto"/>
          <w:sz w:val="32"/>
          <w:szCs w:val="32"/>
          <w:highlight w:val="none"/>
        </w:rPr>
        <w:t>三是</w:t>
      </w:r>
      <w:r>
        <w:rPr>
          <w:rFonts w:hint="eastAsia" w:ascii="仿宋_GB2312" w:eastAsia="仿宋_GB2312"/>
          <w:color w:val="auto"/>
          <w:sz w:val="32"/>
          <w:szCs w:val="32"/>
          <w:highlight w:val="none"/>
        </w:rPr>
        <w:t>进一步巩固</w:t>
      </w:r>
      <w:r>
        <w:rPr>
          <w:rFonts w:hint="eastAsia" w:ascii="仿宋_GB2312" w:eastAsia="仿宋_GB2312"/>
          <w:color w:val="auto"/>
          <w:sz w:val="32"/>
          <w:szCs w:val="32"/>
          <w:highlight w:val="none"/>
          <w:lang w:eastAsia="zh-CN"/>
        </w:rPr>
        <w:t>了</w:t>
      </w:r>
      <w:r>
        <w:rPr>
          <w:rFonts w:hint="eastAsia" w:ascii="仿宋_GB2312" w:eastAsia="仿宋_GB2312"/>
          <w:color w:val="auto"/>
          <w:sz w:val="32"/>
          <w:szCs w:val="32"/>
          <w:highlight w:val="none"/>
        </w:rPr>
        <w:t>全省产业发展成果。</w:t>
      </w:r>
      <w:r>
        <w:rPr>
          <w:rFonts w:hint="eastAsia" w:ascii="仿宋_GB2312" w:eastAsia="仿宋_GB2312"/>
          <w:color w:val="auto"/>
          <w:sz w:val="32"/>
          <w:szCs w:val="32"/>
          <w:highlight w:val="none"/>
          <w:lang w:eastAsia="zh-CN"/>
        </w:rPr>
        <w:t>绩效指标完成情况见表</w:t>
      </w:r>
      <w:r>
        <w:rPr>
          <w:rFonts w:hint="eastAsia" w:ascii="仿宋_GB2312" w:eastAsia="仿宋_GB2312"/>
          <w:color w:val="auto"/>
          <w:sz w:val="32"/>
          <w:szCs w:val="32"/>
          <w:highlight w:val="none"/>
          <w:lang w:val="en-US" w:eastAsia="zh-CN"/>
        </w:rPr>
        <w:t>2-3。</w:t>
      </w:r>
    </w:p>
    <w:tbl>
      <w:tblPr>
        <w:tblStyle w:val="11"/>
        <w:tblW w:w="86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1224"/>
        <w:gridCol w:w="1452"/>
        <w:gridCol w:w="2916"/>
        <w:gridCol w:w="1224"/>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8612" w:type="dxa"/>
            <w:gridSpan w:val="6"/>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表2-3 2021年专项资金绩效目标完成情况表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专项资金名称</w:t>
            </w:r>
          </w:p>
        </w:tc>
        <w:tc>
          <w:tcPr>
            <w:tcW w:w="6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省级乡村振兴驻镇帮镇扶村资金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总体绩效目标</w:t>
            </w:r>
          </w:p>
        </w:tc>
        <w:tc>
          <w:tcPr>
            <w:tcW w:w="6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脱贫攻坚成果进一步巩固拓展；人居环境整治成果进一步巩固；产业发展成果进一步巩固。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绩效指标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一级指标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二级指标</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三级指标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完成值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rPr>
                <w:rFonts w:hint="default" w:ascii="仿宋_GB2312" w:hAnsi="宋体" w:eastAsia="仿宋_GB2312" w:cs="仿宋_GB2312"/>
                <w:i w:val="0"/>
                <w:iCs w:val="0"/>
                <w:color w:val="auto"/>
                <w:sz w:val="24"/>
                <w:szCs w:val="24"/>
                <w:highlight w:val="none"/>
                <w:u w:val="none"/>
              </w:rPr>
            </w:pP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产出指标</w:t>
            </w:r>
          </w:p>
        </w:tc>
        <w:tc>
          <w:tcPr>
            <w:tcW w:w="1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数量指标</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编制乡村振兴驻镇帮镇扶村五年规划编制（个）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901</w:t>
            </w:r>
          </w:p>
        </w:tc>
      </w:tr>
      <w:tr>
        <w:tblPrEx>
          <w:shd w:val="clear" w:color="auto" w:fill="auto"/>
          <w:tblCellMar>
            <w:top w:w="0" w:type="dxa"/>
            <w:left w:w="108" w:type="dxa"/>
            <w:bottom w:w="0" w:type="dxa"/>
            <w:right w:w="108" w:type="dxa"/>
          </w:tblCellMar>
        </w:tblPrEx>
        <w:trPr>
          <w:trHeight w:val="936"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rPr>
                <w:rFonts w:hint="default" w:ascii="仿宋_GB2312" w:hAnsi="宋体" w:eastAsia="仿宋_GB2312" w:cs="仿宋_GB2312"/>
                <w:i w:val="0"/>
                <w:iCs w:val="0"/>
                <w:color w:val="auto"/>
                <w:sz w:val="24"/>
                <w:szCs w:val="24"/>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rPr>
                <w:rFonts w:hint="default" w:ascii="仿宋_GB2312" w:hAnsi="宋体" w:eastAsia="仿宋_GB2312" w:cs="仿宋_GB2312"/>
                <w:i w:val="0"/>
                <w:iCs w:val="0"/>
                <w:color w:val="auto"/>
                <w:sz w:val="24"/>
                <w:szCs w:val="24"/>
                <w:highlight w:val="none"/>
                <w:u w:val="none"/>
              </w:rPr>
            </w:pPr>
          </w:p>
        </w:tc>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rPr>
                <w:rFonts w:hint="default" w:ascii="仿宋_GB2312" w:hAnsi="宋体" w:eastAsia="仿宋_GB2312" w:cs="仿宋_GB2312"/>
                <w:i w:val="0"/>
                <w:iCs w:val="0"/>
                <w:color w:val="auto"/>
                <w:sz w:val="24"/>
                <w:szCs w:val="24"/>
                <w:highlight w:val="none"/>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每镇培育发展提升1个以上带动100户农户的特色产业（个）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rPr>
                <w:rFonts w:hint="default" w:ascii="仿宋_GB2312" w:hAnsi="宋体" w:eastAsia="仿宋_GB2312" w:cs="仿宋_GB2312"/>
                <w:i w:val="0"/>
                <w:iCs w:val="0"/>
                <w:color w:val="auto"/>
                <w:sz w:val="24"/>
                <w:szCs w:val="24"/>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rPr>
                <w:rFonts w:hint="default" w:ascii="仿宋_GB2312" w:hAnsi="宋体" w:eastAsia="仿宋_GB2312" w:cs="仿宋_GB2312"/>
                <w:i w:val="0"/>
                <w:iCs w:val="0"/>
                <w:color w:val="auto"/>
                <w:sz w:val="24"/>
                <w:szCs w:val="24"/>
                <w:highlight w:val="none"/>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质量指标</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守好不发生规模性返贫底线（%）</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rPr>
                <w:rFonts w:hint="default" w:ascii="仿宋_GB2312" w:hAnsi="宋体" w:eastAsia="仿宋_GB2312" w:cs="仿宋_GB2312"/>
                <w:i w:val="0"/>
                <w:iCs w:val="0"/>
                <w:color w:val="auto"/>
                <w:sz w:val="24"/>
                <w:szCs w:val="24"/>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rPr>
                <w:rFonts w:hint="default" w:ascii="仿宋_GB2312" w:hAnsi="宋体" w:eastAsia="仿宋_GB2312" w:cs="仿宋_GB2312"/>
                <w:i w:val="0"/>
                <w:iCs w:val="0"/>
                <w:color w:val="auto"/>
                <w:sz w:val="24"/>
                <w:szCs w:val="24"/>
                <w:highlight w:val="none"/>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时效指标</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项目完成时效</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2022年12月底前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rPr>
                <w:rFonts w:hint="default" w:ascii="仿宋_GB2312" w:hAnsi="宋体" w:eastAsia="仿宋_GB2312" w:cs="仿宋_GB2312"/>
                <w:i w:val="0"/>
                <w:iCs w:val="0"/>
                <w:color w:val="auto"/>
                <w:sz w:val="24"/>
                <w:szCs w:val="24"/>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rPr>
                <w:rFonts w:hint="default" w:ascii="仿宋_GB2312" w:hAnsi="宋体" w:eastAsia="仿宋_GB2312" w:cs="仿宋_GB2312"/>
                <w:i w:val="0"/>
                <w:iCs w:val="0"/>
                <w:color w:val="auto"/>
                <w:sz w:val="24"/>
                <w:szCs w:val="24"/>
                <w:highlight w:val="none"/>
                <w:u w:val="none"/>
              </w:rPr>
            </w:pPr>
          </w:p>
        </w:tc>
        <w:tc>
          <w:tcPr>
            <w:tcW w:w="1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成本指标</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每镇制定完善镇域乡村振兴规划财政资金投入（万元）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rPr>
                <w:rFonts w:hint="default" w:ascii="仿宋_GB2312" w:hAnsi="宋体" w:eastAsia="仿宋_GB2312" w:cs="仿宋_GB2312"/>
                <w:i w:val="0"/>
                <w:iCs w:val="0"/>
                <w:color w:val="auto"/>
                <w:sz w:val="24"/>
                <w:szCs w:val="24"/>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rPr>
                <w:rFonts w:hint="default" w:ascii="仿宋_GB2312" w:hAnsi="宋体" w:eastAsia="仿宋_GB2312" w:cs="仿宋_GB2312"/>
                <w:i w:val="0"/>
                <w:iCs w:val="0"/>
                <w:color w:val="auto"/>
                <w:sz w:val="24"/>
                <w:szCs w:val="24"/>
                <w:highlight w:val="none"/>
                <w:u w:val="none"/>
              </w:rPr>
            </w:pPr>
          </w:p>
        </w:tc>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rPr>
                <w:rFonts w:hint="default" w:ascii="仿宋_GB2312" w:hAnsi="宋体" w:eastAsia="仿宋_GB2312" w:cs="仿宋_GB2312"/>
                <w:i w:val="0"/>
                <w:iCs w:val="0"/>
                <w:color w:val="auto"/>
                <w:sz w:val="24"/>
                <w:szCs w:val="24"/>
                <w:highlight w:val="none"/>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每镇培育发展提升带动100户农户的特色产业财政资金投入（万元）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rPr>
                <w:rFonts w:hint="default" w:ascii="仿宋_GB2312" w:hAnsi="宋体" w:eastAsia="仿宋_GB2312" w:cs="仿宋_GB2312"/>
                <w:i w:val="0"/>
                <w:iCs w:val="0"/>
                <w:color w:val="auto"/>
                <w:sz w:val="24"/>
                <w:szCs w:val="24"/>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rPr>
                <w:rFonts w:hint="default" w:ascii="仿宋_GB2312" w:hAnsi="宋体" w:eastAsia="仿宋_GB2312" w:cs="仿宋_GB2312"/>
                <w:i w:val="0"/>
                <w:iCs w:val="0"/>
                <w:color w:val="auto"/>
                <w:sz w:val="24"/>
                <w:szCs w:val="24"/>
                <w:highlight w:val="none"/>
                <w:u w:val="none"/>
              </w:rPr>
            </w:pPr>
          </w:p>
        </w:tc>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rPr>
                <w:rFonts w:hint="default" w:ascii="仿宋_GB2312" w:hAnsi="宋体" w:eastAsia="仿宋_GB2312" w:cs="仿宋_GB2312"/>
                <w:i w:val="0"/>
                <w:iCs w:val="0"/>
                <w:color w:val="auto"/>
                <w:sz w:val="24"/>
                <w:szCs w:val="24"/>
                <w:highlight w:val="none"/>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每镇县域内扶贫项目资产后续管理财政资金投入（万元）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rPr>
                <w:rFonts w:hint="default" w:ascii="仿宋_GB2312" w:hAnsi="宋体" w:eastAsia="仿宋_GB2312" w:cs="仿宋_GB2312"/>
                <w:i w:val="0"/>
                <w:iCs w:val="0"/>
                <w:color w:val="auto"/>
                <w:sz w:val="24"/>
                <w:szCs w:val="24"/>
                <w:highlight w:val="none"/>
                <w:u w:val="none"/>
              </w:rPr>
            </w:pP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效益指标</w:t>
            </w:r>
          </w:p>
        </w:tc>
        <w:tc>
          <w:tcPr>
            <w:tcW w:w="1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经济效益</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当地集体经济发展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rPr>
                <w:rFonts w:hint="default" w:ascii="仿宋_GB2312" w:hAnsi="宋体" w:eastAsia="仿宋_GB2312" w:cs="仿宋_GB2312"/>
                <w:i w:val="0"/>
                <w:iCs w:val="0"/>
                <w:color w:val="auto"/>
                <w:sz w:val="24"/>
                <w:szCs w:val="24"/>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rPr>
                <w:rFonts w:hint="default" w:ascii="仿宋_GB2312" w:hAnsi="宋体" w:eastAsia="仿宋_GB2312" w:cs="仿宋_GB2312"/>
                <w:i w:val="0"/>
                <w:iCs w:val="0"/>
                <w:color w:val="auto"/>
                <w:sz w:val="24"/>
                <w:szCs w:val="24"/>
                <w:highlight w:val="none"/>
                <w:u w:val="none"/>
              </w:rPr>
            </w:pPr>
          </w:p>
        </w:tc>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rPr>
                <w:rFonts w:hint="default" w:ascii="仿宋_GB2312" w:hAnsi="宋体" w:eastAsia="仿宋_GB2312" w:cs="仿宋_GB2312"/>
                <w:i w:val="0"/>
                <w:iCs w:val="0"/>
                <w:color w:val="auto"/>
                <w:sz w:val="24"/>
                <w:szCs w:val="24"/>
                <w:highlight w:val="none"/>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当地群众收入</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rPr>
                <w:rFonts w:hint="default" w:ascii="仿宋_GB2312" w:hAnsi="宋体" w:eastAsia="仿宋_GB2312" w:cs="仿宋_GB2312"/>
                <w:i w:val="0"/>
                <w:iCs w:val="0"/>
                <w:color w:val="auto"/>
                <w:sz w:val="24"/>
                <w:szCs w:val="24"/>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rPr>
                <w:rFonts w:hint="default" w:ascii="仿宋_GB2312" w:hAnsi="宋体" w:eastAsia="仿宋_GB2312" w:cs="仿宋_GB2312"/>
                <w:i w:val="0"/>
                <w:iCs w:val="0"/>
                <w:color w:val="auto"/>
                <w:sz w:val="24"/>
                <w:szCs w:val="24"/>
                <w:highlight w:val="none"/>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服务对象满意度指标</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群众对产业发展的满意度（%）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基本满意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6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说明：“项目完成时效”2021年12月底前已100%完成项目进度。</w:t>
            </w:r>
          </w:p>
        </w:tc>
      </w:tr>
    </w:tbl>
    <w:p>
      <w:pPr>
        <w:pageBreakBefore w:val="0"/>
        <w:kinsoku/>
        <w:wordWrap/>
        <w:overflowPunct/>
        <w:topLinePunct w:val="0"/>
        <w:autoSpaceDE/>
        <w:autoSpaceDN/>
        <w:bidi w:val="0"/>
        <w:snapToGrid w:val="0"/>
        <w:spacing w:beforeLines="0" w:afterLines="0" w:line="360" w:lineRule="auto"/>
        <w:ind w:firstLine="420" w:firstLineChars="200"/>
        <w:rPr>
          <w:rFonts w:hint="eastAsia"/>
          <w:color w:val="auto"/>
          <w:highlight w:val="none"/>
          <w:lang w:eastAsia="zh-CN"/>
        </w:rPr>
      </w:pPr>
    </w:p>
    <w:p>
      <w:pPr>
        <w:pStyle w:val="6"/>
        <w:pageBreakBefore w:val="0"/>
        <w:kinsoku/>
        <w:wordWrap/>
        <w:overflowPunct/>
        <w:topLinePunct w:val="0"/>
        <w:autoSpaceDE/>
        <w:autoSpaceDN/>
        <w:bidi w:val="0"/>
        <w:spacing w:line="360" w:lineRule="auto"/>
        <w:rPr>
          <w:rFonts w:hint="eastAsia"/>
          <w:color w:val="auto"/>
          <w:highlight w:val="none"/>
        </w:rPr>
      </w:pPr>
      <w:r>
        <w:rPr>
          <w:rFonts w:hint="eastAsia"/>
          <w:color w:val="auto"/>
          <w:highlight w:val="none"/>
        </w:rPr>
        <w:t>3.专项资金分用途使用绩效。</w:t>
      </w:r>
    </w:p>
    <w:p>
      <w:pPr>
        <w:pageBreakBefore w:val="0"/>
        <w:kinsoku/>
        <w:wordWrap/>
        <w:overflowPunct/>
        <w:topLinePunct w:val="0"/>
        <w:autoSpaceDE/>
        <w:autoSpaceDN/>
        <w:bidi w:val="0"/>
        <w:snapToGrid w:val="0"/>
        <w:spacing w:beforeLines="0" w:afterLines="0" w:line="360" w:lineRule="auto"/>
        <w:ind w:firstLine="642" w:firstLineChars="200"/>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rPr>
        <w:t>一是</w:t>
      </w:r>
      <w:r>
        <w:rPr>
          <w:rFonts w:hint="eastAsia" w:ascii="仿宋_GB2312" w:eastAsia="仿宋_GB2312"/>
          <w:color w:val="auto"/>
          <w:sz w:val="32"/>
          <w:szCs w:val="32"/>
          <w:highlight w:val="none"/>
        </w:rPr>
        <w:t>助力建立了多元资金投入机制。根据《广东省乡村振兴驻镇帮镇扶村工作方案》，对粤东粤西粤北地区901个乡镇，由省市县按6：3：1比例安排每个乡镇每年2000万元财政资金帮扶，截止</w:t>
      </w:r>
      <w:r>
        <w:rPr>
          <w:rFonts w:hint="eastAsia" w:ascii="仿宋_GB2312" w:eastAsia="仿宋_GB2312"/>
          <w:color w:val="auto"/>
          <w:sz w:val="32"/>
          <w:szCs w:val="32"/>
          <w:highlight w:val="none"/>
          <w:lang w:val="en-US" w:eastAsia="zh-CN"/>
        </w:rPr>
        <w:t>2021</w:t>
      </w:r>
      <w:r>
        <w:rPr>
          <w:rFonts w:hint="eastAsia" w:ascii="仿宋_GB2312" w:eastAsia="仿宋_GB2312"/>
          <w:color w:val="auto"/>
          <w:sz w:val="32"/>
          <w:szCs w:val="32"/>
          <w:highlight w:val="none"/>
        </w:rPr>
        <w:t>年12月底，省级财政已</w:t>
      </w:r>
      <w:r>
        <w:rPr>
          <w:rFonts w:hint="eastAsia" w:ascii="仿宋_GB2312" w:eastAsia="仿宋_GB2312"/>
          <w:color w:val="auto"/>
          <w:sz w:val="32"/>
          <w:szCs w:val="32"/>
          <w:highlight w:val="none"/>
          <w:lang w:eastAsia="zh-CN"/>
        </w:rPr>
        <w:t>下达</w:t>
      </w:r>
      <w:r>
        <w:rPr>
          <w:rFonts w:hint="eastAsia" w:ascii="仿宋_GB2312" w:eastAsia="仿宋_GB2312"/>
          <w:color w:val="auto"/>
          <w:sz w:val="32"/>
          <w:szCs w:val="32"/>
          <w:highlight w:val="none"/>
        </w:rPr>
        <w:t>专项资金14</w:t>
      </w:r>
      <w:r>
        <w:rPr>
          <w:rFonts w:hint="eastAsia" w:ascii="仿宋_GB2312" w:eastAsia="仿宋_GB2312"/>
          <w:color w:val="auto"/>
          <w:sz w:val="32"/>
          <w:szCs w:val="32"/>
          <w:highlight w:val="none"/>
          <w:lang w:eastAsia="zh-CN"/>
        </w:rPr>
        <w:t>4</w:t>
      </w:r>
      <w:r>
        <w:rPr>
          <w:rFonts w:hint="eastAsia" w:ascii="仿宋_GB2312" w:eastAsia="仿宋_GB2312"/>
          <w:color w:val="auto"/>
          <w:sz w:val="32"/>
          <w:szCs w:val="32"/>
          <w:highlight w:val="none"/>
        </w:rPr>
        <w:t>亿元</w:t>
      </w:r>
      <w:r>
        <w:rPr>
          <w:rFonts w:hint="eastAsia" w:ascii="仿宋_GB2312" w:eastAsia="仿宋_GB2312"/>
          <w:color w:val="auto"/>
          <w:sz w:val="32"/>
          <w:szCs w:val="32"/>
          <w:highlight w:val="none"/>
          <w:lang w:eastAsia="zh-CN"/>
        </w:rPr>
        <w:t>（其中：</w:t>
      </w:r>
      <w:r>
        <w:rPr>
          <w:rFonts w:hint="eastAsia" w:ascii="仿宋_GB2312" w:eastAsia="仿宋_GB2312"/>
          <w:color w:val="auto"/>
          <w:sz w:val="32"/>
          <w:szCs w:val="32"/>
          <w:highlight w:val="none"/>
          <w:lang w:val="en-US" w:eastAsia="zh-CN"/>
        </w:rPr>
        <w:t>2021年预算资金45亿元，2021年11月提前下达2022年预算资金99亿元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，2021年珠三角6市承担的54.06亿元（平均每个乡镇600万元）也按要求于</w:t>
      </w:r>
      <w:r>
        <w:rPr>
          <w:rFonts w:hint="eastAsia" w:ascii="仿宋_GB2312" w:eastAsia="仿宋_GB2312"/>
          <w:color w:val="auto"/>
          <w:sz w:val="32"/>
          <w:szCs w:val="32"/>
          <w:highlight w:val="none"/>
          <w:lang w:val="en-US" w:eastAsia="zh-CN"/>
        </w:rPr>
        <w:t>2021</w:t>
      </w:r>
      <w:r>
        <w:rPr>
          <w:rFonts w:hint="eastAsia" w:ascii="仿宋_GB2312" w:eastAsia="仿宋_GB2312"/>
          <w:color w:val="auto"/>
          <w:sz w:val="32"/>
          <w:szCs w:val="32"/>
          <w:highlight w:val="none"/>
        </w:rPr>
        <w:t>年11月底拨付到帮扶市县。在落实省统筹配套资金基础上，珠海市每年安排对口阳江、茂名市产业就业消费帮扶专项资金3000万元，通过奖补、扶持等方式，着力推动产业帮扶、就业帮扶、消费帮扶等重点工作。江门从市、县土地出让总收入中拿出5%以上支持乡村振兴。财政资金</w:t>
      </w:r>
      <w:r>
        <w:rPr>
          <w:rFonts w:hint="eastAsia" w:ascii="仿宋_GB2312" w:eastAsia="仿宋_GB2312"/>
          <w:color w:val="auto"/>
          <w:sz w:val="32"/>
          <w:szCs w:val="32"/>
          <w:highlight w:val="none"/>
          <w:lang w:eastAsia="zh-CN"/>
        </w:rPr>
        <w:t>带</w:t>
      </w:r>
      <w:r>
        <w:rPr>
          <w:rFonts w:hint="eastAsia" w:ascii="仿宋_GB2312" w:eastAsia="仿宋_GB2312"/>
          <w:color w:val="auto"/>
          <w:sz w:val="32"/>
          <w:szCs w:val="32"/>
          <w:highlight w:val="none"/>
        </w:rPr>
        <w:t>动</w:t>
      </w:r>
      <w:r>
        <w:rPr>
          <w:rFonts w:hint="eastAsia" w:ascii="仿宋_GB2312" w:eastAsia="仿宋_GB2312"/>
          <w:color w:val="auto"/>
          <w:sz w:val="32"/>
          <w:szCs w:val="32"/>
          <w:highlight w:val="none"/>
          <w:lang w:eastAsia="zh-CN"/>
        </w:rPr>
        <w:t>较</w:t>
      </w:r>
      <w:r>
        <w:rPr>
          <w:rFonts w:hint="eastAsia" w:ascii="仿宋_GB2312" w:eastAsia="仿宋_GB2312"/>
          <w:color w:val="auto"/>
          <w:sz w:val="32"/>
          <w:szCs w:val="32"/>
          <w:highlight w:val="none"/>
        </w:rPr>
        <w:t>多社会资金</w:t>
      </w:r>
      <w:r>
        <w:rPr>
          <w:rFonts w:hint="eastAsia" w:ascii="仿宋_GB2312" w:eastAsia="仿宋_GB2312"/>
          <w:color w:val="auto"/>
          <w:sz w:val="32"/>
          <w:szCs w:val="32"/>
          <w:highlight w:val="none"/>
          <w:lang w:eastAsia="zh-CN"/>
        </w:rPr>
        <w:t>投入帮扶项目。</w:t>
      </w:r>
      <w:r>
        <w:rPr>
          <w:rFonts w:hint="eastAsia" w:ascii="仿宋_GB2312" w:eastAsia="仿宋_GB2312"/>
          <w:color w:val="auto"/>
          <w:sz w:val="32"/>
          <w:szCs w:val="32"/>
          <w:highlight w:val="none"/>
        </w:rPr>
        <w:t>全省帮扶单位广泛发动社会力量共捐款捐物合计6.8</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亿多元、自筹4.9</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亿多元支持乡村振兴。</w:t>
      </w:r>
    </w:p>
    <w:p>
      <w:pPr>
        <w:pageBreakBefore w:val="0"/>
        <w:kinsoku/>
        <w:wordWrap/>
        <w:overflowPunct/>
        <w:topLinePunct w:val="0"/>
        <w:autoSpaceDE/>
        <w:autoSpaceDN/>
        <w:bidi w:val="0"/>
        <w:snapToGrid w:val="0"/>
        <w:spacing w:beforeLines="0" w:afterLines="0" w:line="360" w:lineRule="auto"/>
        <w:ind w:firstLine="642" w:firstLineChars="200"/>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rPr>
        <w:t>二是</w:t>
      </w:r>
      <w:r>
        <w:rPr>
          <w:rFonts w:hint="eastAsia" w:ascii="仿宋_GB2312" w:eastAsia="仿宋_GB2312"/>
          <w:color w:val="auto"/>
          <w:sz w:val="32"/>
          <w:szCs w:val="32"/>
          <w:highlight w:val="none"/>
        </w:rPr>
        <w:t>在为民办实事解难题中参与乡村治理。在科学系统用好财政帮扶资金使用的同时，</w:t>
      </w:r>
      <w:r>
        <w:rPr>
          <w:rFonts w:hint="eastAsia" w:ascii="仿宋_GB2312" w:eastAsia="仿宋_GB2312"/>
          <w:color w:val="auto"/>
          <w:sz w:val="32"/>
          <w:szCs w:val="32"/>
          <w:highlight w:val="none"/>
          <w:lang w:eastAsia="zh-CN"/>
        </w:rPr>
        <w:t>各</w:t>
      </w:r>
      <w:r>
        <w:rPr>
          <w:rFonts w:hint="eastAsia" w:ascii="仿宋_GB2312" w:hAnsi="Times New Roman" w:eastAsia="仿宋_GB2312" w:cs="Times New Roman"/>
          <w:color w:val="auto"/>
          <w:sz w:val="32"/>
          <w:szCs w:val="32"/>
          <w:highlight w:val="none"/>
          <w:lang w:val="en-US" w:eastAsia="zh-CN"/>
        </w:rPr>
        <w:t>驻镇帮镇扶村</w:t>
      </w:r>
      <w:r>
        <w:rPr>
          <w:rFonts w:hint="eastAsia" w:ascii="仿宋_GB2312" w:eastAsia="仿宋_GB2312"/>
          <w:color w:val="auto"/>
          <w:sz w:val="32"/>
          <w:szCs w:val="32"/>
          <w:highlight w:val="none"/>
        </w:rPr>
        <w:t>工作队主动作为，积极协调派出单位投入更多资源帮镇扶村，帮助群众解决一个又一个“急难愁盼”问题，乡村治理焕发新气象。</w:t>
      </w:r>
      <w:r>
        <w:rPr>
          <w:rFonts w:hint="eastAsia" w:ascii="仿宋_GB2312" w:eastAsia="仿宋_GB2312"/>
          <w:color w:val="auto"/>
          <w:sz w:val="32"/>
          <w:szCs w:val="32"/>
          <w:highlight w:val="none"/>
          <w:lang w:eastAsia="zh-CN"/>
        </w:rPr>
        <w:t>如，</w:t>
      </w:r>
      <w:r>
        <w:rPr>
          <w:rFonts w:hint="eastAsia" w:ascii="仿宋_GB2312" w:eastAsia="仿宋_GB2312"/>
          <w:color w:val="auto"/>
          <w:sz w:val="32"/>
          <w:szCs w:val="32"/>
          <w:highlight w:val="none"/>
        </w:rPr>
        <w:t>陆丰市甲东镇岱头村</w:t>
      </w:r>
      <w:r>
        <w:rPr>
          <w:rFonts w:hint="eastAsia" w:ascii="仿宋_GB2312" w:eastAsia="仿宋_GB2312"/>
          <w:color w:val="auto"/>
          <w:sz w:val="32"/>
          <w:szCs w:val="32"/>
          <w:highlight w:val="none"/>
          <w:lang w:eastAsia="zh-CN"/>
        </w:rPr>
        <w:t>过去</w:t>
      </w:r>
      <w:r>
        <w:rPr>
          <w:rFonts w:hint="eastAsia" w:ascii="仿宋_GB2312" w:eastAsia="仿宋_GB2312"/>
          <w:color w:val="auto"/>
          <w:sz w:val="32"/>
          <w:szCs w:val="32"/>
          <w:highlight w:val="none"/>
        </w:rPr>
        <w:t>每逢雨天道路便变得泥泞不堪，深圳市驻甲东镇工作队了解到岱头村群众的呼声以后，联系爱心企业大成基金，捐赠90多万资金修建岱头村中巷道路。珠海市驻化州市中垌镇工作队联系爱心企业出资20万捐建便民爱心之桥，解决了困扰陂口村2千多中小学生与村民多年的出行难题。省地质局牵头国机智能定点帮扶饶平县大埕镇，进驻不到1个月就为上东村顺利打出第一口水井，解决了上东村1万多村民农田种植灌溉难题。广州市驻雷州市附城镇工作队在走访中了解到塘边水库经常发生群众争水抢水情况，第一时间协调筹资40万元“治水”资金，清理了2200米淤塞的渠道等工程，从根本上解决当地稻田多年“望天等雨”之困。“驻镇帮扶工作队这次修建的，不仅仅是一座水利工程，还是一座民心工程”，雷州市附城镇党委书记胡堪省的一番话代表了全镇干群的共同心声。</w:t>
      </w:r>
    </w:p>
    <w:p>
      <w:pPr>
        <w:pageBreakBefore w:val="0"/>
        <w:kinsoku/>
        <w:wordWrap/>
        <w:overflowPunct/>
        <w:topLinePunct w:val="0"/>
        <w:autoSpaceDE/>
        <w:autoSpaceDN/>
        <w:bidi w:val="0"/>
        <w:snapToGrid w:val="0"/>
        <w:spacing w:beforeLines="0" w:afterLines="0" w:line="360" w:lineRule="auto"/>
        <w:ind w:firstLine="642" w:firstLineChars="200"/>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rPr>
        <w:t>三是</w:t>
      </w:r>
      <w:r>
        <w:rPr>
          <w:rFonts w:hint="eastAsia" w:ascii="仿宋_GB2312" w:eastAsia="仿宋_GB2312"/>
          <w:color w:val="auto"/>
          <w:sz w:val="32"/>
          <w:szCs w:val="32"/>
          <w:highlight w:val="none"/>
        </w:rPr>
        <w:t>在增加公共服务供给中缩小城乡差距。驻镇帮镇扶村工作盯紧把乡镇建成服务农民的区域中心这一目标，推进乡村治理“百镇千村”示范创建活动，优化配置教育、医疗、文化等公共资源，提升镇域公共服务水平，既推进乡村治理体系和治理能力现代化，又进一步缩小城乡差距。</w:t>
      </w:r>
      <w:r>
        <w:rPr>
          <w:rFonts w:hint="eastAsia" w:ascii="仿宋_GB2312" w:eastAsia="仿宋_GB2312"/>
          <w:color w:val="auto"/>
          <w:sz w:val="32"/>
          <w:szCs w:val="32"/>
          <w:highlight w:val="none"/>
          <w:lang w:eastAsia="zh-CN"/>
        </w:rPr>
        <w:t>如，</w:t>
      </w:r>
      <w:r>
        <w:rPr>
          <w:rFonts w:hint="eastAsia" w:ascii="仿宋_GB2312" w:eastAsia="仿宋_GB2312"/>
          <w:color w:val="auto"/>
          <w:sz w:val="32"/>
          <w:szCs w:val="32"/>
          <w:highlight w:val="none"/>
        </w:rPr>
        <w:t>深圳市推进13所医院、13所学校与汕头市13个乡镇医院、13个学校结对子，提升帮扶地区乡村医疗和教育水平。中山市推动优质教育学校与潮州</w:t>
      </w:r>
      <w:r>
        <w:rPr>
          <w:rFonts w:hint="eastAsia" w:ascii="仿宋_GB2312" w:eastAsia="仿宋_GB2312"/>
          <w:color w:val="auto"/>
          <w:sz w:val="32"/>
          <w:szCs w:val="32"/>
          <w:highlight w:val="none"/>
          <w:lang w:eastAsia="zh-CN"/>
        </w:rPr>
        <w:t>市</w:t>
      </w:r>
      <w:r>
        <w:rPr>
          <w:rFonts w:hint="eastAsia" w:ascii="仿宋_GB2312" w:eastAsia="仿宋_GB2312"/>
          <w:color w:val="auto"/>
          <w:sz w:val="32"/>
          <w:szCs w:val="32"/>
          <w:highlight w:val="none"/>
        </w:rPr>
        <w:t>学校对接合作，选派15名老师到潮州市山区学校参加长期支教工作，近20位名教师到潮州</w:t>
      </w:r>
      <w:r>
        <w:rPr>
          <w:rFonts w:hint="eastAsia" w:ascii="仿宋_GB2312" w:eastAsia="仿宋_GB2312"/>
          <w:color w:val="auto"/>
          <w:sz w:val="32"/>
          <w:szCs w:val="32"/>
          <w:highlight w:val="none"/>
          <w:lang w:eastAsia="zh-CN"/>
        </w:rPr>
        <w:t>市</w:t>
      </w:r>
      <w:r>
        <w:rPr>
          <w:rFonts w:hint="eastAsia" w:ascii="仿宋_GB2312" w:eastAsia="仿宋_GB2312"/>
          <w:color w:val="auto"/>
          <w:sz w:val="32"/>
          <w:szCs w:val="32"/>
          <w:highlight w:val="none"/>
        </w:rPr>
        <w:t>讲学，支持潮州</w:t>
      </w:r>
      <w:r>
        <w:rPr>
          <w:rFonts w:hint="eastAsia" w:ascii="仿宋_GB2312" w:eastAsia="仿宋_GB2312"/>
          <w:color w:val="auto"/>
          <w:sz w:val="32"/>
          <w:szCs w:val="32"/>
          <w:highlight w:val="none"/>
          <w:lang w:eastAsia="zh-CN"/>
        </w:rPr>
        <w:t>市</w:t>
      </w:r>
      <w:r>
        <w:rPr>
          <w:rFonts w:hint="eastAsia" w:ascii="仿宋_GB2312" w:eastAsia="仿宋_GB2312"/>
          <w:color w:val="auto"/>
          <w:sz w:val="32"/>
          <w:szCs w:val="32"/>
          <w:highlight w:val="none"/>
        </w:rPr>
        <w:t>扩大优质教育资源，带动学校提升教学水平和教育质量。两市已有12家医院形成“一对一”结对帮扶合作关系，互派医务人员学习交流29人次。佛山市帮扶云浮、肇庆市53个镇已实现学校结对13对，医院结对14对，定期开展交流学习活动，帮助对口帮扶乡镇教师、医生提升专业技术水平；同时启动“法治护航、所队共建”活动，发动佛山10家律师所党支部结对10个驻镇工作队，为群众提供专业法律服务。</w:t>
      </w:r>
    </w:p>
    <w:p>
      <w:pPr>
        <w:pageBreakBefore w:val="0"/>
        <w:kinsoku/>
        <w:wordWrap/>
        <w:overflowPunct/>
        <w:topLinePunct w:val="0"/>
        <w:autoSpaceDE/>
        <w:autoSpaceDN/>
        <w:bidi w:val="0"/>
        <w:snapToGrid w:val="0"/>
        <w:spacing w:beforeLines="0" w:afterLines="0" w:line="360" w:lineRule="auto"/>
        <w:ind w:firstLine="642" w:firstLineChars="200"/>
        <w:rPr>
          <w:rFonts w:hint="eastAsia" w:ascii="楷体" w:hAnsi="楷体" w:eastAsia="楷体" w:cs="楷体"/>
          <w:b/>
          <w:bCs/>
          <w:color w:val="auto"/>
          <w:sz w:val="32"/>
          <w:szCs w:val="32"/>
          <w:highlight w:val="none"/>
        </w:rPr>
      </w:pPr>
      <w:r>
        <w:rPr>
          <w:rFonts w:hint="eastAsia" w:ascii="仿宋_GB2312" w:eastAsia="仿宋_GB2312"/>
          <w:b/>
          <w:bCs/>
          <w:color w:val="auto"/>
          <w:sz w:val="32"/>
          <w:szCs w:val="32"/>
          <w:highlight w:val="none"/>
        </w:rPr>
        <w:t>四是</w:t>
      </w:r>
      <w:r>
        <w:rPr>
          <w:rFonts w:hint="eastAsia" w:ascii="仿宋_GB2312" w:eastAsia="仿宋_GB2312"/>
          <w:color w:val="auto"/>
          <w:sz w:val="32"/>
          <w:szCs w:val="32"/>
          <w:highlight w:val="none"/>
        </w:rPr>
        <w:t>在补齐基础设施短板中促进区域融合。驻镇帮镇扶村既是破解城乡二元结构的重要一招，也是实现区域协调发展的“粘合剂”。</w:t>
      </w:r>
      <w:r>
        <w:rPr>
          <w:rFonts w:hint="eastAsia" w:ascii="仿宋_GB2312" w:eastAsia="仿宋_GB2312"/>
          <w:color w:val="auto"/>
          <w:sz w:val="32"/>
          <w:szCs w:val="32"/>
          <w:highlight w:val="none"/>
          <w:lang w:eastAsia="zh-CN"/>
        </w:rPr>
        <w:t>如，</w:t>
      </w:r>
      <w:r>
        <w:rPr>
          <w:rFonts w:hint="eastAsia" w:ascii="仿宋_GB2312" w:eastAsia="仿宋_GB2312"/>
          <w:color w:val="auto"/>
          <w:sz w:val="32"/>
          <w:szCs w:val="32"/>
          <w:highlight w:val="none"/>
        </w:rPr>
        <w:t>广湛帮扶指挥部进驻以后，组建集中供水提质提标工作专班，制定工作方案，形成了广湛指挥部主导，广州水投集团、湛江市水务局主抓，广州帮扶湛江各乡镇共同参与、协调联动的工作机制，专门解决农村集中供水问题。珠海市驻电白区林头镇工作队主动参与各村（社区）“厕所革命”、生活垃圾收集、生活污水处理、禽畜圈养、杂物乱放等五方面内容的重点整治，涉及大小项目20多项。惠州市驻博罗县泰美镇帮扶工作队在帮扶规划上突出交通引领，争取推动惠龙高速泰美服务区增设出入口，缓解当地农产品基地的交通集散压力。省委统战部和省交通集团组团发挥资源优势，省交通集团承建的京灶大桥项目增加投入1.2</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亿元，在关埠镇增建高速公路出入口，解决了道路交通滞后问题；同时争取建设单位省路桥公司支持，将京灶大桥中交一局项目经理部设立在空弃的原溪西欧村小学，每年为村集体增加26万元租金收入。帮扶单位发挥组团优势，精准发力补齐基础设施短板，确保帮扶成效长期可持续。</w:t>
      </w:r>
    </w:p>
    <w:p>
      <w:pPr>
        <w:pStyle w:val="5"/>
        <w:pageBreakBefore w:val="0"/>
        <w:kinsoku/>
        <w:wordWrap/>
        <w:overflowPunct/>
        <w:topLinePunct w:val="0"/>
        <w:autoSpaceDE/>
        <w:autoSpaceDN/>
        <w:bidi w:val="0"/>
        <w:spacing w:line="360" w:lineRule="auto"/>
        <w:rPr>
          <w:rFonts w:hint="eastAsia"/>
          <w:color w:val="auto"/>
          <w:highlight w:val="none"/>
        </w:rPr>
      </w:pPr>
      <w:bookmarkStart w:id="19" w:name="_Toc3121"/>
      <w:r>
        <w:rPr>
          <w:rFonts w:hint="eastAsia"/>
          <w:color w:val="auto"/>
          <w:highlight w:val="none"/>
        </w:rPr>
        <w:t>（三）专项资金使用绩效存在的问题</w:t>
      </w:r>
      <w:bookmarkEnd w:id="19"/>
    </w:p>
    <w:p>
      <w:pPr>
        <w:pageBreakBefore w:val="0"/>
        <w:kinsoku/>
        <w:wordWrap/>
        <w:overflowPunct/>
        <w:topLinePunct w:val="0"/>
        <w:autoSpaceDE/>
        <w:autoSpaceDN/>
        <w:bidi w:val="0"/>
        <w:snapToGrid w:val="0"/>
        <w:spacing w:beforeLines="0" w:afterLines="0" w:line="360" w:lineRule="auto"/>
        <w:ind w:firstLine="640" w:firstLineChars="200"/>
        <w:rPr>
          <w:rFonts w:hint="eastAsia" w:ascii="黑体" w:eastAsia="黑体"/>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一是项目储备质量不高。二是项目实施和资金支出进度总体偏慢。</w:t>
      </w:r>
    </w:p>
    <w:p>
      <w:pPr>
        <w:pStyle w:val="4"/>
        <w:pageBreakBefore w:val="0"/>
        <w:kinsoku/>
        <w:wordWrap/>
        <w:overflowPunct/>
        <w:topLinePunct w:val="0"/>
        <w:autoSpaceDE/>
        <w:autoSpaceDN/>
        <w:bidi w:val="0"/>
        <w:spacing w:line="360" w:lineRule="auto"/>
        <w:rPr>
          <w:rFonts w:hint="eastAsia"/>
          <w:color w:val="auto"/>
          <w:highlight w:val="none"/>
        </w:rPr>
      </w:pPr>
      <w:bookmarkStart w:id="20" w:name="_Toc8960"/>
      <w:r>
        <w:rPr>
          <w:rFonts w:hint="eastAsia"/>
          <w:color w:val="auto"/>
          <w:highlight w:val="none"/>
        </w:rPr>
        <w:t>三、改进意见</w:t>
      </w:r>
      <w:bookmarkEnd w:id="20"/>
    </w:p>
    <w:p>
      <w:pPr>
        <w:pageBreakBefore w:val="0"/>
        <w:kinsoku/>
        <w:wordWrap/>
        <w:overflowPunct/>
        <w:topLinePunct w:val="0"/>
        <w:autoSpaceDE/>
        <w:autoSpaceDN/>
        <w:bidi w:val="0"/>
        <w:snapToGrid w:val="0"/>
        <w:spacing w:beforeLines="0" w:afterLines="0" w:line="360" w:lineRule="auto"/>
        <w:ind w:firstLine="640" w:firstLineChars="200"/>
        <w:rPr>
          <w:rFonts w:hint="eastAsia" w:ascii="仿宋_GB2312" w:eastAsia="仿宋_GB2312"/>
          <w:color w:val="auto"/>
          <w:sz w:val="32"/>
          <w:szCs w:val="32"/>
          <w:highlight w:val="none"/>
          <w:lang w:eastAsia="zh-CN"/>
        </w:rPr>
      </w:pPr>
      <w:bookmarkStart w:id="21" w:name="_Toc4139"/>
      <w:bookmarkStart w:id="22" w:name="_Toc7613"/>
      <w:bookmarkStart w:id="23" w:name="_Toc32131"/>
      <w:bookmarkStart w:id="24" w:name="_Toc25513"/>
      <w:bookmarkStart w:id="25" w:name="_Toc11327"/>
      <w:r>
        <w:rPr>
          <w:rFonts w:hint="eastAsia" w:ascii="仿宋_GB2312" w:eastAsia="仿宋_GB2312"/>
          <w:color w:val="auto"/>
          <w:sz w:val="32"/>
          <w:szCs w:val="32"/>
          <w:highlight w:val="none"/>
          <w:lang w:eastAsia="zh-CN"/>
        </w:rPr>
        <w:t>按照《广东省乡村振兴驻镇帮镇扶村工作方案》的要求，</w:t>
      </w:r>
      <w:r>
        <w:rPr>
          <w:rFonts w:hint="eastAsia" w:ascii="仿宋_GB2312" w:eastAsia="仿宋_GB2312"/>
          <w:color w:val="auto"/>
          <w:sz w:val="32"/>
          <w:szCs w:val="32"/>
          <w:highlight w:val="none"/>
        </w:rPr>
        <w:t>加强</w:t>
      </w:r>
      <w:r>
        <w:rPr>
          <w:rFonts w:hint="eastAsia" w:ascii="仿宋_GB2312" w:eastAsia="仿宋_GB2312"/>
          <w:color w:val="auto"/>
          <w:sz w:val="32"/>
          <w:szCs w:val="32"/>
          <w:highlight w:val="none"/>
          <w:lang w:eastAsia="zh-CN"/>
        </w:rPr>
        <w:t>监督考核，把驻镇帮镇扶村的目标任务落到实处。</w:t>
      </w:r>
    </w:p>
    <w:p>
      <w:pPr>
        <w:pageBreakBefore w:val="0"/>
        <w:kinsoku/>
        <w:wordWrap/>
        <w:overflowPunct/>
        <w:topLinePunct w:val="0"/>
        <w:autoSpaceDE/>
        <w:autoSpaceDN/>
        <w:bidi w:val="0"/>
        <w:snapToGrid w:val="0"/>
        <w:spacing w:beforeLines="0" w:afterLines="0" w:line="360" w:lineRule="auto"/>
        <w:ind w:firstLine="642" w:firstLineChars="200"/>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一是</w:t>
      </w:r>
      <w:r>
        <w:rPr>
          <w:rFonts w:hint="eastAsia" w:ascii="仿宋_GB2312" w:eastAsia="仿宋_GB2312"/>
          <w:color w:val="auto"/>
          <w:sz w:val="32"/>
          <w:szCs w:val="32"/>
          <w:highlight w:val="none"/>
        </w:rPr>
        <w:t>加强项目资金管理培训。分片区召开衔接资金使用管理现场推进会，</w:t>
      </w:r>
      <w:r>
        <w:rPr>
          <w:rFonts w:hint="eastAsia" w:ascii="仿宋_GB2312" w:eastAsia="仿宋_GB2312"/>
          <w:color w:val="auto"/>
          <w:sz w:val="32"/>
          <w:szCs w:val="32"/>
          <w:highlight w:val="none"/>
          <w:lang w:eastAsia="zh-CN"/>
        </w:rPr>
        <w:t>切实</w:t>
      </w:r>
      <w:r>
        <w:rPr>
          <w:rFonts w:hint="eastAsia" w:ascii="仿宋_GB2312" w:eastAsia="仿宋_GB2312"/>
          <w:color w:val="auto"/>
          <w:sz w:val="32"/>
          <w:szCs w:val="32"/>
          <w:highlight w:val="none"/>
        </w:rPr>
        <w:t>增强</w:t>
      </w:r>
      <w:r>
        <w:rPr>
          <w:rFonts w:hint="eastAsia" w:ascii="仿宋_GB2312" w:eastAsia="仿宋_GB2312"/>
          <w:color w:val="auto"/>
          <w:sz w:val="32"/>
          <w:szCs w:val="32"/>
          <w:highlight w:val="none"/>
          <w:lang w:eastAsia="zh-CN"/>
        </w:rPr>
        <w:t>有关单位和人员</w:t>
      </w:r>
      <w:r>
        <w:rPr>
          <w:rFonts w:hint="eastAsia" w:ascii="仿宋_GB2312" w:eastAsia="仿宋_GB2312"/>
          <w:color w:val="auto"/>
          <w:sz w:val="32"/>
          <w:szCs w:val="32"/>
          <w:highlight w:val="none"/>
        </w:rPr>
        <w:t>做好资金项目管理的责任感、紧迫感，同时总结推广各地的经验做法，提高乡村振兴系统干部抓资金使用和数据管理的业务工作水平。</w:t>
      </w:r>
    </w:p>
    <w:p>
      <w:pPr>
        <w:pageBreakBefore w:val="0"/>
        <w:kinsoku/>
        <w:wordWrap/>
        <w:overflowPunct/>
        <w:topLinePunct w:val="0"/>
        <w:autoSpaceDE/>
        <w:autoSpaceDN/>
        <w:bidi w:val="0"/>
        <w:snapToGrid w:val="0"/>
        <w:spacing w:beforeLines="0" w:afterLines="0" w:line="360" w:lineRule="auto"/>
        <w:ind w:firstLine="642" w:firstLineChars="200"/>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二是</w:t>
      </w:r>
      <w:r>
        <w:rPr>
          <w:rFonts w:hint="eastAsia" w:ascii="仿宋_GB2312" w:eastAsia="仿宋_GB2312"/>
          <w:color w:val="auto"/>
          <w:sz w:val="32"/>
          <w:szCs w:val="32"/>
          <w:highlight w:val="none"/>
        </w:rPr>
        <w:t>切实提高项目库建设质量。要求各地围绕中央和省委、省政府的重大决策部署，按照中央衔接推进乡村振兴补助资金和驻镇帮镇扶村资金使用管理要求，结合自身实际，按照项目库管理要求，提前谋划2023年项目储备，对于纳入年度实施计划的项目，组织编制项目实施方案，提前做好项目开工准备。</w:t>
      </w:r>
    </w:p>
    <w:p>
      <w:pPr>
        <w:pageBreakBefore w:val="0"/>
        <w:kinsoku/>
        <w:wordWrap/>
        <w:overflowPunct/>
        <w:topLinePunct w:val="0"/>
        <w:autoSpaceDE/>
        <w:autoSpaceDN/>
        <w:bidi w:val="0"/>
        <w:snapToGrid w:val="0"/>
        <w:spacing w:beforeLines="0" w:afterLines="0" w:line="360" w:lineRule="auto"/>
        <w:ind w:firstLine="642" w:firstLineChars="200"/>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三是</w:t>
      </w:r>
      <w:r>
        <w:rPr>
          <w:rFonts w:hint="eastAsia" w:ascii="仿宋_GB2312" w:eastAsia="仿宋_GB2312"/>
          <w:color w:val="auto"/>
          <w:sz w:val="32"/>
          <w:szCs w:val="32"/>
          <w:highlight w:val="none"/>
          <w:lang w:eastAsia="zh-CN"/>
        </w:rPr>
        <w:t>加强</w:t>
      </w:r>
      <w:r>
        <w:rPr>
          <w:rFonts w:hint="eastAsia" w:ascii="仿宋_GB2312" w:eastAsia="仿宋_GB2312"/>
          <w:color w:val="auto"/>
          <w:sz w:val="32"/>
          <w:szCs w:val="32"/>
          <w:highlight w:val="none"/>
          <w:lang w:val="en-US" w:eastAsia="zh-CN"/>
        </w:rPr>
        <w:t>预算绩效管理。</w:t>
      </w:r>
      <w:r>
        <w:rPr>
          <w:rFonts w:hint="eastAsia" w:ascii="仿宋_GB2312" w:hAnsi="仿宋_GB2312" w:eastAsia="仿宋_GB2312" w:cs="仿宋_GB2312"/>
          <w:color w:val="auto"/>
          <w:kern w:val="2"/>
          <w:sz w:val="32"/>
          <w:highlight w:val="none"/>
          <w:lang w:val="en-US" w:eastAsia="zh-CN"/>
        </w:rPr>
        <w:t>认真开展绩效运行监控，加强绩效评价，强化绩效结果应用。</w:t>
      </w:r>
      <w:r>
        <w:rPr>
          <w:rFonts w:hint="eastAsia" w:ascii="仿宋_GB2312" w:eastAsia="仿宋_GB2312"/>
          <w:color w:val="auto"/>
          <w:sz w:val="32"/>
          <w:szCs w:val="32"/>
          <w:highlight w:val="none"/>
          <w:lang w:eastAsia="zh-CN"/>
        </w:rPr>
        <w:t>做好</w:t>
      </w:r>
      <w:r>
        <w:rPr>
          <w:rFonts w:hint="eastAsia" w:ascii="仿宋_GB2312" w:eastAsia="仿宋_GB2312"/>
          <w:color w:val="auto"/>
          <w:sz w:val="32"/>
          <w:szCs w:val="32"/>
          <w:highlight w:val="none"/>
        </w:rPr>
        <w:t>资金支出进度督导</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分资金来源摸清全省各地资金到账、支出使用情况，针对部分地区项目前期工作滞后、报账不及时的情况，加大定期通报和现场督查力度，有关情况抄送属地市、县党委政府。适时提请厅组织对衔接资金开展一次专项</w:t>
      </w:r>
      <w:r>
        <w:rPr>
          <w:rFonts w:hint="eastAsia" w:ascii="仿宋_GB2312" w:eastAsia="仿宋_GB2312"/>
          <w:color w:val="auto"/>
          <w:sz w:val="32"/>
          <w:szCs w:val="32"/>
          <w:highlight w:val="none"/>
          <w:lang w:eastAsia="zh-CN"/>
        </w:rPr>
        <w:t>检查</w:t>
      </w:r>
      <w:r>
        <w:rPr>
          <w:rFonts w:hint="eastAsia" w:ascii="仿宋_GB2312" w:eastAsia="仿宋_GB2312"/>
          <w:color w:val="auto"/>
          <w:sz w:val="32"/>
          <w:szCs w:val="32"/>
          <w:highlight w:val="none"/>
        </w:rPr>
        <w:t>和督导，督促县级完成2021年省级驻镇帮镇扶村资金报账，有效提高2022年中央和省级资金支出进度</w:t>
      </w:r>
      <w:r>
        <w:rPr>
          <w:rFonts w:hint="eastAsia" w:ascii="仿宋_GB2312" w:eastAsia="仿宋_GB2312"/>
          <w:color w:val="auto"/>
          <w:sz w:val="32"/>
          <w:szCs w:val="32"/>
          <w:highlight w:val="none"/>
          <w:lang w:eastAsia="zh-CN"/>
        </w:rPr>
        <w:t>，</w:t>
      </w:r>
      <w:r>
        <w:rPr>
          <w:rFonts w:hint="eastAsia" w:ascii="仿宋_GB2312" w:hAnsi="仿宋_GB2312" w:eastAsia="仿宋_GB2312" w:cs="仿宋_GB2312"/>
          <w:color w:val="auto"/>
          <w:kern w:val="2"/>
          <w:sz w:val="32"/>
          <w:highlight w:val="none"/>
          <w:lang w:val="en-US" w:eastAsia="zh-CN"/>
        </w:rPr>
        <w:t>充分发挥专项资金使用效益。</w:t>
      </w:r>
    </w:p>
    <w:bookmarkEnd w:id="21"/>
    <w:bookmarkEnd w:id="22"/>
    <w:bookmarkEnd w:id="23"/>
    <w:bookmarkEnd w:id="24"/>
    <w:bookmarkEnd w:id="25"/>
    <w:p>
      <w:pPr>
        <w:pageBreakBefore w:val="0"/>
        <w:kinsoku/>
        <w:wordWrap/>
        <w:overflowPunct/>
        <w:topLinePunct w:val="0"/>
        <w:autoSpaceDE/>
        <w:autoSpaceDN/>
        <w:bidi w:val="0"/>
        <w:spacing w:line="360" w:lineRule="auto"/>
        <w:rPr>
          <w:color w:val="auto"/>
          <w:highlight w:val="none"/>
        </w:rPr>
      </w:pPr>
    </w:p>
    <w:sectPr>
      <w:footerReference r:id="rId4" w:type="default"/>
      <w:pgSz w:w="11906" w:h="16838"/>
      <w:pgMar w:top="2041" w:right="1417" w:bottom="1417"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仿宋GB2312">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8"/>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ZjkwN2I2YTU1Y2M3YjVmOTlkMzhhNGFhMThkMDQifQ=="/>
  </w:docVars>
  <w:rsids>
    <w:rsidRoot w:val="00000000"/>
    <w:rsid w:val="008C264A"/>
    <w:rsid w:val="020C66EF"/>
    <w:rsid w:val="02A11CBF"/>
    <w:rsid w:val="02EF1E8A"/>
    <w:rsid w:val="032D6367"/>
    <w:rsid w:val="03BB6012"/>
    <w:rsid w:val="042B59E9"/>
    <w:rsid w:val="044D11A5"/>
    <w:rsid w:val="04544CEF"/>
    <w:rsid w:val="048F51B7"/>
    <w:rsid w:val="04C613F4"/>
    <w:rsid w:val="04D53BBC"/>
    <w:rsid w:val="051B2AEC"/>
    <w:rsid w:val="05C81C24"/>
    <w:rsid w:val="05E732EC"/>
    <w:rsid w:val="06622973"/>
    <w:rsid w:val="06E75D88"/>
    <w:rsid w:val="07DE1FB1"/>
    <w:rsid w:val="08297BEC"/>
    <w:rsid w:val="08831880"/>
    <w:rsid w:val="088B33DE"/>
    <w:rsid w:val="08962DA7"/>
    <w:rsid w:val="09172490"/>
    <w:rsid w:val="09937C7F"/>
    <w:rsid w:val="09D678FF"/>
    <w:rsid w:val="09E86A18"/>
    <w:rsid w:val="0A3208AE"/>
    <w:rsid w:val="0AFE09E5"/>
    <w:rsid w:val="0B5036E2"/>
    <w:rsid w:val="0B945966"/>
    <w:rsid w:val="0BD00BC9"/>
    <w:rsid w:val="0BE64FF5"/>
    <w:rsid w:val="0CD8050E"/>
    <w:rsid w:val="0D256E03"/>
    <w:rsid w:val="0D477200"/>
    <w:rsid w:val="0D6671EC"/>
    <w:rsid w:val="0D937CC4"/>
    <w:rsid w:val="0E0367E9"/>
    <w:rsid w:val="0E173933"/>
    <w:rsid w:val="0E2A0014"/>
    <w:rsid w:val="0E71409B"/>
    <w:rsid w:val="0FAB20B5"/>
    <w:rsid w:val="0FD04DF1"/>
    <w:rsid w:val="0FE82521"/>
    <w:rsid w:val="104B4675"/>
    <w:rsid w:val="109D6377"/>
    <w:rsid w:val="10C761F4"/>
    <w:rsid w:val="10F81881"/>
    <w:rsid w:val="1135053C"/>
    <w:rsid w:val="114C04A7"/>
    <w:rsid w:val="118F6557"/>
    <w:rsid w:val="126A75BA"/>
    <w:rsid w:val="128D0D77"/>
    <w:rsid w:val="130628D8"/>
    <w:rsid w:val="14173FBC"/>
    <w:rsid w:val="14D7775C"/>
    <w:rsid w:val="14DB07DA"/>
    <w:rsid w:val="15206888"/>
    <w:rsid w:val="16233549"/>
    <w:rsid w:val="164F1792"/>
    <w:rsid w:val="169074B9"/>
    <w:rsid w:val="17281681"/>
    <w:rsid w:val="174D31CB"/>
    <w:rsid w:val="17782351"/>
    <w:rsid w:val="1783166B"/>
    <w:rsid w:val="1895132F"/>
    <w:rsid w:val="18EC7705"/>
    <w:rsid w:val="19095FA4"/>
    <w:rsid w:val="19615298"/>
    <w:rsid w:val="19E96649"/>
    <w:rsid w:val="1A374C5B"/>
    <w:rsid w:val="1AB85E15"/>
    <w:rsid w:val="1B303912"/>
    <w:rsid w:val="1BBB4F14"/>
    <w:rsid w:val="1BCA53CB"/>
    <w:rsid w:val="1C5D7A0C"/>
    <w:rsid w:val="1CFD541C"/>
    <w:rsid w:val="1E677D4F"/>
    <w:rsid w:val="1EBD33DA"/>
    <w:rsid w:val="1F3C635F"/>
    <w:rsid w:val="1FF97A4C"/>
    <w:rsid w:val="20813665"/>
    <w:rsid w:val="20E06210"/>
    <w:rsid w:val="20EF07AE"/>
    <w:rsid w:val="217D6D6A"/>
    <w:rsid w:val="21AA0945"/>
    <w:rsid w:val="21E67417"/>
    <w:rsid w:val="22237002"/>
    <w:rsid w:val="22364B70"/>
    <w:rsid w:val="223E208E"/>
    <w:rsid w:val="228935A9"/>
    <w:rsid w:val="22C4555E"/>
    <w:rsid w:val="22DB6F48"/>
    <w:rsid w:val="23CD77E3"/>
    <w:rsid w:val="23F073B8"/>
    <w:rsid w:val="24081449"/>
    <w:rsid w:val="24165E61"/>
    <w:rsid w:val="243454F7"/>
    <w:rsid w:val="245E07C6"/>
    <w:rsid w:val="24BD5D19"/>
    <w:rsid w:val="24F36CDD"/>
    <w:rsid w:val="251B66B7"/>
    <w:rsid w:val="25707940"/>
    <w:rsid w:val="258B264F"/>
    <w:rsid w:val="25B508B9"/>
    <w:rsid w:val="26A22EAC"/>
    <w:rsid w:val="26C74A16"/>
    <w:rsid w:val="27127645"/>
    <w:rsid w:val="27BA3F65"/>
    <w:rsid w:val="27ED1A69"/>
    <w:rsid w:val="27F75C4F"/>
    <w:rsid w:val="280451E0"/>
    <w:rsid w:val="281B7F9F"/>
    <w:rsid w:val="286C4174"/>
    <w:rsid w:val="28CA767D"/>
    <w:rsid w:val="28FB65E3"/>
    <w:rsid w:val="29235D45"/>
    <w:rsid w:val="29274546"/>
    <w:rsid w:val="29B669AE"/>
    <w:rsid w:val="2A065EF9"/>
    <w:rsid w:val="2A2A5B69"/>
    <w:rsid w:val="2A5D2D2D"/>
    <w:rsid w:val="2A9A0864"/>
    <w:rsid w:val="2AA111AF"/>
    <w:rsid w:val="2B195597"/>
    <w:rsid w:val="2B1B2F6C"/>
    <w:rsid w:val="2C49731F"/>
    <w:rsid w:val="2CF63C91"/>
    <w:rsid w:val="2D80355B"/>
    <w:rsid w:val="2DD15E41"/>
    <w:rsid w:val="2E2B44BD"/>
    <w:rsid w:val="2E426A62"/>
    <w:rsid w:val="2E4D7B61"/>
    <w:rsid w:val="2E7C6418"/>
    <w:rsid w:val="2E94351D"/>
    <w:rsid w:val="2EC618DE"/>
    <w:rsid w:val="2ED639D4"/>
    <w:rsid w:val="2EEE392F"/>
    <w:rsid w:val="2FB951DF"/>
    <w:rsid w:val="2FFF0249"/>
    <w:rsid w:val="30433DEC"/>
    <w:rsid w:val="30C85694"/>
    <w:rsid w:val="312F17D5"/>
    <w:rsid w:val="31F50A89"/>
    <w:rsid w:val="32270449"/>
    <w:rsid w:val="32AB2D4C"/>
    <w:rsid w:val="32AC4DF2"/>
    <w:rsid w:val="33900270"/>
    <w:rsid w:val="33CF1BC0"/>
    <w:rsid w:val="33DC5263"/>
    <w:rsid w:val="33F151B2"/>
    <w:rsid w:val="345C0152"/>
    <w:rsid w:val="37A278A0"/>
    <w:rsid w:val="37EB3CC7"/>
    <w:rsid w:val="3801173C"/>
    <w:rsid w:val="39177788"/>
    <w:rsid w:val="393873DF"/>
    <w:rsid w:val="398B39B3"/>
    <w:rsid w:val="39D96878"/>
    <w:rsid w:val="3A3D1D69"/>
    <w:rsid w:val="3B7B609B"/>
    <w:rsid w:val="3BA777F2"/>
    <w:rsid w:val="3BB23479"/>
    <w:rsid w:val="3CBB3294"/>
    <w:rsid w:val="3DCF8A4F"/>
    <w:rsid w:val="3E067AAC"/>
    <w:rsid w:val="3E86299B"/>
    <w:rsid w:val="3EDFCD2F"/>
    <w:rsid w:val="3F8D1B6A"/>
    <w:rsid w:val="40767039"/>
    <w:rsid w:val="410302D3"/>
    <w:rsid w:val="416B1868"/>
    <w:rsid w:val="417D62D7"/>
    <w:rsid w:val="42872BE1"/>
    <w:rsid w:val="43761230"/>
    <w:rsid w:val="440E76BA"/>
    <w:rsid w:val="44242E9C"/>
    <w:rsid w:val="44415A5D"/>
    <w:rsid w:val="449C7814"/>
    <w:rsid w:val="45EC2463"/>
    <w:rsid w:val="460674A4"/>
    <w:rsid w:val="46645A9A"/>
    <w:rsid w:val="46BD6067"/>
    <w:rsid w:val="4710022F"/>
    <w:rsid w:val="479003E6"/>
    <w:rsid w:val="47D1175C"/>
    <w:rsid w:val="47FC7EB6"/>
    <w:rsid w:val="48455675"/>
    <w:rsid w:val="48577E94"/>
    <w:rsid w:val="487D6BBD"/>
    <w:rsid w:val="48B23798"/>
    <w:rsid w:val="48D02716"/>
    <w:rsid w:val="48ED29D1"/>
    <w:rsid w:val="49243639"/>
    <w:rsid w:val="49CD3D0B"/>
    <w:rsid w:val="4A5029D5"/>
    <w:rsid w:val="4AA23500"/>
    <w:rsid w:val="4AE253FD"/>
    <w:rsid w:val="4BDD5D96"/>
    <w:rsid w:val="4C325F10"/>
    <w:rsid w:val="4C6805AD"/>
    <w:rsid w:val="4C9B3AA9"/>
    <w:rsid w:val="4D7E4DDD"/>
    <w:rsid w:val="4DC721B0"/>
    <w:rsid w:val="4EFD740D"/>
    <w:rsid w:val="4F5A34F2"/>
    <w:rsid w:val="4F68509F"/>
    <w:rsid w:val="4FA00DBE"/>
    <w:rsid w:val="50000E1B"/>
    <w:rsid w:val="507B445B"/>
    <w:rsid w:val="50C317BF"/>
    <w:rsid w:val="51283D83"/>
    <w:rsid w:val="51ED4DB3"/>
    <w:rsid w:val="520E3C4E"/>
    <w:rsid w:val="52DB2E5E"/>
    <w:rsid w:val="52E23701"/>
    <w:rsid w:val="52EE71BB"/>
    <w:rsid w:val="53986FA1"/>
    <w:rsid w:val="541E3938"/>
    <w:rsid w:val="5474294A"/>
    <w:rsid w:val="5495055E"/>
    <w:rsid w:val="54995CF2"/>
    <w:rsid w:val="54BB6AE8"/>
    <w:rsid w:val="54D73AF9"/>
    <w:rsid w:val="556E01EA"/>
    <w:rsid w:val="55E919F1"/>
    <w:rsid w:val="56446D80"/>
    <w:rsid w:val="567A0BDF"/>
    <w:rsid w:val="56F24C1A"/>
    <w:rsid w:val="57391AC1"/>
    <w:rsid w:val="57CC0FC7"/>
    <w:rsid w:val="581F1A3E"/>
    <w:rsid w:val="58FC2F6D"/>
    <w:rsid w:val="590B7074"/>
    <w:rsid w:val="595315B3"/>
    <w:rsid w:val="599D7038"/>
    <w:rsid w:val="59A64893"/>
    <w:rsid w:val="5B535126"/>
    <w:rsid w:val="5B7146E6"/>
    <w:rsid w:val="5B955B74"/>
    <w:rsid w:val="5BF74DD8"/>
    <w:rsid w:val="5D014763"/>
    <w:rsid w:val="5D20237B"/>
    <w:rsid w:val="5D2C0524"/>
    <w:rsid w:val="5D2D5BCC"/>
    <w:rsid w:val="5D9732BA"/>
    <w:rsid w:val="5E6E2FF5"/>
    <w:rsid w:val="5ED8184B"/>
    <w:rsid w:val="5EDB41E5"/>
    <w:rsid w:val="5EFF04E0"/>
    <w:rsid w:val="5F3005FC"/>
    <w:rsid w:val="5F89033C"/>
    <w:rsid w:val="602D3CDA"/>
    <w:rsid w:val="603F7A37"/>
    <w:rsid w:val="60ED368C"/>
    <w:rsid w:val="61422785"/>
    <w:rsid w:val="622D532A"/>
    <w:rsid w:val="634C53F0"/>
    <w:rsid w:val="639A01CB"/>
    <w:rsid w:val="64EF2635"/>
    <w:rsid w:val="655D147C"/>
    <w:rsid w:val="65953340"/>
    <w:rsid w:val="6643474C"/>
    <w:rsid w:val="668A4527"/>
    <w:rsid w:val="670852AB"/>
    <w:rsid w:val="671772F7"/>
    <w:rsid w:val="672F12A8"/>
    <w:rsid w:val="690031C6"/>
    <w:rsid w:val="69B343B3"/>
    <w:rsid w:val="6A180A24"/>
    <w:rsid w:val="6A4B66C3"/>
    <w:rsid w:val="6B272C8C"/>
    <w:rsid w:val="6B7F4ABD"/>
    <w:rsid w:val="6BD66460"/>
    <w:rsid w:val="6BEF27B6"/>
    <w:rsid w:val="6C654CFC"/>
    <w:rsid w:val="6D2B458A"/>
    <w:rsid w:val="6DD02C0B"/>
    <w:rsid w:val="6E894432"/>
    <w:rsid w:val="6E970129"/>
    <w:rsid w:val="6EE91D09"/>
    <w:rsid w:val="6F614293"/>
    <w:rsid w:val="6FCA2428"/>
    <w:rsid w:val="6FCD7CBB"/>
    <w:rsid w:val="70411BBE"/>
    <w:rsid w:val="705F6A24"/>
    <w:rsid w:val="706F03FE"/>
    <w:rsid w:val="70ED32CB"/>
    <w:rsid w:val="71163687"/>
    <w:rsid w:val="71297A32"/>
    <w:rsid w:val="7156438B"/>
    <w:rsid w:val="718408CB"/>
    <w:rsid w:val="71AD7C63"/>
    <w:rsid w:val="71CD20B4"/>
    <w:rsid w:val="72C60FDD"/>
    <w:rsid w:val="737C70D7"/>
    <w:rsid w:val="737F22CC"/>
    <w:rsid w:val="7389273A"/>
    <w:rsid w:val="74242E4A"/>
    <w:rsid w:val="744D3038"/>
    <w:rsid w:val="74E64218"/>
    <w:rsid w:val="759E7FEF"/>
    <w:rsid w:val="75EE63BE"/>
    <w:rsid w:val="763E0E8A"/>
    <w:rsid w:val="767E4D6C"/>
    <w:rsid w:val="76E23F0B"/>
    <w:rsid w:val="775F37AE"/>
    <w:rsid w:val="77627530"/>
    <w:rsid w:val="785D7A64"/>
    <w:rsid w:val="789540D1"/>
    <w:rsid w:val="78F47F26"/>
    <w:rsid w:val="78FD558E"/>
    <w:rsid w:val="791D12D2"/>
    <w:rsid w:val="792A5787"/>
    <w:rsid w:val="792C5912"/>
    <w:rsid w:val="79BB203E"/>
    <w:rsid w:val="79C8388C"/>
    <w:rsid w:val="7A3E76AA"/>
    <w:rsid w:val="7AC43A07"/>
    <w:rsid w:val="7AE73A40"/>
    <w:rsid w:val="7AFF17A7"/>
    <w:rsid w:val="7BAE260E"/>
    <w:rsid w:val="7D1D13BE"/>
    <w:rsid w:val="7D380E83"/>
    <w:rsid w:val="7D382AD7"/>
    <w:rsid w:val="7DEF520A"/>
    <w:rsid w:val="7E9D6EA6"/>
    <w:rsid w:val="7E9F4DC6"/>
    <w:rsid w:val="7ECA7434"/>
    <w:rsid w:val="7F2350C1"/>
    <w:rsid w:val="7F7F8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line="360" w:lineRule="auto"/>
      <w:ind w:firstLine="640" w:firstLineChars="200"/>
      <w:outlineLvl w:val="0"/>
    </w:pPr>
    <w:rPr>
      <w:rFonts w:ascii="Times New Roman" w:hAnsi="Times New Roman" w:eastAsia="黑体"/>
      <w:bCs/>
      <w:kern w:val="44"/>
      <w:sz w:val="32"/>
      <w:szCs w:val="44"/>
    </w:rPr>
  </w:style>
  <w:style w:type="paragraph" w:styleId="5">
    <w:name w:val="heading 2"/>
    <w:basedOn w:val="1"/>
    <w:next w:val="1"/>
    <w:unhideWhenUsed/>
    <w:qFormat/>
    <w:uiPriority w:val="0"/>
    <w:pPr>
      <w:keepNext/>
      <w:keepLines/>
      <w:spacing w:beforeLines="0" w:beforeAutospacing="0" w:afterLines="0" w:afterAutospacing="0" w:line="360" w:lineRule="auto"/>
      <w:ind w:firstLine="640" w:firstLineChars="200"/>
      <w:outlineLvl w:val="1"/>
    </w:pPr>
    <w:rPr>
      <w:rFonts w:ascii="Arial" w:hAnsi="Arial" w:eastAsia="楷体_GB2312"/>
      <w:b/>
      <w:sz w:val="32"/>
    </w:rPr>
  </w:style>
  <w:style w:type="paragraph" w:styleId="6">
    <w:name w:val="heading 3"/>
    <w:basedOn w:val="1"/>
    <w:next w:val="1"/>
    <w:link w:val="14"/>
    <w:unhideWhenUsed/>
    <w:qFormat/>
    <w:uiPriority w:val="0"/>
    <w:pPr>
      <w:keepNext/>
      <w:keepLines/>
      <w:spacing w:beforeLines="0" w:beforeAutospacing="0" w:afterLines="0" w:afterAutospacing="0" w:line="360" w:lineRule="auto"/>
      <w:ind w:firstLine="420" w:firstLineChars="200"/>
      <w:outlineLvl w:val="2"/>
    </w:pPr>
    <w:rPr>
      <w:rFonts w:ascii="仿宋GB2312" w:hAnsi="仿宋GB2312" w:eastAsia="仿宋_GB2312"/>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pacing w:after="120"/>
      <w:ind w:left="420" w:leftChars="200" w:firstLine="420" w:firstLineChars="200"/>
      <w:jc w:val="both"/>
    </w:pPr>
    <w:rPr>
      <w:rFonts w:ascii="Times New Roman" w:hAnsi="Times New Roman" w:eastAsia="宋体" w:cs="Times New Roman"/>
      <w:kern w:val="2"/>
      <w:sz w:val="30"/>
      <w:szCs w:val="22"/>
      <w:lang w:val="en-US" w:eastAsia="zh-CN" w:bidi="ar-SA"/>
    </w:rPr>
  </w:style>
  <w:style w:type="paragraph" w:styleId="3">
    <w:name w:val="Body Text Indent"/>
    <w:basedOn w:val="1"/>
    <w:qFormat/>
    <w:uiPriority w:val="0"/>
    <w:pPr>
      <w:widowControl w:val="0"/>
      <w:spacing w:after="120"/>
      <w:ind w:left="420" w:leftChars="200"/>
      <w:jc w:val="both"/>
    </w:pPr>
    <w:rPr>
      <w:rFonts w:ascii="Times New Roman" w:hAnsi="Times New Roman" w:eastAsia="宋体" w:cs="Times New Roman"/>
      <w:kern w:val="2"/>
      <w:sz w:val="30"/>
      <w:szCs w:val="22"/>
      <w:lang w:val="en-US" w:eastAsia="zh-CN" w:bidi="ar-SA"/>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unhideWhenUsed/>
    <w:qFormat/>
    <w:uiPriority w:val="39"/>
    <w:pPr>
      <w:spacing w:line="360" w:lineRule="auto"/>
      <w:ind w:left="420" w:leftChars="200"/>
    </w:pPr>
    <w:rPr>
      <w:rFonts w:ascii="Calibri" w:hAnsi="Calibri"/>
      <w:kern w:val="0"/>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3 Char"/>
    <w:link w:val="6"/>
    <w:qFormat/>
    <w:uiPriority w:val="0"/>
    <w:rPr>
      <w:rFonts w:ascii="仿宋GB2312" w:hAnsi="仿宋GB2312" w:eastAsia="仿宋_GB2312"/>
      <w:b/>
      <w:sz w:val="32"/>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9256</Words>
  <Characters>10218</Characters>
  <Lines>0</Lines>
  <Paragraphs>0</Paragraphs>
  <TotalTime>15</TotalTime>
  <ScaleCrop>false</ScaleCrop>
  <LinksUpToDate>false</LinksUpToDate>
  <CharactersWithSpaces>10274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2022-06-20T04:34:00Z</dcterms:created>
  <dc:creator>陶向红</dc:creator>
  <cp:lastModifiedBy>user</cp:lastModifiedBy>
  <dcterms:modified xsi:type="dcterms:W3CDTF">2022-08-03T09:39:16Z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A4902A4751E74F1DADDF8E1BA575E1D7</vt:lpwstr>
  </property>
</Properties>
</file>