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rPr>
          <w:rFonts w:hint="eastAsia" w:ascii="方正小标宋简体" w:hAnsi="方正小标宋简体" w:eastAsia="方正小标宋简体" w:cs="方正小标宋简体"/>
          <w:b w:val="0"/>
          <w:i w:val="0"/>
          <w:caps w:val="0"/>
          <w:color w:val="333333"/>
          <w:spacing w:val="0"/>
          <w:kern w:val="0"/>
          <w:sz w:val="44"/>
          <w:szCs w:val="44"/>
          <w:shd w:val="clear" w:fill="FFFFFF"/>
          <w:lang w:val="en-US" w:eastAsia="zh-CN" w:bidi="ar"/>
        </w:rPr>
      </w:pPr>
    </w:p>
    <w:p>
      <w:pPr>
        <w:rPr>
          <w:rFonts w:hint="eastAsia"/>
          <w:sz w:val="44"/>
          <w:szCs w:val="44"/>
          <w:lang w:val="en-US" w:eastAsia="zh-CN"/>
        </w:rPr>
      </w:pP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粤农规〔2018〕1号</w:t>
      </w:r>
    </w:p>
    <w:p>
      <w:pPr>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rPr>
          <w:rFonts w:hint="eastAsia" w:ascii="方正小标宋简体" w:hAnsi="方正小标宋简体" w:eastAsia="方正小标宋简体" w:cs="方正小标宋简体"/>
          <w:b w:val="0"/>
          <w:i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b w:val="0"/>
          <w:i w:val="0"/>
          <w:caps w:val="0"/>
          <w:color w:val="333333"/>
          <w:spacing w:val="0"/>
          <w:kern w:val="0"/>
          <w:sz w:val="44"/>
          <w:szCs w:val="44"/>
          <w:shd w:val="clear" w:fill="FFFFFF"/>
          <w:lang w:val="en-US" w:eastAsia="zh-CN" w:bidi="ar"/>
        </w:rPr>
        <w:t>关于印发《广东省农业厅限制使用农药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rPr>
          <w:rFonts w:hint="eastAsia" w:ascii="方正小标宋简体" w:hAnsi="方正小标宋简体" w:eastAsia="方正小标宋简体" w:cs="方正小标宋简体"/>
          <w:b w:val="0"/>
          <w:i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b w:val="0"/>
          <w:i w:val="0"/>
          <w:caps w:val="0"/>
          <w:color w:val="333333"/>
          <w:spacing w:val="0"/>
          <w:kern w:val="0"/>
          <w:sz w:val="44"/>
          <w:szCs w:val="44"/>
          <w:shd w:val="clear" w:fill="FFFFFF"/>
          <w:lang w:val="en-US" w:eastAsia="zh-CN" w:bidi="ar"/>
        </w:rPr>
        <w:t>定点经营规划》的通知</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各地级以上市农业局，深圳市经济和信息化委：</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根据《农药管理条例》和《农药经营许可管理办法》有关规定，省农业厅制定了《广东省农业厅限制使用农药定点经营规划》，现印发给你们，并提出以下意见，请一并贯彻执行。</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一、加强领导。限制使用农药经营许可事关农药经营者切身利益，事关社会和谐稳定，各地务必高度重视，加强领导，落实责任，确保责任落实到具体部门、岗位和人员。</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二、合理规划。各地要加强辖区内农药经营情况调查，科学制定本地区限制使用农药定点经营规划。请各地级以上市于2018年3月23日前将本市和下辖各县（市、区）定点经营规划报送我厅植保植检处。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三、加强监管。限制使用农药经营许可证依法由我厅负责核发，各地农业部门要强化属地责任意识，加强对辖区内限制使用农药经营门店的日常监管。</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（此页无正文）</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960" w:firstLineChars="3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960" w:firstLineChars="3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960" w:firstLineChars="300"/>
        <w:jc w:val="center"/>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广东省农业厅</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2018年2月28日</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rPr>
          <w:rFonts w:hint="eastAsia" w:ascii="仿宋_GB2312" w:hAnsi="仿宋_GB2312" w:eastAsia="仿宋_GB2312" w:cs="仿宋_GB2312"/>
          <w:i w:val="0"/>
          <w:caps w:val="0"/>
          <w:color w:val="333333"/>
          <w:spacing w:val="0"/>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（联系人：马金亮，联系电话：020-37288587、13560475941）</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jc w:val="both"/>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rPr>
          <w:rStyle w:val="5"/>
          <w:rFonts w:hint="eastAsia" w:ascii="方正小标宋简体" w:hAnsi="方正小标宋简体" w:eastAsia="方正小标宋简体" w:cs="方正小标宋简体"/>
          <w:b/>
          <w:i w:val="0"/>
          <w:caps w:val="0"/>
          <w:color w:val="333333"/>
          <w:spacing w:val="0"/>
          <w:sz w:val="32"/>
          <w:szCs w:val="32"/>
          <w:shd w:val="clear" w:fill="FFFFFF"/>
        </w:rPr>
      </w:pPr>
      <w:r>
        <w:rPr>
          <w:rStyle w:val="5"/>
          <w:rFonts w:hint="eastAsia" w:ascii="方正小标宋简体" w:hAnsi="方正小标宋简体" w:eastAsia="方正小标宋简体" w:cs="方正小标宋简体"/>
          <w:b/>
          <w:i w:val="0"/>
          <w:caps w:val="0"/>
          <w:color w:val="333333"/>
          <w:spacing w:val="0"/>
          <w:sz w:val="32"/>
          <w:szCs w:val="32"/>
          <w:shd w:val="clear" w:fill="FFFFFF"/>
        </w:rPr>
        <w:t>广东省农业厅限制使用农药定点经营规划</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rPr>
          <w:rStyle w:val="5"/>
          <w:rFonts w:hint="eastAsia" w:ascii="仿宋_GB2312" w:hAnsi="仿宋_GB2312" w:eastAsia="仿宋_GB2312" w:cs="仿宋_GB2312"/>
          <w:b/>
          <w:i w:val="0"/>
          <w:caps w:val="0"/>
          <w:color w:val="333333"/>
          <w:spacing w:val="0"/>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根据《农药管理条例》和《农药经营许可管理办法》规定，为规范全省限制使用农药定点经营，加强对限制使用农药的监督管理，保障农产品质量安全和人畜安全，保护农业生产和生态环境，制定本规划。</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b/>
          <w:bCs/>
          <w:i w:val="0"/>
          <w:caps w:val="0"/>
          <w:color w:val="333333"/>
          <w:spacing w:val="0"/>
          <w:sz w:val="32"/>
          <w:szCs w:val="32"/>
          <w:shd w:val="clear" w:fill="FFFFFF"/>
        </w:rPr>
        <w:t>一、指导思想</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以习近平新时代中国特色社会主义思想为指导，全面贯彻落实党的十九大会议精神，紧紧围绕“一控两减三基本”的工作目标，控制农业面源污染，推进农业绿色发展，通过制定限制使用农药定点经营规划，科学指导全省开展限制使用农药经营许可工作，控制我省限制使用农药经营点数量，加强限制使用农药的监管，降低使用风险，推进我省现代农业可持续发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b/>
          <w:bCs/>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　　二、总体目标</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通过实行定点经营和实名购买，掌握限制使用农药经营和使用情况，进一步加强限制使用农药监管，实现对限制使用农药的全程可溯源管理，落实限制使用农药经营者和使用者的主体责任，促进农药经营者提高高效低风险农药的销售比例，鼓励农药使用者优先选用高效低风险农药品种，加强统防统治和绿色防控等农药减量控害措施的推广，努力实现到2020年农药使用量零增长目标，切实保障农业生产安全、农产品质量安全和农业生态环境安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b/>
          <w:bCs/>
          <w:i w:val="0"/>
          <w:caps w:val="0"/>
          <w:color w:val="333333"/>
          <w:spacing w:val="0"/>
          <w:sz w:val="32"/>
          <w:szCs w:val="32"/>
          <w:shd w:val="clear" w:fill="FFFFFF"/>
        </w:rPr>
        <w:t>三、具体规划</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（一）规划原则。</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服务农业生产。限制使用农药地点经营规划坚持服务农业生产为首要原则，根据我省各地级以上市农作物种植面积、乡镇数量、实际使用农药需要，确定安排限制使用农药经营点。</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确保农产品安全。由于限制使用农药毒性高和使用要求高的特性，在蔬菜、水果、茶叶和中草药材主产区尽量不安排限制使用农药经营点。</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利于加强监管。限制使用经营点数量控制在一定范围内，有利于农业部门加强监管。</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（二）经营点数量。</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1.保障农业生产经营点。为最大限度满足农业生产需要，根据我省各地级以上市农作物种植面积，分三个档次确定限制使用农药经营点。农作物播种面积在100万亩以下的深圳、珠海、佛山、东莞、中山、潮州市，每3个镇设立一个限制使用农药经营点；农作物播种面积在100-200万亩的广州、汕头、汕尾市，每2个镇设立1个限制使用农药经营点；农作物播种面积在200万亩以上的韶关、河源、梅州、惠州、江门、阳江、湛江、茂名、肇庆、清远、揭阳、云浮等市，每个镇只设立1个限制使用农药经营点。全省限制使用农药保障农业生产经营点1011个。</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2.特殊地区增加经营点。根据2017年7月各地上报的限制使用农药销售数量，对限制使用农药销售量超过100吨的地区进行适当调整经营点数量，其中，对限制使用农药销售量在100吨至1000吨的广州（215吨）、河源（100.41吨）、惠州（780吨）、江门（350吨）、茂名（374吨）、肇庆（203吨）、云浮（334.65吨）等7市，在原核定经营点数量按30%调增经营点数量，限制使用农药销售量超过1000吨的佛山（1000吨）、阳江（1260吨）、湛江（5500吨）等3市，在原核定经营点数量上按40%调增经营点数量，全省共调增经营点227个。</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3.流通批发经营点。为确保限制使用农药经营顺畅流通，增加市级流通批发经营点。农作物播种面积在200万亩以下的广州、深圳、珠海、汕头、佛山、汕尾、东莞、中山、潮州等9个市，每个市增加3个；农作物播种面积在200万亩以上的韶关、河源、梅州、惠州、江门、阳江、湛江、茂名、肇庆、清远、揭阳、云浮等12个市，每个市增加5个。每县(含县级市、县、自治县、市辖区)原则上安排1家限制使用农药经营点，满足园林、花卉、灭鼠等用药需要，全省共设市级流通批发经营点87个，县级流通经营点165个。全省各地级以上市流通批发经营点252个。</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以上三项合计，全省限制使用农药经营点1490个。各地级以上市农业主管部门根据各县（市、区）的具体种植结构和经营需求等因素进行合理规划，在全市限制使用农药经营点总规划总数下进行合理调整，制定本市定点经营规划。各县（市、区）农业主管部门根据地级以上市的定点经营规划，结合生产需要和地理位置等因素，科学合理制定本县定点经营规划。各地级以上市农业主管部门将本市规划和各辖县（市、区）规划报送省农业厅，各级规划将作为限制使用农药经营许可审批依据之一。</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b/>
          <w:bCs/>
          <w:i w:val="0"/>
          <w:caps w:val="0"/>
          <w:color w:val="333333"/>
          <w:spacing w:val="0"/>
          <w:sz w:val="32"/>
          <w:szCs w:val="32"/>
          <w:shd w:val="clear" w:fill="FFFFFF"/>
        </w:rPr>
        <w:t>　四、审批程序</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申请人按照《农药经营管理办法》规定，填写农药经营许可证申请表，提供相关证明材料，向省级农业主管部门提出申请。</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省级农业主管部门受理限制使用农药经营许可审批申请，依据《农药经营许可管理办法》，必要时将委托县（市、区）农业主管部门进行实地核查，核查内容包括申报材料真实性和是否符合本辖区限制使用农药定点经营规划等。</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省级农业主管部门根据定点经营规划和《农药经营许可管理办法》设定的条件进行审批。对符合条件的，先受理先获得。</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b/>
          <w:bCs/>
          <w:i w:val="0"/>
          <w:caps w:val="0"/>
          <w:color w:val="333333"/>
          <w:spacing w:val="0"/>
          <w:sz w:val="32"/>
          <w:szCs w:val="32"/>
          <w:shd w:val="clear" w:fill="FFFFFF"/>
        </w:rPr>
        <w:t>五、保障措施</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一）加强领导。各级农业主管部门要严格按照《农药管理条例》及《农药经营许可管理办法》要求，严格把关，配合做好限制使用农药经营许可工作。县级农业主管部门应对限制使用农药的配药、用药进行指导、规范和管理，提高病虫害防治水平。</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二）加强政策宣传。各级农业主管部门要加强对《农药管理条例》及《农药经营许可管理办法》等规章制度的宣传，坚持政策导向，让农药经营者充分了解经营限制使用农药的责任和有关规定。各级农业主管部门要将制定的限制使用农药定点经营规划及时公布，接受监督。</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（三）开展监管工作。根据工作需要，各地级以上市农业主管部门要组织开展对限制使用农药经营人员的培训。加强限制使用农药经营使用监管，及时查处和曝光限制使用农药经营人员违法行为。</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本规划自2018年3月23日起施行，有效期5年。期限届满后再根据我省限制使用农药经营许可及使用情况再制定新的限制使用农药定点经营规划。如在有效期内，出现经营点数量明显满足不了农业生产实际需要，经广东省农药管理专家组专家论证后进行适当调整。</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附件：1.广东省农业厅限制使用农药经营点规划表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2.限制使用农药名录（2017版）</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附件1：</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0"/>
          <w:szCs w:val="30"/>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i w:val="0"/>
          <w:caps w:val="0"/>
          <w:color w:val="333333"/>
          <w:spacing w:val="0"/>
          <w:sz w:val="32"/>
          <w:szCs w:val="32"/>
        </w:rPr>
      </w:pPr>
      <w:r>
        <w:rPr>
          <w:rFonts w:hint="eastAsia" w:ascii="宋体" w:hAnsi="宋体" w:eastAsia="宋体" w:cs="宋体"/>
          <w:i w:val="0"/>
          <w:caps w:val="0"/>
          <w:color w:val="333333"/>
          <w:spacing w:val="0"/>
          <w:sz w:val="24"/>
          <w:szCs w:val="24"/>
          <w:shd w:val="clear" w:fill="FFFFFF"/>
        </w:rPr>
        <w:t>　　</w:t>
      </w:r>
      <w:r>
        <w:rPr>
          <w:rStyle w:val="5"/>
          <w:rFonts w:hint="eastAsia" w:ascii="方正小标宋简体" w:hAnsi="方正小标宋简体" w:eastAsia="方正小标宋简体" w:cs="方正小标宋简体"/>
          <w:b/>
          <w:i w:val="0"/>
          <w:caps w:val="0"/>
          <w:color w:val="333333"/>
          <w:spacing w:val="0"/>
          <w:sz w:val="44"/>
          <w:szCs w:val="44"/>
          <w:shd w:val="clear" w:fill="FFFFFF"/>
        </w:rPr>
        <w:t>广东省农业厅限制使用农药经营点规划表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outlineLvl w:val="9"/>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shd w:val="clear" w:fill="FFFFFF"/>
        </w:rPr>
        <w:t> </w:t>
      </w:r>
    </w:p>
    <w:tbl>
      <w:tblPr>
        <w:tblW w:w="8840" w:type="dxa"/>
        <w:jc w:val="center"/>
        <w:tblInd w:w="2"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641"/>
        <w:gridCol w:w="1607"/>
        <w:gridCol w:w="1184"/>
        <w:gridCol w:w="1614"/>
        <w:gridCol w:w="1607"/>
        <w:gridCol w:w="1438"/>
        <w:gridCol w:w="74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570"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黑体" w:hAnsi="黑体" w:eastAsia="黑体" w:cs="黑体"/>
                <w:i w:val="0"/>
                <w:caps w:val="0"/>
                <w:color w:val="333333"/>
                <w:spacing w:val="0"/>
                <w:sz w:val="24"/>
                <w:szCs w:val="24"/>
              </w:rPr>
            </w:pPr>
            <w:r>
              <w:rPr>
                <w:rFonts w:hint="eastAsia" w:ascii="黑体" w:hAnsi="黑体" w:eastAsia="黑体" w:cs="黑体"/>
                <w:i w:val="0"/>
                <w:caps w:val="0"/>
                <w:color w:val="333333"/>
                <w:spacing w:val="0"/>
                <w:kern w:val="0"/>
                <w:sz w:val="24"/>
                <w:szCs w:val="24"/>
                <w:bdr w:val="none" w:color="auto" w:sz="0" w:space="0"/>
                <w:lang w:val="en-US" w:eastAsia="zh-CN" w:bidi="ar"/>
              </w:rPr>
              <w:t>市别</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黑体" w:hAnsi="黑体" w:eastAsia="黑体" w:cs="黑体"/>
                <w:i w:val="0"/>
                <w:caps w:val="0"/>
                <w:color w:val="333333"/>
                <w:spacing w:val="0"/>
                <w:sz w:val="24"/>
                <w:szCs w:val="24"/>
              </w:rPr>
            </w:pPr>
            <w:r>
              <w:rPr>
                <w:rFonts w:hint="eastAsia" w:ascii="黑体" w:hAnsi="黑体" w:eastAsia="黑体" w:cs="黑体"/>
                <w:i w:val="0"/>
                <w:caps w:val="0"/>
                <w:color w:val="333333"/>
                <w:spacing w:val="0"/>
                <w:kern w:val="0"/>
                <w:sz w:val="24"/>
                <w:szCs w:val="24"/>
                <w:bdr w:val="none" w:color="auto" w:sz="0" w:space="0"/>
                <w:lang w:val="en-US" w:eastAsia="zh-CN" w:bidi="ar"/>
              </w:rPr>
              <w:t>农作物播种面积（万亩）</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黑体" w:hAnsi="黑体" w:eastAsia="黑体" w:cs="黑体"/>
                <w:i w:val="0"/>
                <w:caps w:val="0"/>
                <w:color w:val="333333"/>
                <w:spacing w:val="0"/>
                <w:sz w:val="24"/>
                <w:szCs w:val="24"/>
              </w:rPr>
            </w:pPr>
            <w:r>
              <w:rPr>
                <w:rFonts w:hint="eastAsia" w:ascii="黑体" w:hAnsi="黑体" w:eastAsia="黑体" w:cs="黑体"/>
                <w:i w:val="0"/>
                <w:caps w:val="0"/>
                <w:color w:val="333333"/>
                <w:spacing w:val="0"/>
                <w:kern w:val="0"/>
                <w:sz w:val="24"/>
                <w:szCs w:val="24"/>
                <w:bdr w:val="none" w:color="auto" w:sz="0" w:space="0"/>
                <w:lang w:val="en-US" w:eastAsia="zh-CN" w:bidi="ar"/>
              </w:rPr>
              <w:t>乡镇（个）</w:t>
            </w:r>
          </w:p>
        </w:tc>
        <w:tc>
          <w:tcPr>
            <w:tcW w:w="1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黑体" w:hAnsi="黑体" w:eastAsia="黑体" w:cs="黑体"/>
                <w:i w:val="0"/>
                <w:caps w:val="0"/>
                <w:color w:val="333333"/>
                <w:spacing w:val="0"/>
                <w:sz w:val="24"/>
                <w:szCs w:val="24"/>
              </w:rPr>
            </w:pPr>
            <w:r>
              <w:rPr>
                <w:rFonts w:hint="eastAsia" w:ascii="黑体" w:hAnsi="黑体" w:eastAsia="黑体" w:cs="黑体"/>
                <w:i w:val="0"/>
                <w:caps w:val="0"/>
                <w:color w:val="333333"/>
                <w:spacing w:val="0"/>
                <w:kern w:val="0"/>
                <w:sz w:val="24"/>
                <w:szCs w:val="24"/>
                <w:bdr w:val="none" w:color="auto" w:sz="0" w:space="0"/>
                <w:lang w:val="en-US" w:eastAsia="zh-CN" w:bidi="ar"/>
              </w:rPr>
              <w:t>保障农业生产经营点（个）</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黑体" w:hAnsi="黑体" w:eastAsia="黑体" w:cs="黑体"/>
                <w:i w:val="0"/>
                <w:caps w:val="0"/>
                <w:color w:val="333333"/>
                <w:spacing w:val="0"/>
                <w:sz w:val="24"/>
                <w:szCs w:val="24"/>
              </w:rPr>
            </w:pPr>
            <w:r>
              <w:rPr>
                <w:rFonts w:hint="eastAsia" w:ascii="黑体" w:hAnsi="黑体" w:eastAsia="黑体" w:cs="黑体"/>
                <w:i w:val="0"/>
                <w:caps w:val="0"/>
                <w:color w:val="333333"/>
                <w:spacing w:val="0"/>
                <w:kern w:val="0"/>
                <w:sz w:val="24"/>
                <w:szCs w:val="24"/>
                <w:bdr w:val="none" w:color="auto" w:sz="0" w:space="0"/>
                <w:lang w:val="en-US" w:eastAsia="zh-CN" w:bidi="ar"/>
              </w:rPr>
              <w:t>特殊地区增加经营点（个）</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黑体" w:hAnsi="黑体" w:eastAsia="黑体" w:cs="黑体"/>
                <w:i w:val="0"/>
                <w:caps w:val="0"/>
                <w:color w:val="333333"/>
                <w:spacing w:val="0"/>
                <w:sz w:val="24"/>
                <w:szCs w:val="24"/>
              </w:rPr>
            </w:pPr>
            <w:r>
              <w:rPr>
                <w:rFonts w:hint="eastAsia" w:ascii="黑体" w:hAnsi="黑体" w:eastAsia="黑体" w:cs="黑体"/>
                <w:i w:val="0"/>
                <w:caps w:val="0"/>
                <w:color w:val="333333"/>
                <w:spacing w:val="0"/>
                <w:kern w:val="0"/>
                <w:sz w:val="24"/>
                <w:szCs w:val="24"/>
                <w:bdr w:val="none" w:color="auto" w:sz="0" w:space="0"/>
                <w:lang w:val="en-US" w:eastAsia="zh-CN" w:bidi="ar"/>
              </w:rPr>
              <w:t>流通批发经营点（个）</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黑体" w:hAnsi="黑体" w:eastAsia="黑体" w:cs="黑体"/>
                <w:i w:val="0"/>
                <w:caps w:val="0"/>
                <w:color w:val="333333"/>
                <w:spacing w:val="0"/>
                <w:sz w:val="24"/>
                <w:szCs w:val="24"/>
              </w:rPr>
            </w:pPr>
            <w:r>
              <w:rPr>
                <w:rFonts w:hint="eastAsia" w:ascii="黑体" w:hAnsi="黑体" w:eastAsia="黑体" w:cs="黑体"/>
                <w:i w:val="0"/>
                <w:caps w:val="0"/>
                <w:color w:val="333333"/>
                <w:spacing w:val="0"/>
                <w:kern w:val="0"/>
                <w:sz w:val="24"/>
                <w:szCs w:val="24"/>
                <w:bdr w:val="none" w:color="auto" w:sz="0" w:space="0"/>
                <w:lang w:val="en-US" w:eastAsia="zh-CN" w:bidi="ar"/>
              </w:rPr>
              <w:t>经营点总数（个）</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397" w:hRule="exac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广州</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183</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34</w:t>
            </w:r>
          </w:p>
        </w:tc>
        <w:tc>
          <w:tcPr>
            <w:tcW w:w="1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17</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9</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14</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40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exac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深圳</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0</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0</w:t>
            </w:r>
          </w:p>
        </w:tc>
        <w:tc>
          <w:tcPr>
            <w:tcW w:w="1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 </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9</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397" w:hRule="exac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珠海</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14.75</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15</w:t>
            </w:r>
          </w:p>
        </w:tc>
        <w:tc>
          <w:tcPr>
            <w:tcW w:w="1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5</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 </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6</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exac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汕头</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108.69</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32</w:t>
            </w:r>
          </w:p>
        </w:tc>
        <w:tc>
          <w:tcPr>
            <w:tcW w:w="1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16</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 </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10</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26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397" w:hRule="exac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佛山</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42.39</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21</w:t>
            </w:r>
          </w:p>
        </w:tc>
        <w:tc>
          <w:tcPr>
            <w:tcW w:w="1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7</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6</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8</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21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exac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韶关</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309.12</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95</w:t>
            </w:r>
          </w:p>
        </w:tc>
        <w:tc>
          <w:tcPr>
            <w:tcW w:w="1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95</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 </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15</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110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397" w:hRule="exac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河源</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287.21</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96</w:t>
            </w:r>
          </w:p>
        </w:tc>
        <w:tc>
          <w:tcPr>
            <w:tcW w:w="1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96</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32</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11</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139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exac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梅州</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350.28</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105</w:t>
            </w:r>
          </w:p>
        </w:tc>
        <w:tc>
          <w:tcPr>
            <w:tcW w:w="1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105</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 </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13</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118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397" w:hRule="exac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惠州</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214.66</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54</w:t>
            </w:r>
          </w:p>
        </w:tc>
        <w:tc>
          <w:tcPr>
            <w:tcW w:w="1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54</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19</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10</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83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exac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汕尾</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162.18</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44</w:t>
            </w:r>
          </w:p>
        </w:tc>
        <w:tc>
          <w:tcPr>
            <w:tcW w:w="1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22</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 </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7</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29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397" w:hRule="exac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东莞</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5.4</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28</w:t>
            </w:r>
          </w:p>
        </w:tc>
        <w:tc>
          <w:tcPr>
            <w:tcW w:w="1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9</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 </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31</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40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exac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中山</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33</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18</w:t>
            </w:r>
          </w:p>
        </w:tc>
        <w:tc>
          <w:tcPr>
            <w:tcW w:w="1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6</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 </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21</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27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397" w:hRule="exac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江门</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321.2</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61</w:t>
            </w:r>
          </w:p>
        </w:tc>
        <w:tc>
          <w:tcPr>
            <w:tcW w:w="1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61</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22</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12</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95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exac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阳江</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266.99</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38</w:t>
            </w:r>
          </w:p>
        </w:tc>
        <w:tc>
          <w:tcPr>
            <w:tcW w:w="1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38</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19</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9</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66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397" w:hRule="exac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湛江</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720.4</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84</w:t>
            </w:r>
          </w:p>
        </w:tc>
        <w:tc>
          <w:tcPr>
            <w:tcW w:w="1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84</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39</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14</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137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exac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茂名</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452.92</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87</w:t>
            </w:r>
          </w:p>
        </w:tc>
        <w:tc>
          <w:tcPr>
            <w:tcW w:w="1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87</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29</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10</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126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397" w:hRule="exac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肇庆</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352.06</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93</w:t>
            </w:r>
          </w:p>
        </w:tc>
        <w:tc>
          <w:tcPr>
            <w:tcW w:w="1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93</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32</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13</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138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exac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清远</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338.05</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83</w:t>
            </w:r>
          </w:p>
        </w:tc>
        <w:tc>
          <w:tcPr>
            <w:tcW w:w="1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83</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 </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13</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96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397" w:hRule="exac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潮州</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69.87</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41</w:t>
            </w:r>
          </w:p>
        </w:tc>
        <w:tc>
          <w:tcPr>
            <w:tcW w:w="1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14</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 </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6</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20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exac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揭阳</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221.01</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63</w:t>
            </w:r>
          </w:p>
        </w:tc>
        <w:tc>
          <w:tcPr>
            <w:tcW w:w="1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63</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 </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10</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73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397" w:hRule="exac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云浮</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210.84</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55</w:t>
            </w:r>
          </w:p>
        </w:tc>
        <w:tc>
          <w:tcPr>
            <w:tcW w:w="1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55</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20</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10</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85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exac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合计</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4664.02</w:t>
            </w:r>
          </w:p>
        </w:tc>
        <w:tc>
          <w:tcPr>
            <w:tcW w:w="1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1147</w:t>
            </w:r>
          </w:p>
        </w:tc>
        <w:tc>
          <w:tcPr>
            <w:tcW w:w="1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1011</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227</w:t>
            </w:r>
          </w:p>
        </w:tc>
        <w:tc>
          <w:tcPr>
            <w:tcW w:w="14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252</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center"/>
              <w:textAlignment w:val="center"/>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kern w:val="0"/>
                <w:sz w:val="24"/>
                <w:szCs w:val="24"/>
                <w:bdr w:val="none" w:color="auto" w:sz="0" w:space="0"/>
                <w:lang w:val="en-US" w:eastAsia="zh-CN" w:bidi="ar"/>
              </w:rPr>
              <w:t>1490</w:t>
            </w:r>
          </w:p>
        </w:tc>
      </w:tr>
    </w:tbl>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fill="FFFFFF"/>
        </w:rPr>
        <w:t>注：农作物播种面积包括水稻、旱粮、薯类、大豆、甘蔗、花生、花卉等农作物品种的播种面积，除花卉面积由农业厅种植业处提供外，其余数据来源为《2016年广东农村统计年鉴》。</w:t>
      </w:r>
    </w:p>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附件2：</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outlineLvl w:val="9"/>
        <w:rPr>
          <w:rStyle w:val="5"/>
          <w:rFonts w:hint="eastAsia" w:ascii="方正小标宋简体" w:hAnsi="方正小标宋简体" w:eastAsia="方正小标宋简体" w:cs="方正小标宋简体"/>
          <w:b/>
          <w:i w:val="0"/>
          <w:caps w:val="0"/>
          <w:color w:val="333333"/>
          <w:spacing w:val="0"/>
          <w:sz w:val="44"/>
          <w:szCs w:val="44"/>
          <w:shd w:val="clear" w:fill="FFFFFF"/>
        </w:rPr>
      </w:pPr>
      <w:r>
        <w:rPr>
          <w:rStyle w:val="5"/>
          <w:rFonts w:hint="eastAsia" w:ascii="方正小标宋简体" w:hAnsi="方正小标宋简体" w:eastAsia="方正小标宋简体" w:cs="方正小标宋简体"/>
          <w:b/>
          <w:i w:val="0"/>
          <w:caps w:val="0"/>
          <w:color w:val="333333"/>
          <w:spacing w:val="0"/>
          <w:sz w:val="44"/>
          <w:szCs w:val="44"/>
          <w:shd w:val="clear" w:fill="FFFFFF"/>
        </w:rPr>
        <w:t>限制使用农药名录（2017版）</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outlineLvl w:val="9"/>
        <w:rPr>
          <w:rStyle w:val="5"/>
          <w:rFonts w:hint="eastAsia" w:ascii="方正小标宋简体" w:hAnsi="方正小标宋简体" w:eastAsia="方正小标宋简体" w:cs="方正小标宋简体"/>
          <w:b/>
          <w:i w:val="0"/>
          <w:caps w:val="0"/>
          <w:color w:val="333333"/>
          <w:spacing w:val="0"/>
          <w:sz w:val="44"/>
          <w:szCs w:val="44"/>
          <w:shd w:val="clear" w:fill="FFFFFF"/>
        </w:rPr>
      </w:pPr>
    </w:p>
    <w:tbl>
      <w:tblPr>
        <w:tblW w:w="8843" w:type="dxa"/>
        <w:jc w:val="center"/>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
      <w:tblGrid>
        <w:gridCol w:w="1358"/>
        <w:gridCol w:w="3560"/>
        <w:gridCol w:w="392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454" w:hRule="exact"/>
          <w:jc w:val="center"/>
        </w:trPr>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sz w:val="24"/>
                <w:szCs w:val="24"/>
              </w:rPr>
            </w:pPr>
            <w:r>
              <w:rPr>
                <w:rFonts w:hint="eastAsia" w:ascii="黑体" w:hAnsi="黑体" w:eastAsia="黑体" w:cs="黑体"/>
                <w:kern w:val="0"/>
                <w:sz w:val="24"/>
                <w:szCs w:val="24"/>
                <w:bdr w:val="none" w:color="auto" w:sz="0" w:space="0"/>
                <w:lang w:val="en-US" w:eastAsia="zh-CN" w:bidi="ar"/>
              </w:rPr>
              <w:t>序号</w:t>
            </w:r>
          </w:p>
        </w:tc>
        <w:tc>
          <w:tcPr>
            <w:tcW w:w="3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sz w:val="24"/>
                <w:szCs w:val="24"/>
              </w:rPr>
            </w:pPr>
            <w:r>
              <w:rPr>
                <w:rFonts w:hint="eastAsia" w:ascii="黑体" w:hAnsi="黑体" w:eastAsia="黑体" w:cs="黑体"/>
                <w:kern w:val="0"/>
                <w:sz w:val="24"/>
                <w:szCs w:val="24"/>
                <w:bdr w:val="none" w:color="auto" w:sz="0" w:space="0"/>
                <w:lang w:val="en-US" w:eastAsia="zh-CN" w:bidi="ar"/>
              </w:rPr>
              <w:t>有效成分名称</w:t>
            </w:r>
          </w:p>
        </w:tc>
        <w:tc>
          <w:tcPr>
            <w:tcW w:w="39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sz w:val="24"/>
                <w:szCs w:val="24"/>
              </w:rPr>
            </w:pPr>
            <w:r>
              <w:rPr>
                <w:rFonts w:hint="eastAsia" w:ascii="黑体" w:hAnsi="黑体" w:eastAsia="黑体" w:cs="黑体"/>
                <w:kern w:val="0"/>
                <w:sz w:val="24"/>
                <w:szCs w:val="24"/>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454" w:hRule="exact"/>
          <w:jc w:val="center"/>
        </w:trPr>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1</w:t>
            </w:r>
          </w:p>
        </w:tc>
        <w:tc>
          <w:tcPr>
            <w:tcW w:w="3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甲拌磷</w:t>
            </w:r>
          </w:p>
        </w:tc>
        <w:tc>
          <w:tcPr>
            <w:tcW w:w="39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实行定点经营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PrEx>
        <w:trPr>
          <w:trHeight w:val="454" w:hRule="exact"/>
          <w:jc w:val="center"/>
        </w:trPr>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2</w:t>
            </w:r>
          </w:p>
        </w:tc>
        <w:tc>
          <w:tcPr>
            <w:tcW w:w="3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甲基异柳磷</w:t>
            </w:r>
          </w:p>
        </w:tc>
        <w:tc>
          <w:tcPr>
            <w:tcW w:w="39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sz w:val="20"/>
                <w:szCs w:val="2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454" w:hRule="exact"/>
          <w:jc w:val="center"/>
        </w:trPr>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3</w:t>
            </w:r>
          </w:p>
        </w:tc>
        <w:tc>
          <w:tcPr>
            <w:tcW w:w="3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克百威</w:t>
            </w:r>
          </w:p>
        </w:tc>
        <w:tc>
          <w:tcPr>
            <w:tcW w:w="39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sz w:val="20"/>
                <w:szCs w:val="2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454" w:hRule="exact"/>
          <w:jc w:val="center"/>
        </w:trPr>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4</w:t>
            </w:r>
          </w:p>
        </w:tc>
        <w:tc>
          <w:tcPr>
            <w:tcW w:w="3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磷化铝</w:t>
            </w:r>
          </w:p>
        </w:tc>
        <w:tc>
          <w:tcPr>
            <w:tcW w:w="39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sz w:val="20"/>
                <w:szCs w:val="2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454" w:hRule="exact"/>
          <w:jc w:val="center"/>
        </w:trPr>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5</w:t>
            </w:r>
          </w:p>
        </w:tc>
        <w:tc>
          <w:tcPr>
            <w:tcW w:w="3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硫丹</w:t>
            </w:r>
          </w:p>
        </w:tc>
        <w:tc>
          <w:tcPr>
            <w:tcW w:w="39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sz w:val="20"/>
                <w:szCs w:val="2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PrEx>
        <w:trPr>
          <w:trHeight w:val="454" w:hRule="exact"/>
          <w:jc w:val="center"/>
        </w:trPr>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6</w:t>
            </w:r>
          </w:p>
        </w:tc>
        <w:tc>
          <w:tcPr>
            <w:tcW w:w="3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氯化苦</w:t>
            </w:r>
          </w:p>
        </w:tc>
        <w:tc>
          <w:tcPr>
            <w:tcW w:w="39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sz w:val="20"/>
                <w:szCs w:val="2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454" w:hRule="exact"/>
          <w:jc w:val="center"/>
        </w:trPr>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7</w:t>
            </w:r>
          </w:p>
        </w:tc>
        <w:tc>
          <w:tcPr>
            <w:tcW w:w="3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灭多威</w:t>
            </w:r>
          </w:p>
        </w:tc>
        <w:tc>
          <w:tcPr>
            <w:tcW w:w="39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sz w:val="20"/>
                <w:szCs w:val="2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454" w:hRule="exact"/>
          <w:jc w:val="center"/>
        </w:trPr>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8</w:t>
            </w:r>
          </w:p>
        </w:tc>
        <w:tc>
          <w:tcPr>
            <w:tcW w:w="3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灭线磷</w:t>
            </w:r>
          </w:p>
        </w:tc>
        <w:tc>
          <w:tcPr>
            <w:tcW w:w="39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sz w:val="20"/>
                <w:szCs w:val="2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454" w:hRule="exact"/>
          <w:jc w:val="center"/>
        </w:trPr>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9</w:t>
            </w:r>
          </w:p>
        </w:tc>
        <w:tc>
          <w:tcPr>
            <w:tcW w:w="3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水胺硫磷</w:t>
            </w:r>
          </w:p>
        </w:tc>
        <w:tc>
          <w:tcPr>
            <w:tcW w:w="39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sz w:val="20"/>
                <w:szCs w:val="2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PrEx>
        <w:trPr>
          <w:trHeight w:val="454" w:hRule="exact"/>
          <w:jc w:val="center"/>
        </w:trPr>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10</w:t>
            </w:r>
          </w:p>
        </w:tc>
        <w:tc>
          <w:tcPr>
            <w:tcW w:w="3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涕灭威</w:t>
            </w:r>
          </w:p>
        </w:tc>
        <w:tc>
          <w:tcPr>
            <w:tcW w:w="39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sz w:val="20"/>
                <w:szCs w:val="2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454" w:hRule="exact"/>
          <w:jc w:val="center"/>
        </w:trPr>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11</w:t>
            </w:r>
          </w:p>
        </w:tc>
        <w:tc>
          <w:tcPr>
            <w:tcW w:w="3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溴甲烷</w:t>
            </w:r>
          </w:p>
        </w:tc>
        <w:tc>
          <w:tcPr>
            <w:tcW w:w="39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sz w:val="20"/>
                <w:szCs w:val="2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454" w:hRule="exact"/>
          <w:jc w:val="center"/>
        </w:trPr>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12</w:t>
            </w:r>
          </w:p>
        </w:tc>
        <w:tc>
          <w:tcPr>
            <w:tcW w:w="3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氧乐果</w:t>
            </w:r>
          </w:p>
        </w:tc>
        <w:tc>
          <w:tcPr>
            <w:tcW w:w="39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sz w:val="20"/>
                <w:szCs w:val="2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454" w:hRule="exact"/>
          <w:jc w:val="center"/>
        </w:trPr>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13</w:t>
            </w:r>
          </w:p>
        </w:tc>
        <w:tc>
          <w:tcPr>
            <w:tcW w:w="3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百草枯</w:t>
            </w:r>
          </w:p>
        </w:tc>
        <w:tc>
          <w:tcPr>
            <w:tcW w:w="39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sz w:val="20"/>
                <w:szCs w:val="2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PrEx>
        <w:trPr>
          <w:trHeight w:val="454" w:hRule="exact"/>
          <w:jc w:val="center"/>
        </w:trPr>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14</w:t>
            </w:r>
          </w:p>
        </w:tc>
        <w:tc>
          <w:tcPr>
            <w:tcW w:w="3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2,4-滴丁酯</w:t>
            </w:r>
          </w:p>
        </w:tc>
        <w:tc>
          <w:tcPr>
            <w:tcW w:w="39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sz w:val="20"/>
                <w:szCs w:val="2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454" w:hRule="exact"/>
          <w:jc w:val="center"/>
        </w:trPr>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15</w:t>
            </w:r>
          </w:p>
        </w:tc>
        <w:tc>
          <w:tcPr>
            <w:tcW w:w="3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C型肉毒梭菌毒素</w:t>
            </w:r>
          </w:p>
        </w:tc>
        <w:tc>
          <w:tcPr>
            <w:tcW w:w="39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sz w:val="20"/>
                <w:szCs w:val="2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454" w:hRule="exact"/>
          <w:jc w:val="center"/>
        </w:trPr>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16</w:t>
            </w:r>
          </w:p>
        </w:tc>
        <w:tc>
          <w:tcPr>
            <w:tcW w:w="3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D型肉毒梭菌毒素</w:t>
            </w:r>
          </w:p>
        </w:tc>
        <w:tc>
          <w:tcPr>
            <w:tcW w:w="39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sz w:val="20"/>
                <w:szCs w:val="2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454" w:hRule="exact"/>
          <w:jc w:val="center"/>
        </w:trPr>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17</w:t>
            </w:r>
          </w:p>
        </w:tc>
        <w:tc>
          <w:tcPr>
            <w:tcW w:w="3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氟鼠灵</w:t>
            </w:r>
          </w:p>
        </w:tc>
        <w:tc>
          <w:tcPr>
            <w:tcW w:w="39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sz w:val="20"/>
                <w:szCs w:val="2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PrEx>
        <w:trPr>
          <w:trHeight w:val="454" w:hRule="exact"/>
          <w:jc w:val="center"/>
        </w:trPr>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18</w:t>
            </w:r>
          </w:p>
        </w:tc>
        <w:tc>
          <w:tcPr>
            <w:tcW w:w="3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敌鼠钠盐</w:t>
            </w:r>
          </w:p>
        </w:tc>
        <w:tc>
          <w:tcPr>
            <w:tcW w:w="39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sz w:val="20"/>
                <w:szCs w:val="2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454" w:hRule="exact"/>
          <w:jc w:val="center"/>
        </w:trPr>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19</w:t>
            </w:r>
          </w:p>
        </w:tc>
        <w:tc>
          <w:tcPr>
            <w:tcW w:w="3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杀鼠灵</w:t>
            </w:r>
          </w:p>
        </w:tc>
        <w:tc>
          <w:tcPr>
            <w:tcW w:w="39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sz w:val="20"/>
                <w:szCs w:val="2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454" w:hRule="exact"/>
          <w:jc w:val="center"/>
        </w:trPr>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20</w:t>
            </w:r>
          </w:p>
        </w:tc>
        <w:tc>
          <w:tcPr>
            <w:tcW w:w="3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杀鼠醚</w:t>
            </w:r>
          </w:p>
        </w:tc>
        <w:tc>
          <w:tcPr>
            <w:tcW w:w="39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sz w:val="20"/>
                <w:szCs w:val="2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454" w:hRule="exact"/>
          <w:jc w:val="center"/>
        </w:trPr>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21</w:t>
            </w:r>
          </w:p>
        </w:tc>
        <w:tc>
          <w:tcPr>
            <w:tcW w:w="3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溴敌隆</w:t>
            </w:r>
          </w:p>
        </w:tc>
        <w:tc>
          <w:tcPr>
            <w:tcW w:w="39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sz w:val="20"/>
                <w:szCs w:val="2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PrEx>
        <w:trPr>
          <w:trHeight w:val="454" w:hRule="exact"/>
          <w:jc w:val="center"/>
        </w:trPr>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22</w:t>
            </w:r>
          </w:p>
        </w:tc>
        <w:tc>
          <w:tcPr>
            <w:tcW w:w="3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溴鼠灵</w:t>
            </w:r>
          </w:p>
        </w:tc>
        <w:tc>
          <w:tcPr>
            <w:tcW w:w="39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sz w:val="20"/>
                <w:szCs w:val="2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454" w:hRule="exact"/>
          <w:jc w:val="center"/>
        </w:trPr>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lang w:val="en-US" w:eastAsia="zh-CN" w:bidi="ar"/>
              </w:rPr>
            </w:pPr>
            <w:bookmarkStart w:id="0" w:name="_GoBack" w:colFirst="0" w:colLast="2"/>
            <w:r>
              <w:rPr>
                <w:rFonts w:hint="eastAsia" w:ascii="黑体" w:hAnsi="黑体" w:eastAsia="黑体" w:cs="黑体"/>
                <w:kern w:val="0"/>
                <w:sz w:val="24"/>
                <w:szCs w:val="24"/>
                <w:lang w:val="en-US" w:eastAsia="zh-CN" w:bidi="ar"/>
              </w:rPr>
              <w:t>序号</w:t>
            </w:r>
          </w:p>
        </w:tc>
        <w:tc>
          <w:tcPr>
            <w:tcW w:w="3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lang w:val="en-US" w:eastAsia="zh-CN" w:bidi="ar"/>
              </w:rPr>
            </w:pPr>
            <w:r>
              <w:rPr>
                <w:rFonts w:hint="eastAsia" w:ascii="黑体" w:hAnsi="黑体" w:eastAsia="黑体" w:cs="黑体"/>
                <w:kern w:val="0"/>
                <w:sz w:val="24"/>
                <w:szCs w:val="24"/>
                <w:lang w:val="en-US" w:eastAsia="zh-CN" w:bidi="ar"/>
              </w:rPr>
              <w:t>有效成分名称</w:t>
            </w:r>
          </w:p>
        </w:tc>
        <w:tc>
          <w:tcPr>
            <w:tcW w:w="39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sz w:val="20"/>
                <w:szCs w:val="20"/>
              </w:rPr>
            </w:pPr>
            <w:r>
              <w:rPr>
                <w:rFonts w:hint="eastAsia" w:ascii="黑体" w:hAnsi="黑体" w:eastAsia="黑体" w:cs="黑体"/>
                <w:kern w:val="0"/>
                <w:sz w:val="24"/>
                <w:szCs w:val="24"/>
                <w:lang w:val="en-US" w:eastAsia="zh-CN" w:bidi="ar"/>
              </w:rPr>
              <w:t>备注</w:t>
            </w:r>
          </w:p>
        </w:tc>
      </w:tr>
      <w:bookmarkEnd w:id="0"/>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454" w:hRule="exact"/>
          <w:jc w:val="center"/>
        </w:trPr>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23</w:t>
            </w:r>
          </w:p>
        </w:tc>
        <w:tc>
          <w:tcPr>
            <w:tcW w:w="3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丁硫克百威</w:t>
            </w:r>
          </w:p>
        </w:tc>
        <w:tc>
          <w:tcPr>
            <w:tcW w:w="39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454" w:hRule="exact"/>
          <w:jc w:val="center"/>
        </w:trPr>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24</w:t>
            </w:r>
          </w:p>
        </w:tc>
        <w:tc>
          <w:tcPr>
            <w:tcW w:w="3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丁酰肼</w:t>
            </w:r>
          </w:p>
        </w:tc>
        <w:tc>
          <w:tcPr>
            <w:tcW w:w="39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PrEx>
        <w:trPr>
          <w:trHeight w:val="454" w:hRule="exact"/>
          <w:jc w:val="center"/>
        </w:trPr>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25</w:t>
            </w:r>
          </w:p>
        </w:tc>
        <w:tc>
          <w:tcPr>
            <w:tcW w:w="3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毒死蜱</w:t>
            </w:r>
          </w:p>
        </w:tc>
        <w:tc>
          <w:tcPr>
            <w:tcW w:w="39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454" w:hRule="exact"/>
          <w:jc w:val="center"/>
        </w:trPr>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26</w:t>
            </w:r>
          </w:p>
        </w:tc>
        <w:tc>
          <w:tcPr>
            <w:tcW w:w="3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氟苯虫酰胺</w:t>
            </w:r>
          </w:p>
        </w:tc>
        <w:tc>
          <w:tcPr>
            <w:tcW w:w="39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454" w:hRule="exact"/>
          <w:jc w:val="center"/>
        </w:trPr>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27</w:t>
            </w:r>
          </w:p>
        </w:tc>
        <w:tc>
          <w:tcPr>
            <w:tcW w:w="3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氟虫腈</w:t>
            </w:r>
          </w:p>
        </w:tc>
        <w:tc>
          <w:tcPr>
            <w:tcW w:w="39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454" w:hRule="exact"/>
          <w:jc w:val="center"/>
        </w:trPr>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28</w:t>
            </w:r>
          </w:p>
        </w:tc>
        <w:tc>
          <w:tcPr>
            <w:tcW w:w="3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乐果</w:t>
            </w:r>
          </w:p>
        </w:tc>
        <w:tc>
          <w:tcPr>
            <w:tcW w:w="39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PrEx>
        <w:trPr>
          <w:trHeight w:val="454" w:hRule="exact"/>
          <w:jc w:val="center"/>
        </w:trPr>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29</w:t>
            </w:r>
          </w:p>
        </w:tc>
        <w:tc>
          <w:tcPr>
            <w:tcW w:w="3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氰戊菊酯</w:t>
            </w:r>
          </w:p>
        </w:tc>
        <w:tc>
          <w:tcPr>
            <w:tcW w:w="39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454" w:hRule="exact"/>
          <w:jc w:val="center"/>
        </w:trPr>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30</w:t>
            </w:r>
          </w:p>
        </w:tc>
        <w:tc>
          <w:tcPr>
            <w:tcW w:w="3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三氯杀螨醇</w:t>
            </w:r>
          </w:p>
        </w:tc>
        <w:tc>
          <w:tcPr>
            <w:tcW w:w="39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454" w:hRule="exact"/>
          <w:jc w:val="center"/>
        </w:trPr>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31</w:t>
            </w:r>
          </w:p>
        </w:tc>
        <w:tc>
          <w:tcPr>
            <w:tcW w:w="3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三唑磷</w:t>
            </w:r>
          </w:p>
        </w:tc>
        <w:tc>
          <w:tcPr>
            <w:tcW w:w="39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454" w:hRule="exact"/>
          <w:jc w:val="center"/>
        </w:trPr>
        <w:tc>
          <w:tcPr>
            <w:tcW w:w="13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32</w:t>
            </w:r>
          </w:p>
        </w:tc>
        <w:tc>
          <w:tcPr>
            <w:tcW w:w="3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4"/>
                <w:szCs w:val="24"/>
                <w:bdr w:val="none" w:color="auto" w:sz="0" w:space="0"/>
                <w:lang w:val="en-US" w:eastAsia="zh-CN" w:bidi="ar"/>
              </w:rPr>
              <w:t>乙酰甲胺磷</w:t>
            </w:r>
          </w:p>
        </w:tc>
        <w:tc>
          <w:tcPr>
            <w:tcW w:w="39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sz w:val="20"/>
                <w:szCs w:val="20"/>
              </w:rPr>
            </w:pPr>
            <w:r>
              <w:rPr>
                <w:rFonts w:hint="eastAsia" w:ascii="宋体" w:hAnsi="宋体" w:eastAsia="宋体" w:cs="宋体"/>
                <w:kern w:val="0"/>
                <w:sz w:val="24"/>
                <w:szCs w:val="24"/>
                <w:bdr w:val="none" w:color="auto" w:sz="0" w:space="0"/>
                <w:lang w:val="en-US" w:eastAsia="zh-CN" w:bidi="ar"/>
              </w:rPr>
              <w:t> </w:t>
            </w:r>
          </w:p>
        </w:tc>
      </w:tr>
    </w:tbl>
    <w:p>
      <w:pPr>
        <w:pStyle w:val="3"/>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shd w:val="clear" w:fill="FFFFFF"/>
        </w:rPr>
        <w:t> </w:t>
      </w:r>
    </w:p>
    <w:p>
      <w:pPr>
        <w:pStyle w:val="3"/>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shd w:val="clear" w:fill="FFFFFF"/>
        </w:rPr>
        <w:t> </w:t>
      </w:r>
    </w:p>
    <w:p/>
    <w:sectPr>
      <w:pgSz w:w="11906" w:h="16838"/>
      <w:pgMar w:top="187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egoe Script">
    <w:panose1 w:val="020B0504020000000003"/>
    <w:charset w:val="00"/>
    <w:family w:val="auto"/>
    <w:pitch w:val="default"/>
    <w:sig w:usb0="0000028F" w:usb1="00000000" w:usb2="00000000" w:usb3="00000000" w:csb0="0000009F"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B5A03"/>
    <w:rsid w:val="68BB5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2020-08-26T00:51:00Z</dcterms:created>
  <dc:creator>user</dc:creator>
  <cp:lastModifiedBy>user</cp:lastModifiedBy>
  <dcterms:modified xsi:type="dcterms:W3CDTF">2020-08-26T01:10:00Z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