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广东省2023年化肥减量化工作方案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为持续推进我省科学施肥工作，促进农业绿色高质量发展，根据农业农村部种植业管理司《关于做好2023年化肥减量化工作的通知》（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农农（肥水）〔2023〕8号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）的要求，特制定《广东省2023年化肥减量化工作方案》。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一、总体要求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以习近平新时代中国特色社会主义思想为指导，全面贯彻落实党的二十大精神和中央一号文件部署，完整、准确、全面贯彻新发展理念，以保障粮食和重要农产品有效供给、促进农业绿色发展为目标，按照“高产、优质、经济、环保”的要求，持续推进测土配方施肥，实施多元替代，加强肥料新产品、新技术、新装备集成创新和推广应用，优化施肥结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改善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施肥方式、调整施肥结构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促进施肥精准化、智能化、专业化，提高化肥利用率，为实现农业绿色高质量发展提供有力支撑。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二、目标任务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继续夯实测土配方施肥基础，完成各种肥料效应、化肥利用率等田间试验260个，开展农户施肥情况调查8250户以上，测土配方施肥技术推广面积达到6100万亩、技术覆盖率保持在90%以上。大力推广施肥新技术、新产品、新机具“三新”配套，打造化肥减量增效升级版95万亩次以上，转变肥料利用方式，有效降低化肥施用强度，实现节本增效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三、重点工作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（一）整合各方力量，巩固测土配方施肥基础。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整合我省教学科研院所等技术力量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，到有关县市区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田间肥效试验260个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包括水稻化肥利用率试验、经济作物“2+X”田间肥效试验、肥效校正试验、中微量元素单因子肥效试验以及新型肥料试验。组织专家制定不同类型田间试验技术规程，强化田间试验日常管理，规范取样、测产工作，土壤和植株样品相关指标交由第三方专业机构进行检测评价，及时汇总分析相关试验数据，为全省肥料利用率测算工作提供数据支撑。整理分析近年来的田间试验、土壤植株测试、农户调查等数据信息，摸清土壤养分变化和作物养分吸收规律。充分挖掘基础数据信息，以县为单位定期修订完善养分丰缺和推荐施肥指标体系。根据数据挖掘结果，优化氮磷钾及中微量元素比例，调整配方肥养分形态配合，强化基肥追肥合理运筹，依托我省开发的“施肥博士”App或微信小程序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给出精准施肥方案，引导农民按“方”施肥。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强化农企对接，促进配方肥生产和推广应用。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（二）创新工作方式，扎实推进“三新”集成配套落地。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集成推广施肥新技术、新产品、新机具，创建“三新”样板，形成有规模、易推广、可复制的“三新”技术模式。在实施化肥减量增效项目的同时，结合农业生产托管服务和绿色种养循环农业试点项目，选择基础条件优、种植产业代表性强、技术支撑好的地区，围绕当地主栽农作物，集成测土配方、营养诊断以及增施有机肥、绿肥替代等新技术，配套缓控释肥料、微生物肥料、水溶性肥料等新型肥料，采取侧深施肥、种肥同播、水肥一体化、无人机喷(撒)施等新方式，强化机艺融合、技物结合、物械配合，提高肥料利用效率，拟在全省打造95万亩次以上“三新”示范样板，筛选示范应用效果良好的化肥减量增效“三新”模式，通过政策引导、示范带动等多种方式加大推广力度，促进化肥减量增效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华南农业大学、广东省农业科学院农业资源与环境研究所、仲恺农业工程学院作为化肥减量增效技术支撑单位，为各“三新”项目示范县建设提供技术培训和服务。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（三）设立评价指标，科学评估化肥减量化工作成效。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通过田间试验、农户调查等方式，准确获取相关数据，建立以测土配方施肥技术覆盖率、作物施肥强度、化肥利用率为主的评价指标，客观评估化肥减量化效果。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强化肥效监测。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按照“统筹规划、区域设点、综合试验”要求，统筹安排化肥利用率测算工作，落实好水稻化肥利用率试验，为科学测算化肥利用率积累数据。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</w:rPr>
        <w:t>深化施肥调查。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优化农户施肥调查方式方法，综合考虑作物类型、种植制度、施肥主体等因素，以种植大户、家庭农场、专业合作社等为主，科学合理安排农户施肥调查点位，优化覆盖面，通过“施肥监测通”小程序(二维码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)，开展农户施肥情况和肥料使用效果调查监测。充分发挥教学科研单位、农技驿站、地方分院等指导引领作用，通过培训提升基层农技人员素质，提高调查结果准确度。充分发挥科学施肥专家指导组（名单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）作用，建立数据审核会商制度，确保数据科学准确，符合实际。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拓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宽宣传渠道，多种模式推广科学施肥技术。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深入推进“百县千乡万户”科学施肥培训行动，省、市、县农业农村部门“三级联动”，科研教学、行业协会、肥料企业“三方互动”，统筹推进宣传与培训工作。“三新”示范项目县要依托经验丰富的省级及以上媒体平台，借助省级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技术支撑单位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力量，通过田间讲堂直播、室内教学、微信公众号、抖音直播等形式，开展科学施肥技术培训，每个项目县分作物开展不少于2场的科学施肥技术田头直播课；同时总结“三新”示范县的成效和典型技术模式，每个“三新”示范县开展不少于1次专题或视频宣传，形成化肥减量化典型案例，通过媒体宣传报道，形成可复制、可推广的经验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非项目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地市、县区通过网站、公众号、挂图、宣传单、施肥建议卡、小册子、树标志牌等方式，向广大农民宣传科学施肥知识。同时继续向社会宣传推介“施肥博士”微信小程序（二维码见附件2）或App，指导使用智能化施肥专家系统，推动“施肥博士”进村入户，继续在村民较为集中、显眼位置，以墙报、公开栏等多种形式展示“施肥博士”的用法，让农民方便、简捷、有效掌握精准施肥知识，科学施用化肥，努力解决推荐施肥最后一公里技术难题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四、资金安排和使用</w:t>
      </w:r>
    </w:p>
    <w:p>
      <w:pPr>
        <w:widowControl w:val="0"/>
        <w:adjustRightInd w:val="0"/>
        <w:snapToGrid w:val="0"/>
        <w:spacing w:line="568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2023年化肥减量增效项目资金2909万元，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项目资金已经通过《广东省财政厅关于安排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2023年中央财政耕地建设与利用资金的通知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》（粤财农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〔2023〕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72号）下达，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项目任务见附件1。项目资金使用作如下规定：</w:t>
      </w:r>
    </w:p>
    <w:p>
      <w:pPr>
        <w:adjustRightInd w:val="0"/>
        <w:snapToGrid w:val="0"/>
        <w:spacing w:line="568" w:lineRule="exact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（一）测土配方施肥基础工作，资金695.2万元</w:t>
      </w:r>
    </w:p>
    <w:p>
      <w:pPr>
        <w:adjustRightInd w:val="0"/>
        <w:snapToGrid w:val="0"/>
        <w:spacing w:line="568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.农户施肥情况调查，资金132万元。全省调查农户8250户以上（各市、县任务由省农业环境与耕地质量保护中心另文印发），农户调查费用约160元/户。资金主要用于支付劳务费、差旅费、印刷费、技术培训、数据录入等所产生的费用。</w:t>
      </w:r>
    </w:p>
    <w:p>
      <w:pPr>
        <w:adjustRightInd w:val="0"/>
        <w:snapToGrid w:val="0"/>
        <w:spacing w:line="568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2.田间试验样品检测，资金69.2万元。检测田间试验土壤样品260个，每个500元；检测植株样品2810个，每个200元。其中：省农业科学院农业质量标准与监测技术研究所检测植株样2810个样品，资金56.2万元；高州市农业农村局检测土壤样品260个样品，资金13.0万元。资金主要用于样品处理、检测和技术培训，包括购置（或维修）仪器设备、化验耗材（试剂、易耗品等）、样品运输、劳务费、差旅费、印刷费、水电费、咨询费、邮寄费等。</w:t>
      </w:r>
    </w:p>
    <w:p>
      <w:pPr>
        <w:adjustRightInd w:val="0"/>
        <w:snapToGrid w:val="0"/>
        <w:spacing w:line="568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3.田间试验，资金494万元。开展田间肥效试验260个，每个1.9万元。华南农业大学承担90个试验，资金171万元；省农科院农业资源与环境研究所承担90个试验，资金171万元；仲恺农业工程学院承担80个试验，资金152万元。资金主要用于试验布置、技术培训、样品检测、报告撰写，包括租赁费、劳务费、差旅费、交通费、检测费、水电费、咨询费、印刷费、邮寄费等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（二）化肥减量增效“三新”配套升级版重点示范县建设，资金2128万元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14个化肥减量增效“三新”配套升级版重点示范县，每个县安排资金152万元。具体任务：在示范区集成推广科学施肥新技术、新产品、新机具，提供施肥新服务。资金使用：一是物化投入补助。对开展测土配方施肥服务，应用化肥减量增效技术模式需要的作物专用肥、配方肥、有机肥料、水溶肥料等纳入物化补助范围，按照市场价格的10～20％予以补助，缓释肥料按照市场价格的20％予以补助；对开展水稻机械插秧同步侧深施肥技术示范的，每亩补助机械作业费40～50元。二是社会化服务补助。对肥料生产企业、社会化服务组织、新型农业经营主体等开展配方肥、缓释肥统配统施服务进行补助，每亩补助资金30～40元。三是试验、技术推广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媒体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宣传培训等服务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给予资金支持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省级技术支撑单位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田间试验、技术推广服务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，省级及以上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主流媒体宣传培训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服务，宣传单页以及标识牌制作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等给予适当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资金支持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（三）推广应用测土配方施肥技术，85.8万元。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具体任务：开展宣传培训，示范推广测土配方施肥技术。资金主要用于宣传单页、挂图制作、技术培训等。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资金分配依据按照各地耕地面积比例分配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（各市、县任务由省农业环境与耕地质量保护中心另文印发）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五、工作要求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按照“省负总责、地市督导、县抓落实”的责任机制，层层落实属地责任，构建上下联动、共同推进的工作机制。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（一）提高思想认识，加强组织领导。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肥料使用情况是美丽中国建设评估、生态文明建设年度评价、土壤污染防治行动计划实施情况评估、食品安全工作评议等考核的重要内容，主体责任在市、县级人民政府。各地要高度重视，充分认识到做好化肥减量增效工作对粮食安全、农产品安全、生态文明建设和现代农业发展中的重要作用，加强组织领导，明确职责分工。各级农业农村主管部门要认真研究、系统谋划化肥减量增效工作，创新工作方法，细化相关措施，千方百计把不合理的施肥量降下来，切实降低生产成本。由于项目资金、示范总面积变动较大，请化肥减量增效“三新”配套重点示范县适当调整实施方案（包括实施作物、实施范围、工作进度等），并在6月30日前加盖公章报省农业环境与耕地质量保护中心备案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（二）重点打造样板，强化示范带动。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选择特色主栽作物连片种植区域，优选配方肥、缓释肥、水溶肥、生物肥料等新产品，完善有机肥施用机械和水肥一体化设施，示范推广水稻侧深施肥、机械施肥、肥药混喷、水肥一体化、一次性施肥等新技术，集成一批有机无机结合、水肥耦合、速效缓效配合、农机农艺融合的新模式，重点打造化肥减量增效“三新”配套示范区。示范区做到有专家指导、有示范对比、有标示牌，并在关键农时季节，组织新型农业经营主体和农民召开现场观摩会，展示减肥增效效果。各地要及时梳理总结化肥减量增效升级版的好经验、好做法，形成典型案例，进行宣传推广，扩大测土配方施肥影响力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b/>
          <w:bCs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（三）更新完善数据，强化技术支撑。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分析整理测土配方施肥基础数据，完善主要作物施肥方案和水稻、茶叶氮肥定额用量。更新、完善全省测土配方施肥数据库，优化测土配方施肥专家系统（微信小程序和手机App）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，以现代化信息手段全面提升我省测土配方施肥信息化服务水平。各级肥料技术推广部门要适时发布施肥建议，指导农民使用我省测土配方施肥专家系统，提高农民科学用肥水平。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0"/>
          <w:sz w:val="32"/>
          <w:szCs w:val="32"/>
          <w:lang w:eastAsia="zh-CN"/>
        </w:rPr>
        <w:t>）加强信息调度，强化监督检查。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省级主管部门按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一季一调度、半年一通报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对地市农业农村部门和各项目承担单位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化肥减量化工作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开展信息调度，及时掌握任务落实、资金使用、工作进度等情况，同时对各项目承担单位在项目实施前、中、后期开展督导调研，发现问题及时督促整改、限期整改，严把各个环节质量关，确保化肥减量化工作取得实效。</w:t>
      </w: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）规范资金使用，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/>
        </w:rPr>
        <w:t>及时总结验收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强化资金使用监管，加强绩效考核，保障资金用途规范。根据农业农村部制订的《农业相关转移支付绩效管理工作规程（试行）》（农计财便函〔2022〕396 号）相关要求，加强绩效运行监控。请各市督促辖区内有关县（市、区）每月25日前在农业农村部转移支付管理平台（网址：zyzf.xnzb.org.cn）填报资金支出进度、绩效完成情况等信息，填报化肥减量增效工作进展情况表（见附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），并于2023年12月10日前报送本年度项目总结和绩效自评报告。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化肥减量增效“三新”示范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项目实施结束后，由地级市农业农村部门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根据《广东省农业农村厅专项资金项目验收管理办法》（试行）相关要求，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组织项目验收，重点评估各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示范县工作任务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完成情况、实施效果、标牌树立、资金到位、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补贴物资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、档案建立等落实情况，主推技术模式确立与推广情况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；省级教学科研单位完成田间试验和样品检测任务后，由其主管部门组织验收。</w:t>
      </w:r>
    </w:p>
    <w:p>
      <w:pPr>
        <w:wordWrap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pStyle w:val="2"/>
        <w:keepNext w:val="0"/>
        <w:keepLines w:val="0"/>
        <w:adjustRightInd w:val="0"/>
        <w:snapToGrid w:val="0"/>
        <w:spacing w:before="0" w:after="0"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</w:rPr>
        <w:t>附件1</w:t>
      </w:r>
    </w:p>
    <w:p>
      <w:pPr>
        <w:wordWrap/>
        <w:adjustRightInd w:val="0"/>
        <w:snapToGrid w:val="0"/>
        <w:spacing w:line="59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w w:val="90"/>
          <w:kern w:val="0"/>
          <w:sz w:val="44"/>
          <w:szCs w:val="44"/>
        </w:rPr>
        <w:t>广东省2023年化肥减量增效项目任务安排表</w:t>
      </w:r>
    </w:p>
    <w:p>
      <w:pPr>
        <w:adjustRightInd w:val="0"/>
        <w:snapToGrid w:val="0"/>
        <w:spacing w:line="590" w:lineRule="exact"/>
        <w:ind w:firstLine="412" w:firstLineChars="200"/>
        <w:jc w:val="righ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1"/>
          <w:szCs w:val="21"/>
        </w:rPr>
      </w:pPr>
    </w:p>
    <w:p>
      <w:pPr>
        <w:adjustRightInd w:val="0"/>
        <w:snapToGrid w:val="0"/>
        <w:spacing w:line="590" w:lineRule="exact"/>
        <w:ind w:firstLine="412" w:firstLineChars="200"/>
        <w:jc w:val="righ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1"/>
          <w:szCs w:val="21"/>
        </w:rPr>
        <w:t>单位：万元</w:t>
      </w:r>
    </w:p>
    <w:tbl>
      <w:tblPr>
        <w:tblStyle w:val="4"/>
        <w:tblW w:w="5216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752"/>
        <w:gridCol w:w="884"/>
        <w:gridCol w:w="1921"/>
        <w:gridCol w:w="2658"/>
        <w:gridCol w:w="908"/>
        <w:gridCol w:w="16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市县别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项目承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担单位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绩效目标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资金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全  省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2909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一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各地市合计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2358.8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广州市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广州市农业农村局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ab/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1.推广测土配方施肥面积156万亩以上，其中施肥新技术新产品新机具推广面积2万亩以上；科学施肥促进降本增效明显，农民对化肥减量增效实施满意率90%以上。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2.调查农户施肥情况220户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5.808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其中：白云区0.792万元、黄埔区0.264万元、花都区0.66万元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番禺区0.264万元；南沙区1.056万元；从化区1.188万元；增城区1.584万元。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珠海市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珠海市农业农村局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1.推广测土配方施肥面积20万亩以上，其中施肥新技术新产品新机具推广面积2万亩以上；科学施肥促进降本增效明显，农民对化肥减量增效实施满意率90%以上。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2.调查农户施肥情况30户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0.792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其中：金湾区0.264万元；斗门区0.528万元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1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汕头市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汕头市农业农村局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1.推广测土配方施肥面积89万亩以上，其中施肥新技术新产品新机具推广面积1万亩以上；科学施肥促进降本增效明显，农民对化肥减量增效实施满意率90%以上。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2.调查农户施肥情况120户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3.168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其中：金平区0.132万元；龙湖区0.132万元；澄海区0.528万元；濠江区0.132万元；潮阳区1.188万元；潮南区1.056万元。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佛山市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佛山市农业农村局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2.高明区创建化肥减量增效示范区。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1.推广测土配方施肥面积65万亩以上，其中施肥新技术新产品新机具推广面积4万亩以上；科学施肥促进降本增效明显，农民对化肥减量增效实施满意率90%以上。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2.调查农户施肥情况95户；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3.高明区示范推广施肥新技术新产品新机具面积3万亩以上，示范区配方肥到位率80%以上，化肥用量减少3%以上，化肥利用率达到40%以上，带动全县化肥用量继续实现负增长。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154.508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其中：南海区0.66万元；顺德区0.132万元；高明区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2.924万元；三水区0.792万元。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韶关市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韶关市农业农村局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2.乐昌市、始兴县、翁源县创建化肥减量增效示范区。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1.推广测土配方施肥面积518万亩以上，其中施肥新技术新产品新机具推广面积12万亩以上；科学施肥促进降本增效明显，农民对化肥减量增效实施满意率90%以上。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2.调查农户施肥情况700户；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3.乐昌市、始兴县、翁源县各示范推广施肥新技术新产品新机具面积3万亩以上，示范区配方肥到位率80%以上，化肥用量减少3%以上，化肥利用率达到40%以上，带动全县化肥用量继续实现负增长。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474.48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其中：浈江区0.528万元；武江区0.528万元；曲江区1.452万元；乐昌市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5.168万元；南雄市4.224万元；仁化县1.452万元；始兴县153.584万元；翁源县154.64万元；新丰县1.056万元；乳源县1.848万元。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河源市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河源市农业农村局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2.龙川县创建化肥减量增效示范区。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1.推广测土配方施肥面积341万亩以上，其中施肥新技术新产品新机具推广面积4万亩以上；科学施肥促进降本增效明显，农民对化肥减量增效实施满意率90%以上。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2.调查农户施肥情况465户；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3.龙川县示范推广施肥新技术新产品新机具面积3万亩以上，示范区配方肥到位率80%以上，化肥用量减少3%以上，化肥利用率达到40%以上，带动全县化肥用量继续实现负增长。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164.276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其中：源城区0.264万元；东源县2.244万元；和平县1.98万元；龙川县155.564万元；紫金县2.64万元；连平县1.584万元。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1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梅州市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梅州市农业农村局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1.推广测土配方施肥面积344万亩以上，其中施肥新技术新产品新机具推广面积2万亩以上；科学施肥促进降本增效明显，农民对化肥减量增效实施满意率90%以上。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2.调查农户施肥情况480户。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12.672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其中：梅江区0.264万元；梅县区1.32万元；兴宁市3.036万元；平远县1.32万元；蕉岭县0.66万元；大埔县1.056万元；丰顺县1.32万元；五华县3.696万元。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惠州市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惠州市农业农村局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2.惠阳区、龙门县创建化肥减量增效示范区。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ab/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1.推广测土配方施肥面积293万亩以上，其中施肥新技术新产品新机具推广面积9万亩以上；科学施肥促进降本增效明显，农民对化肥减量增效实施满意率90%以上。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2.调查农户施肥情况400户；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3.惠阳区、龙门县各示范推广施肥新技术新产品新机具面积3万亩以上，示范区配方肥到位率80%以上，化肥用量减少3%以上，化肥利用率达到40%以上，带动全县化肥用量继续实现负增长。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314.56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其中：惠城区1.848万元；惠阳区153.056万元；惠东县2.772万元；博罗县3.432万元；龙门县153.452万元。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汕尾市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汕尾市农业农村局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2.海丰县创建化肥减量增效示范区。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1.推广测土配方施肥面积245万亩以上，其中施肥新技术新产品新机具推广面积4万亩以上；科学施肥促进降本增效明显，农民对化肥减量增效实施满意率90%以上。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2.调查农户施肥情况335户；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3.海丰县示范推广施肥新技术新产品新机具面积3万亩以上，示范区配方肥到位率80%以上，化肥用量减少3%以上，化肥利用率达到40%以上，带动全县化肥用量继续实现负增长。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160.844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其中：城区0.396万元；陆丰市4.488万元；海丰县155.168万元；陆河县0.792万元。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东莞市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东莞市农业农村局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1.推广测土配方施肥面积29万亩以上，其中施肥新技术新产品新机具推广面积1万亩以上；科学施肥促进降本增效明显，农民对化肥减量增效实施满意率90%以上。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2.调查农户施肥情况40户。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1.056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中山市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中山市农业农村局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1.推广测土配方施肥面积22万亩以上，其中施肥新技术新产品新机具推广面积1万亩以上；科学施肥促进降本增效明显，农民对化肥减量增效实施满意率90%以上。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2.调查农户施肥情况35户。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0.924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6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江门市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江门市农业农村局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2.新会区、恩平市创建化肥减量增效示范区。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1.推广测土配方施肥面积356万亩以上，其中施肥新技术新产品新机具推广面积10万亩以上；科学施肥促进降本增效明显，农民对化肥减量增效实施满意率90%以上。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2.调查农户施肥情况490户；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3.新会区、恩平市各示范推广施肥新技术新产品新机具面积3万亩以上，示范区配方肥到位率80%以上，化肥用量减少3%以上，化肥利用率达到40%以上，带动全县化肥用量继续实现负增长。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316.936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其中：蓬江区0.132万元；江海区0.132万元；新会区153.056万元；台山市5.544万元；开平市2.772万元；鹤山市0.924万元；恩平市154.376万元。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2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阳江市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阳江市农业农村局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1.推广测土配方施肥面积348万亩以上，其中施肥新技术新产品新机具推广面积7万亩以上；科学施肥促进降本增效明显，农民对化肥减量增效实施满意率90%以上。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2.调查农户施肥情况475户。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12.54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其中：江城区1.716万元；阳春市5.148万元；阳东区2.772万元；阳西县2.904万元。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湛江市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湛江市农业农村局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1.推广测土配方施肥面积1343万亩以上，其中施肥新技术新产品新机具推广面积3万亩以上；科学施肥促进降本增效明显，农民对化肥减量增效实施满意率90%以上。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2.调查农户施肥情况1770户。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46.728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其中：霞山区0.132万元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麻章区2.112万元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坡头区1.584万元；雷州市13.2万元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廉江市8.712万元；吴川市3.564万元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遂溪县9.504万元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徐闻县7.92万元。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8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茂名市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茂名市农业农村局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高州市分别承担省下达土壤样品检测任务；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3.茂南区创建化肥减量增效示范区。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1.推广测土配方施肥面积533万亩以上，其中施肥新技术新产品新机具推广面积13万亩以上；科学施肥促进降本增效明显，农民对化肥减量增效实施满意率90%以上。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2.调查农户施肥情况720户；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3.高州市完成土壤样品检测260个。4.茂南区示范推广施肥新技术新产品新机具面积3万亩以上，示范区配方肥到位率80%以上，化肥用量减少3%以上，化肥利用率达到40%以上，带动全县化肥用量继续实现负增长。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184.008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其中：茂南区153.584万元；信宜市3.168万元；高州市17.356万元；化州市5.148万元；电白区4.752万元。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5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肇庆市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肇庆市农业农村局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2.广宁县、怀集县创建化肥减量增效示范区。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1.推广测土配方施肥面积343万亩以上，其中施肥新技术新产品新机具推广面积7万亩以上；科学施肥促进降本增效明显，农民对化肥减量增效实施满意率90%以上。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2.调查农户施肥情况465户；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3.广宁县、怀集县各示范推广施肥新技术新产品新机具面积3万亩以上，示范区配方肥到位率80%以上，化肥用量减少3%以上，化肥利用率达到40%以上，带动全县化肥用量继续实现负增长。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316.276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其中：鼎湖区0.264万元；四会市0.924万元；高要区2.112万元；广宁县153.584万元；德庆县1.32万元；封开县2.376万元；怀集县155.696万元。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1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清远市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清远市农业农村局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1.推广测土配方施肥，实施化肥减量增效“三新”配套示范，开展农户施肥情况调查；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2.清新区创建化肥减量增效示范区。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1.推广测土配方施肥面积564万亩以上，其中施肥新技术新产品新机具推广面积7万亩以上；科学施肥促进降本增效明显，农民对化肥减量增效实施满意率90%以上。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2.调查农户施肥情况765户；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3.清新区示范推广施肥新技术新产品新机具面积3万亩以上，示范区配方肥到位率80%以上，化肥用量减少3%以上，化肥利用率达到40%以上，带动全县化肥用量继续实现负增长。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172.196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其中：清城区1.716万元；英德市6.6万元；连州市3.432万元；佛冈县1.056万元；清新区154.376万元；连山县0.924万元；连南县0.792万元；阳山县3.3万元。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潮州市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潮州市农业农村局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1.推广测土配方施肥面积59万亩以上，其中施肥新技术新产品新机具推广面积1万亩以上；科学施肥促进降本增效明显，农民对化肥减量增效实施满意率90%以上。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2.调查农户施肥情况75户。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1.98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其中：湘桥区0.132万元；饶平县1.056万元；潮安区0.792万元。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揭阳市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揭阳市农业农村局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1.推广测土配方施肥面积195万亩以上，其中施肥新技术新产品新机具推广面积2万亩以上；科学施肥促进降本增效明显，农民对化肥减量增效实施满意率90%以上。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2.调查农户施肥情况255户。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6.732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其中：榕城区0.396万元；普宁市1.716万元；揭东区0.924万元；揭西县1.452万元；惠来县2.244万元。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云浮市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云浮市农业农村局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推广测土配方施肥，实施化肥减量增效“三新”配套示范，开展农户施肥情况调查。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1.推广测土配方施肥面积237万亩以上，其中施肥新技术新产品新机具推广面积3万亩以上；科学施肥促进降本增效明显，农民对化肥减量增效实施满意率90%以上。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2.调查农户施肥情况315户。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8.316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其中：云城区0.528万元；云安区1.056万元；罗定市4.224万元；新兴县1.32万元；郁南县1.188万元。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二、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省直单位合计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>550.2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省级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华南农业大学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开展90个田间肥效试验，包括水稻肥料利用率试验、经济作物“2+X”田间肥效试验、肥效校正试验、中微量元素单因子肥效试验等。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完成90个田间肥效试验，及时汇总田间试验结果，提交试验报告，为合理施用化肥、提高肥料利用率、降低面源污染风险提供依据。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3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省级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省农科院农业资源与环境研究所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开展90个田间肥效试验，包括水稻肥料利用率试验、经济作物“2+X”田间肥效试验、肥效校正试验、中微量元素单因子肥效试验等。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完成90个田间肥效试验，及时汇总田间试验结果，提交试验报告，为合理施用化肥、提高肥料利用率、降低面源污染风险提供依据。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2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省级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省农科院农业质量标准与监测技术研究所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承担植株样品检测任务。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按行业相关标准，完成植株样品检测2810个，提交检测报告。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56.2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6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省级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仲恺农业工程学院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开展80个田间肥效试验，包括水稻肥料利用率试验、经济作物“2+X”田间肥效试验、肥效校正试验以及中微量元素单因子肥效试验。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完成80个田间肥效试验，及时汇总田间试验结果，提交试验报告，为合理施用化肥、提高肥料利用率、降低面源污染风险提供依据。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152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spacing w:line="59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  <w:t>施肥监测通二维码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121285</wp:posOffset>
            </wp:positionV>
            <wp:extent cx="2495550" cy="2838450"/>
            <wp:effectExtent l="0" t="0" r="3810" b="11430"/>
            <wp:wrapTight wrapText="bothSides">
              <wp:wrapPolygon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1" name="图片 -214748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-21474826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施肥博士二维码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          推荐施肥专家系统二维码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2979420</wp:posOffset>
            </wp:positionH>
            <wp:positionV relativeFrom="page">
              <wp:posOffset>6341745</wp:posOffset>
            </wp:positionV>
            <wp:extent cx="2189480" cy="2230755"/>
            <wp:effectExtent l="0" t="0" r="5080" b="9525"/>
            <wp:wrapNone/>
            <wp:docPr id="2" name="图片 7" descr="1684823188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16848231886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302260</wp:posOffset>
            </wp:positionV>
            <wp:extent cx="2221230" cy="2221230"/>
            <wp:effectExtent l="0" t="0" r="3810" b="3810"/>
            <wp:wrapTopAndBottom/>
            <wp:docPr id="6" name="图片 6" descr="施肥博士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施肥博士小程序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pStyle w:val="8"/>
        <w:adjustRightInd w:val="0"/>
        <w:snapToGrid w:val="0"/>
        <w:spacing w:line="568" w:lineRule="exact"/>
        <w:ind w:firstLine="632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8"/>
        <w:adjustRightInd w:val="0"/>
        <w:snapToGrid w:val="0"/>
        <w:spacing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广东省到2025年化肥减量化行动</w:t>
      </w:r>
    </w:p>
    <w:p>
      <w:pPr>
        <w:pStyle w:val="8"/>
        <w:adjustRightInd w:val="0"/>
        <w:snapToGrid w:val="0"/>
        <w:spacing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专家指导组成员名单</w:t>
      </w:r>
    </w:p>
    <w:p>
      <w:pPr>
        <w:pStyle w:val="8"/>
        <w:adjustRightInd w:val="0"/>
        <w:snapToGrid w:val="0"/>
        <w:spacing w:line="568" w:lineRule="exact"/>
        <w:ind w:firstLine="632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8"/>
        <w:adjustRightInd w:val="0"/>
        <w:snapToGrid w:val="0"/>
        <w:spacing w:line="568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 xml:space="preserve">徐培智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省农业科学院农业资源与环境研究所</w:t>
      </w:r>
    </w:p>
    <w:p>
      <w:pPr>
        <w:pStyle w:val="8"/>
        <w:adjustRightInd w:val="0"/>
        <w:snapToGrid w:val="0"/>
        <w:spacing w:line="568" w:lineRule="exact"/>
        <w:ind w:firstLine="3160" w:firstLineChars="1000"/>
        <w:rPr>
          <w:rFonts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研究员</w:t>
      </w:r>
    </w:p>
    <w:p>
      <w:pPr>
        <w:pStyle w:val="8"/>
        <w:adjustRightInd w:val="0"/>
        <w:snapToGrid w:val="0"/>
        <w:spacing w:line="568" w:lineRule="exact"/>
        <w:ind w:firstLine="660" w:firstLineChars="209"/>
        <w:rPr>
          <w:rFonts w:ascii="仿宋_GB2312" w:hAnsi="仿宋_GB2312" w:eastAsia="仿宋_GB2312" w:cs="仿宋_GB2312"/>
          <w:snapToGrid w:val="0"/>
          <w:color w:val="auto"/>
          <w:spacing w:val="-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9"/>
          <w:kern w:val="0"/>
          <w:sz w:val="32"/>
          <w:szCs w:val="32"/>
        </w:rPr>
        <w:t xml:space="preserve">李永涛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9"/>
          <w:kern w:val="0"/>
          <w:sz w:val="32"/>
          <w:szCs w:val="32"/>
        </w:rPr>
        <w:t>华南农业大学资源环境学院教授</w:t>
      </w:r>
    </w:p>
    <w:p>
      <w:pPr>
        <w:pStyle w:val="8"/>
        <w:adjustRightInd w:val="0"/>
        <w:snapToGrid w:val="0"/>
        <w:spacing w:line="568" w:lineRule="exact"/>
        <w:ind w:firstLine="1896" w:firstLineChars="6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杜建军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仲恺农业工程学院资源与环境学院教授</w:t>
      </w:r>
    </w:p>
    <w:p>
      <w:pPr>
        <w:pStyle w:val="8"/>
        <w:adjustRightInd w:val="0"/>
        <w:snapToGrid w:val="0"/>
        <w:spacing w:line="568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姚丽贤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华南农业大学资源环境学院教授</w:t>
      </w:r>
    </w:p>
    <w:p>
      <w:pPr>
        <w:pStyle w:val="8"/>
        <w:adjustRightInd w:val="0"/>
        <w:snapToGrid w:val="0"/>
        <w:spacing w:line="568" w:lineRule="exact"/>
        <w:ind w:firstLine="3160" w:firstLineChars="1000"/>
        <w:rPr>
          <w:rFonts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（香蕉施肥）</w:t>
      </w:r>
    </w:p>
    <w:p>
      <w:pPr>
        <w:pStyle w:val="8"/>
        <w:adjustRightInd w:val="0"/>
        <w:snapToGrid w:val="0"/>
        <w:spacing w:line="568" w:lineRule="exact"/>
        <w:ind w:firstLine="1924" w:firstLineChars="60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张承林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华南农业大学资源环境学院教授</w:t>
      </w:r>
    </w:p>
    <w:p>
      <w:pPr>
        <w:pStyle w:val="8"/>
        <w:adjustRightInd w:val="0"/>
        <w:snapToGrid w:val="0"/>
        <w:spacing w:line="568" w:lineRule="exact"/>
        <w:ind w:firstLine="3129" w:firstLineChars="990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（灌溉施肥）</w:t>
      </w:r>
    </w:p>
    <w:p>
      <w:pPr>
        <w:pStyle w:val="8"/>
        <w:adjustRightInd w:val="0"/>
        <w:snapToGrid w:val="0"/>
        <w:spacing w:line="568" w:lineRule="exact"/>
        <w:ind w:firstLine="1924" w:firstLineChars="60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张新明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华南农业大学资源环境学院教授</w:t>
      </w:r>
    </w:p>
    <w:p>
      <w:pPr>
        <w:pStyle w:val="8"/>
        <w:adjustRightInd w:val="0"/>
        <w:snapToGrid w:val="0"/>
        <w:spacing w:line="568" w:lineRule="exact"/>
        <w:ind w:firstLine="3188" w:firstLineChars="100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（马铃薯施肥）</w:t>
      </w:r>
    </w:p>
    <w:p>
      <w:pPr>
        <w:pStyle w:val="8"/>
        <w:adjustRightInd w:val="0"/>
        <w:snapToGrid w:val="0"/>
        <w:spacing w:line="568" w:lineRule="exact"/>
        <w:ind w:left="3274" w:leftChars="615" w:hanging="1331" w:hangingChars="421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唐栓虎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省农科院农业资源与环境研究所研究员（水稻施肥）</w:t>
      </w:r>
    </w:p>
    <w:p>
      <w:pPr>
        <w:pStyle w:val="8"/>
        <w:adjustRightInd w:val="0"/>
        <w:snapToGrid w:val="0"/>
        <w:spacing w:line="568" w:lineRule="exact"/>
        <w:ind w:left="3292" w:leftChars="609" w:hanging="1368" w:hangingChars="433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李国良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  <w:t>省农科院农业资源与环境研究所副研究员</w:t>
      </w:r>
    </w:p>
    <w:p>
      <w:pPr>
        <w:pStyle w:val="8"/>
        <w:adjustRightInd w:val="0"/>
        <w:snapToGrid w:val="0"/>
        <w:spacing w:line="568" w:lineRule="exact"/>
        <w:ind w:left="3279" w:leftChars="1009" w:hanging="91" w:hangingChars="2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（果树施肥）</w:t>
      </w:r>
    </w:p>
    <w:p>
      <w:pPr>
        <w:pStyle w:val="8"/>
        <w:adjustRightInd w:val="0"/>
        <w:snapToGrid w:val="0"/>
        <w:spacing w:line="568" w:lineRule="exact"/>
        <w:ind w:left="3390" w:leftChars="629" w:hanging="1403" w:hangingChars="444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黄  旭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省农科院农业资源与环境研究所高级</w:t>
      </w:r>
    </w:p>
    <w:p>
      <w:pPr>
        <w:pStyle w:val="8"/>
        <w:adjustRightInd w:val="0"/>
        <w:snapToGrid w:val="0"/>
        <w:spacing w:line="568" w:lineRule="exact"/>
        <w:ind w:left="3384" w:leftChars="1027" w:hanging="139" w:hangingChars="44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  <w:t>农艺师（水稻侧深施肥）</w:t>
      </w:r>
    </w:p>
    <w:p>
      <w:pPr>
        <w:pStyle w:val="8"/>
        <w:adjustRightInd w:val="0"/>
        <w:snapToGrid w:val="0"/>
        <w:spacing w:line="568" w:lineRule="exact"/>
        <w:ind w:left="3276" w:leftChars="610" w:hanging="1349" w:hangingChars="427"/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于俊红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</w:rPr>
        <w:t>省农科院农业资源与环境研究所副研究员</w:t>
      </w:r>
    </w:p>
    <w:p>
      <w:pPr>
        <w:pStyle w:val="8"/>
        <w:adjustRightInd w:val="0"/>
        <w:snapToGrid w:val="0"/>
        <w:spacing w:line="568" w:lineRule="exact"/>
        <w:ind w:left="3267" w:leftChars="1009" w:hanging="79" w:hangingChars="2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（花生施肥）</w:t>
      </w:r>
    </w:p>
    <w:p>
      <w:pPr>
        <w:pStyle w:val="8"/>
        <w:adjustRightInd w:val="0"/>
        <w:snapToGrid w:val="0"/>
        <w:spacing w:line="568" w:lineRule="exact"/>
        <w:ind w:left="3352" w:leftChars="609" w:hanging="1428" w:hangingChars="45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张白鸽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省农科院蔬菜研究所副研究员</w:t>
      </w:r>
    </w:p>
    <w:p>
      <w:pPr>
        <w:pStyle w:val="8"/>
        <w:adjustRightInd w:val="0"/>
        <w:snapToGrid w:val="0"/>
        <w:spacing w:line="568" w:lineRule="exact"/>
        <w:ind w:left="3346" w:leftChars="1009" w:hanging="158" w:hangingChars="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（蔬菜施肥）</w:t>
      </w:r>
    </w:p>
    <w:p>
      <w:pPr>
        <w:pStyle w:val="8"/>
        <w:adjustRightInd w:val="0"/>
        <w:snapToGrid w:val="0"/>
        <w:spacing w:line="568" w:lineRule="exact"/>
        <w:ind w:left="3327" w:leftChars="600" w:hanging="1431" w:hangingChars="45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杨杰文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仲恺农业工程学院资源与环境学院教授</w:t>
      </w:r>
    </w:p>
    <w:p>
      <w:pPr>
        <w:pStyle w:val="8"/>
        <w:adjustRightInd w:val="0"/>
        <w:snapToGrid w:val="0"/>
        <w:spacing w:line="568" w:lineRule="exact"/>
        <w:ind w:left="3318" w:leftChars="1000" w:hanging="158" w:hangingChars="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（玉米施肥）</w:t>
      </w:r>
    </w:p>
    <w:p>
      <w:pPr>
        <w:pStyle w:val="8"/>
        <w:adjustRightInd w:val="0"/>
        <w:snapToGrid w:val="0"/>
        <w:spacing w:line="568" w:lineRule="exact"/>
        <w:ind w:left="3352" w:leftChars="609" w:hanging="1428" w:hangingChars="45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谢江江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广州甘蔗糖业研究所湛江甘蔗研究中心副研究员（甘蔗施肥）</w:t>
      </w:r>
    </w:p>
    <w:p>
      <w:pPr>
        <w:pStyle w:val="7"/>
        <w:widowControl w:val="0"/>
        <w:adjustRightInd w:val="0"/>
        <w:snapToGrid w:val="0"/>
        <w:spacing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4</w:t>
      </w:r>
    </w:p>
    <w:p>
      <w:pPr>
        <w:pStyle w:val="7"/>
        <w:widowControl w:val="0"/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2023年化肥减量增效工作进展情况表</w:t>
      </w:r>
    </w:p>
    <w:p>
      <w:pPr>
        <w:adjustRightInd w:val="0"/>
        <w:snapToGrid w:val="0"/>
        <w:spacing w:line="590" w:lineRule="exact"/>
        <w:ind w:firstLine="0" w:firstLineChars="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</w:p>
    <w:p>
      <w:pPr>
        <w:adjustRightInd w:val="0"/>
        <w:snapToGrid w:val="0"/>
        <w:spacing w:line="590" w:lineRule="exact"/>
        <w:ind w:firstLine="0" w:firstLineChars="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填报单位：                             填报时间：        年    月    日</w:t>
      </w:r>
    </w:p>
    <w:tbl>
      <w:tblPr>
        <w:tblStyle w:val="4"/>
        <w:tblW w:w="4999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3830"/>
        <w:gridCol w:w="1407"/>
        <w:gridCol w:w="22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291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填报项目</w:t>
            </w:r>
          </w:p>
        </w:tc>
        <w:tc>
          <w:tcPr>
            <w:tcW w:w="2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  <w:t>计划和进展情况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291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计划</w:t>
            </w: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进展（完成）情况累计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1.资金投入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中央资金（万元）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地方资金（万元）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2.基础工作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采集土样(个)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农户施肥情况调查（个）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田间肥效试验(个)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发布肥料配方（个）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3.技术推广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测土配方施肥技术推广面积（亩）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化肥减量增效“三新”配套示范面积（亩）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配方肥施用面积（亩）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配方肥施用量（拆纯，吨）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缓控释肥施面积（亩）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其他新型高效肥料施用面积（亩）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机械施肥面积（亩）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其中：水稻侧深施肥面积（亩）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绿肥种植（亩）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示范区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建设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示范片数量（个）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示范区面积（亩）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其中水稻示范面积（亩）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遴选实施主体（个）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示范区化肥减量（%）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示范区作物亩均增产（千克/亩）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示范区亩均节本增收（元/亩）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社会化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服务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科学施肥社会化服务组织（个）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统配统施服务面积（亩）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6.宣传培训</w:t>
            </w: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培训班（期）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培训人数（人次）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现场观摩（次）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发放技术资料（份，含施肥建议卡）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宣传报道（次）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0" w:firstLineChars="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</w:p>
    <w:p>
      <w:pPr>
        <w:adjustRightInd w:val="0"/>
        <w:snapToGrid w:val="0"/>
        <w:spacing w:line="240" w:lineRule="auto"/>
        <w:ind w:firstLine="0" w:firstLineChars="0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填表人：                                  联系电话：</w:t>
      </w:r>
    </w:p>
    <w:p>
      <w:pPr>
        <w:adjustRightInd w:val="0"/>
        <w:snapToGrid w:val="0"/>
        <w:spacing w:line="240" w:lineRule="auto"/>
        <w:ind w:firstLine="0" w:firstLineChars="0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</w:pPr>
    </w:p>
    <w:p>
      <w:pPr>
        <w:adjustRightInd w:val="0"/>
        <w:snapToGrid w:val="0"/>
        <w:spacing w:line="240" w:lineRule="auto"/>
        <w:ind w:firstLine="0" w:firstLineChars="0"/>
        <w:textAlignment w:val="center"/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注：此表由地级以上市和重点示范县于每季度末发送至</w:t>
      </w:r>
      <w:bookmarkStart w:id="0" w:name="OLE_LINK1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</w:rPr>
        <w:t>省环耕中心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instrText xml:space="preserve"> HYPERLINK "mailto:nynct-37288083@gd.gov.cn"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u w:val="none"/>
        </w:rPr>
        <w:t>nynct-37288083</w:t>
      </w:r>
    </w:p>
    <w:p>
      <w:pPr>
        <w:adjustRightInd w:val="0"/>
        <w:snapToGrid w:val="0"/>
        <w:spacing w:line="240" w:lineRule="auto"/>
        <w:ind w:firstLine="0" w:firstLineChars="0"/>
        <w:textAlignment w:val="center"/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u w:val="none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2"/>
          <w:cols w:space="720" w:num="1"/>
          <w:rtlGutter w:val="0"/>
          <w:docGrid w:type="linesAndChars" w:linePitch="590" w:charSpace="-1024"/>
        </w:sectPr>
      </w:pPr>
      <w:r>
        <w:rPr>
          <w:rStyle w:val="6"/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24"/>
          <w:szCs w:val="24"/>
          <w:u w:val="none"/>
        </w:rPr>
        <w:t>@</w:t>
      </w:r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u w:val="none"/>
        </w:rPr>
        <w:t>gd.gov.cn</w:t>
      </w:r>
      <w:bookmarkEnd w:id="0"/>
      <w:r>
        <w:rPr>
          <w:rStyle w:val="6"/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szCs w:val="24"/>
          <w:u w:val="none"/>
        </w:rPr>
        <w:fldChar w:fldCharType="end"/>
      </w:r>
    </w:p>
    <w:p>
      <w:pPr>
        <w:spacing w:line="59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adjustRightInd w:val="0"/>
        <w:snapToGrid w:val="0"/>
        <w:spacing w:before="0" w:after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306705</wp:posOffset>
            </wp:positionV>
            <wp:extent cx="8483600" cy="4563745"/>
            <wp:effectExtent l="0" t="0" r="5080" b="8255"/>
            <wp:wrapNone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45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cs="仿宋_GB2312"/>
          <w:color w:val="auto"/>
          <w:szCs w:val="32"/>
        </w:rPr>
      </w:pPr>
      <w:bookmarkStart w:id="1" w:name="F_JJCD"/>
      <w:bookmarkEnd w:id="1"/>
    </w:p>
    <w:p>
      <w:pPr>
        <w:pStyle w:val="7"/>
        <w:widowControl w:val="0"/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</w:pPr>
    </w:p>
    <w:p>
      <w:pPr>
        <w:pStyle w:val="7"/>
        <w:widowControl w:val="0"/>
        <w:adjustRightInd w:val="0"/>
        <w:snapToGrid w:val="0"/>
        <w:spacing w:line="590" w:lineRule="exact"/>
        <w:ind w:right="0" w:firstLine="632" w:firstLineChars="200"/>
        <w:rPr>
          <w:rFonts w:hint="eastAsia" w:ascii="仿宋_GB2312" w:hAnsi="仿宋_GB2312" w:eastAsia="仿宋_GB2312" w:cs="仿宋_GB2312"/>
          <w:color w:val="auto"/>
          <w:szCs w:val="32"/>
        </w:rPr>
        <w:sectPr>
          <w:footerReference r:id="rId6" w:type="first"/>
          <w:footerReference r:id="rId5" w:type="default"/>
          <w:pgSz w:w="16838" w:h="11905" w:orient="landscape"/>
          <w:pgMar w:top="1531" w:right="1871" w:bottom="1531" w:left="1871" w:header="851" w:footer="1417" w:gutter="0"/>
          <w:pgNumType w:fmt="decimal"/>
          <w:cols w:space="720" w:num="1"/>
          <w:titlePg/>
          <w:rtlGutter w:val="0"/>
          <w:docGrid w:type="linesAndChars" w:linePitch="631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-842010</wp:posOffset>
              </wp:positionH>
              <wp:positionV relativeFrom="paragraph">
                <wp:posOffset>-899160</wp:posOffset>
              </wp:positionV>
              <wp:extent cx="550545" cy="1066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1066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23 —</w:t>
                          </w:r>
                        </w:p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3pt;margin-top:-70.8pt;height:84pt;width:43.35pt;z-index:251664384;mso-width-relative:page;mso-height-relative:page;" filled="f" stroked="f" coordsize="21600,21600" o:gfxdata="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djRpjdAAAADAEAAA8AAAAAAAAAAQAgAAAAIgAAAGRycy9kb3ducmV2&#10;LnhtbFBLAQIUABQAAAAIAIdO4kCI4OVkvgEAAGYDAAAOAAAAAAAAAAEAIAAAACwBAABkcnMvZTJv&#10;RG9jLnhtbFBLBQYAAAAABgAGAFkBAABcBQAAAAA=&#10;">
              <v:path/>
              <v:fill on="f" focussize="0,0"/>
              <v:stroke on="f" weight="1.25pt"/>
              <v:imagedata o:title=""/>
              <o:lock v:ext="edit" aspectratio="f"/>
              <v:textbox style="layout-flow:vertical-ideographic;">
                <w:txbxContent>
                  <w:p>
                    <w:pP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23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0819D"/>
    <w:multiLevelType w:val="singleLevel"/>
    <w:tmpl w:val="6030819D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1C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8">
    <w:name w:val="报告正文"/>
    <w:basedOn w:val="1"/>
    <w:qFormat/>
    <w:uiPriority w:val="0"/>
    <w:pPr>
      <w:ind w:firstLine="640" w:firstLineChars="200"/>
    </w:pPr>
    <w:rPr>
      <w:rFonts w:ascii="Calibri" w:hAnsi="Calibri" w:eastAsia="仿宋" w:cs="Times New Roman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2023-06-09T07:42:36Z</dcterms:created>
  <dc:creator>wuyin</dc:creator>
  <cp:lastModifiedBy>One</cp:lastModifiedBy>
  <dcterms:modified xsi:type="dcterms:W3CDTF">2023-06-09T07:42:51Z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9BF374EBD3ED4D5C9A54E4EEA2798D63_12</vt:lpwstr>
  </property>
</Properties>
</file>