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beforeLines="0" w:afterLines="0" w:line="240" w:lineRule="auto"/>
        <w:ind w:right="0" w:firstLine="0" w:firstLineChars="0"/>
        <w:jc w:val="left"/>
        <w:textAlignment w:val="auto"/>
        <w:rPr>
          <w:rFonts w:hint="eastAsia" w:ascii="黑体" w:hAnsi="黑体" w:eastAsia="黑体" w:cs="黑体"/>
          <w:b w:val="0"/>
          <w:bCs w:val="0"/>
          <w:color w:val="auto"/>
          <w:kern w:val="0"/>
          <w:sz w:val="32"/>
          <w:szCs w:val="32"/>
          <w:lang w:val="en-US" w:eastAsia="zh-CN"/>
        </w:rPr>
      </w:pPr>
      <w:bookmarkStart w:id="0" w:name="_GoBack"/>
      <w:bookmarkEnd w:id="0"/>
      <w:r>
        <w:rPr>
          <w:rFonts w:hint="eastAsia" w:ascii="黑体" w:hAnsi="黑体" w:eastAsia="黑体" w:cs="黑体"/>
          <w:b w:val="0"/>
          <w:bCs w:val="0"/>
          <w:color w:val="auto"/>
          <w:kern w:val="0"/>
          <w:sz w:val="32"/>
          <w:szCs w:val="32"/>
          <w:lang w:val="en-US" w:eastAsia="zh-CN"/>
        </w:rPr>
        <w:t>附件</w:t>
      </w:r>
    </w:p>
    <w:p>
      <w:pPr>
        <w:keepNext w:val="0"/>
        <w:keepLines w:val="0"/>
        <w:pageBreakBefore w:val="0"/>
        <w:widowControl w:val="0"/>
        <w:kinsoku/>
        <w:overflowPunct/>
        <w:topLinePunct w:val="0"/>
        <w:autoSpaceDE/>
        <w:autoSpaceDN/>
        <w:bidi w:val="0"/>
        <w:adjustRightInd w:val="0"/>
        <w:snapToGrid w:val="0"/>
        <w:spacing w:beforeLines="0" w:afterLines="0" w:line="240" w:lineRule="auto"/>
        <w:ind w:right="0" w:firstLine="0" w:firstLineChars="0"/>
        <w:jc w:val="left"/>
        <w:textAlignment w:val="auto"/>
        <w:rPr>
          <w:rFonts w:hint="eastAsia" w:ascii="方正小标宋简体" w:hAnsi="方正小标宋简体" w:eastAsia="方正小标宋简体" w:cs="方正小标宋简体"/>
          <w:b w:val="0"/>
          <w:bCs w:val="0"/>
          <w:color w:val="auto"/>
          <w:kern w:val="0"/>
          <w:sz w:val="44"/>
          <w:szCs w:val="44"/>
          <w:lang w:val="en-US" w:eastAsia="zh-CN"/>
        </w:rPr>
      </w:pPr>
    </w:p>
    <w:p>
      <w:pPr>
        <w:keepNext w:val="0"/>
        <w:keepLines w:val="0"/>
        <w:pageBreakBefore w:val="0"/>
        <w:widowControl w:val="0"/>
        <w:kinsoku/>
        <w:overflowPunct/>
        <w:topLinePunct w:val="0"/>
        <w:autoSpaceDE/>
        <w:autoSpaceDN/>
        <w:bidi w:val="0"/>
        <w:adjustRightInd w:val="0"/>
        <w:snapToGrid w:val="0"/>
        <w:spacing w:beforeLines="0" w:afterLines="0" w:line="240" w:lineRule="auto"/>
        <w:ind w:right="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2023年广东省甘薯产量提升专项、典型村奖补和现代设施农业</w:t>
      </w:r>
    </w:p>
    <w:p>
      <w:pPr>
        <w:keepNext w:val="0"/>
        <w:keepLines w:val="0"/>
        <w:pageBreakBefore w:val="0"/>
        <w:widowControl w:val="0"/>
        <w:kinsoku/>
        <w:overflowPunct/>
        <w:topLinePunct w:val="0"/>
        <w:autoSpaceDE/>
        <w:autoSpaceDN/>
        <w:bidi w:val="0"/>
        <w:adjustRightInd w:val="0"/>
        <w:snapToGrid w:val="0"/>
        <w:spacing w:beforeLines="0" w:afterLines="0" w:line="240" w:lineRule="auto"/>
        <w:ind w:right="0" w:firstLine="0" w:firstLineChars="0"/>
        <w:jc w:val="center"/>
        <w:textAlignment w:val="auto"/>
        <w:rPr>
          <w:rFonts w:hint="default"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建设贷款贴息资金分配结果</w:t>
      </w:r>
    </w:p>
    <w:p>
      <w:pPr>
        <w:keepNext w:val="0"/>
        <w:keepLines w:val="0"/>
        <w:pageBreakBefore w:val="0"/>
        <w:widowControl w:val="0"/>
        <w:kinsoku/>
        <w:overflowPunct/>
        <w:topLinePunct w:val="0"/>
        <w:autoSpaceDE/>
        <w:autoSpaceDN/>
        <w:bidi w:val="0"/>
        <w:adjustRightInd w:val="0"/>
        <w:snapToGrid w:val="0"/>
        <w:spacing w:beforeLines="0" w:afterLines="0" w:line="240" w:lineRule="auto"/>
        <w:ind w:right="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 xml:space="preserve">                                                                                                                   单位：万元</w:t>
      </w:r>
    </w:p>
    <w:tbl>
      <w:tblPr>
        <w:tblStyle w:val="10"/>
        <w:tblpPr w:leftFromText="180" w:rightFromText="180" w:vertAnchor="text" w:horzAnchor="page" w:tblpX="1593" w:tblpY="582"/>
        <w:tblOverlap w:val="never"/>
        <w:tblW w:w="13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5"/>
        <w:gridCol w:w="2"/>
        <w:gridCol w:w="655"/>
        <w:gridCol w:w="1096"/>
        <w:gridCol w:w="5188"/>
        <w:gridCol w:w="30"/>
        <w:gridCol w:w="3647"/>
        <w:gridCol w:w="98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4" w:hRule="atLeast"/>
          <w:tblHeader/>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序号</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县市区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项目承担</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单位</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建设内容</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绩效目标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资金</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jc w:val="center"/>
        </w:trPr>
        <w:tc>
          <w:tcPr>
            <w:tcW w:w="1114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bCs w:val="0"/>
                <w:kern w:val="0"/>
                <w:sz w:val="24"/>
                <w:szCs w:val="24"/>
                <w:lang w:val="en-US" w:eastAsia="zh-CN" w:bidi="ar-SA"/>
              </w:rPr>
            </w:pPr>
            <w:r>
              <w:rPr>
                <w:rFonts w:hint="eastAsia" w:ascii="仿宋_GB2312" w:hAnsi="仿宋_GB2312" w:eastAsia="仿宋_GB2312" w:cs="仿宋_GB2312"/>
                <w:b/>
                <w:bCs w:val="0"/>
                <w:kern w:val="0"/>
                <w:sz w:val="24"/>
                <w:szCs w:val="24"/>
                <w:lang w:val="en-US" w:eastAsia="zh-CN" w:bidi="ar-SA"/>
              </w:rPr>
              <w:t>合计</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bCs w:val="0"/>
                <w:kern w:val="0"/>
                <w:sz w:val="24"/>
                <w:szCs w:val="24"/>
                <w:lang w:val="en-US" w:eastAsia="zh-CN" w:bidi="ar-SA"/>
              </w:rPr>
            </w:pPr>
            <w:r>
              <w:rPr>
                <w:rFonts w:hint="eastAsia" w:ascii="仿宋_GB2312" w:hAnsi="仿宋_GB2312" w:eastAsia="仿宋_GB2312" w:cs="仿宋_GB2312"/>
                <w:b/>
                <w:bCs w:val="0"/>
                <w:kern w:val="0"/>
                <w:sz w:val="24"/>
                <w:szCs w:val="24"/>
                <w:lang w:val="en-US" w:eastAsia="zh-CN" w:bidi="ar-SA"/>
              </w:rPr>
              <w:t>31640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4" w:hRule="atLeast"/>
          <w:jc w:val="center"/>
        </w:trPr>
        <w:tc>
          <w:tcPr>
            <w:tcW w:w="52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center"/>
              <w:textAlignment w:val="auto"/>
              <w:rPr>
                <w:rFonts w:hint="eastAsia" w:ascii="仿宋_GB2312" w:hAnsi="仿宋_GB2312" w:eastAsia="仿宋_GB2312" w:cs="仿宋_GB2312"/>
                <w:b/>
                <w:bCs w:val="0"/>
                <w:kern w:val="0"/>
                <w:sz w:val="24"/>
                <w:szCs w:val="24"/>
                <w:lang w:val="en-US" w:eastAsia="zh-CN" w:bidi="ar-SA"/>
              </w:rPr>
            </w:pPr>
            <w:r>
              <w:rPr>
                <w:rFonts w:hint="eastAsia" w:ascii="仿宋_GB2312" w:hAnsi="仿宋_GB2312" w:eastAsia="仿宋_GB2312" w:cs="仿宋_GB2312"/>
                <w:b/>
                <w:bCs w:val="0"/>
                <w:i w:val="0"/>
                <w:color w:val="000000"/>
                <w:kern w:val="0"/>
                <w:sz w:val="20"/>
                <w:szCs w:val="20"/>
                <w:u w:val="none"/>
                <w:lang w:val="en-US" w:eastAsia="zh-CN" w:bidi="ar"/>
              </w:rPr>
              <w:t>一</w:t>
            </w:r>
          </w:p>
        </w:tc>
        <w:tc>
          <w:tcPr>
            <w:tcW w:w="10616"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b/>
                <w:bCs w:val="0"/>
                <w:spacing w:val="-6"/>
                <w:kern w:val="0"/>
                <w:sz w:val="32"/>
                <w:szCs w:val="32"/>
                <w:lang w:val="en-US" w:eastAsia="zh-CN"/>
              </w:rPr>
            </w:pPr>
            <w:r>
              <w:rPr>
                <w:rFonts w:hint="eastAsia" w:ascii="仿宋_GB2312" w:hAnsi="仿宋_GB2312" w:eastAsia="仿宋_GB2312" w:cs="仿宋_GB2312"/>
                <w:b/>
                <w:bCs w:val="0"/>
                <w:i w:val="0"/>
                <w:color w:val="000000"/>
                <w:kern w:val="0"/>
                <w:sz w:val="20"/>
                <w:szCs w:val="20"/>
                <w:u w:val="none"/>
                <w:lang w:val="en-US" w:eastAsia="zh-CN" w:bidi="ar"/>
              </w:rPr>
              <w:t>广东省甘薯产量提升专项资金</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bCs w:val="0"/>
                <w:kern w:val="0"/>
                <w:sz w:val="24"/>
                <w:szCs w:val="24"/>
                <w:lang w:val="en-US" w:eastAsia="zh-CN" w:bidi="ar-SA"/>
              </w:rPr>
            </w:pPr>
            <w:r>
              <w:rPr>
                <w:rFonts w:hint="eastAsia" w:ascii="仿宋_GB2312" w:hAnsi="仿宋_GB2312" w:eastAsia="仿宋_GB2312" w:cs="仿宋_GB2312"/>
                <w:b/>
                <w:bCs w:val="0"/>
                <w:kern w:val="0"/>
                <w:sz w:val="24"/>
                <w:szCs w:val="24"/>
                <w:lang w:val="en-US" w:eastAsia="zh-CN" w:bidi="ar-SA"/>
              </w:rPr>
              <w:t>8640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黑体" w:eastAsia="黑体" w:cs="黑体"/>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5" w:hRule="atLeast"/>
          <w:jc w:val="center"/>
        </w:trPr>
        <w:tc>
          <w:tcPr>
            <w:tcW w:w="5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w:t>
            </w:r>
          </w:p>
        </w:tc>
        <w:tc>
          <w:tcPr>
            <w:tcW w:w="657"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汕头市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潮南区农业农村局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韶关市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南雄市农业农村局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河源市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龙川县农业农村局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梅州市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五华县农业农村局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w:t>
            </w:r>
          </w:p>
        </w:tc>
        <w:tc>
          <w:tcPr>
            <w:tcW w:w="6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汕尾市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陆丰市农业农村局</w:t>
            </w:r>
          </w:p>
        </w:tc>
        <w:tc>
          <w:tcPr>
            <w:tcW w:w="5188" w:type="dxa"/>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w:t>
            </w:r>
          </w:p>
        </w:tc>
        <w:tc>
          <w:tcPr>
            <w:tcW w:w="65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海丰县农业农村局</w:t>
            </w:r>
          </w:p>
        </w:tc>
        <w:tc>
          <w:tcPr>
            <w:tcW w:w="518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367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阳江市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阳西县农业农村局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8</w:t>
            </w:r>
          </w:p>
        </w:tc>
        <w:tc>
          <w:tcPr>
            <w:tcW w:w="6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湛江市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雷州市农业农村局</w:t>
            </w:r>
          </w:p>
        </w:tc>
        <w:tc>
          <w:tcPr>
            <w:tcW w:w="5188" w:type="dxa"/>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9</w:t>
            </w:r>
          </w:p>
        </w:tc>
        <w:tc>
          <w:tcPr>
            <w:tcW w:w="65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遂溪县农业农村局</w:t>
            </w:r>
          </w:p>
        </w:tc>
        <w:tc>
          <w:tcPr>
            <w:tcW w:w="518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367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7"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10</w:t>
            </w:r>
          </w:p>
        </w:tc>
        <w:tc>
          <w:tcPr>
            <w:tcW w:w="6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茂名市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电白区农业农村局</w:t>
            </w:r>
          </w:p>
        </w:tc>
        <w:tc>
          <w:tcPr>
            <w:tcW w:w="5188" w:type="dxa"/>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7"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11</w:t>
            </w:r>
          </w:p>
        </w:tc>
        <w:tc>
          <w:tcPr>
            <w:tcW w:w="65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化州市农业农村局</w:t>
            </w:r>
          </w:p>
        </w:tc>
        <w:tc>
          <w:tcPr>
            <w:tcW w:w="518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367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12</w:t>
            </w:r>
          </w:p>
        </w:tc>
        <w:tc>
          <w:tcPr>
            <w:tcW w:w="6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肇庆市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广宁县农业农村局</w:t>
            </w:r>
          </w:p>
        </w:tc>
        <w:tc>
          <w:tcPr>
            <w:tcW w:w="5188" w:type="dxa"/>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13</w:t>
            </w:r>
          </w:p>
        </w:tc>
        <w:tc>
          <w:tcPr>
            <w:tcW w:w="65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怀集县农业农村局</w:t>
            </w:r>
          </w:p>
        </w:tc>
        <w:tc>
          <w:tcPr>
            <w:tcW w:w="518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367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14</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清远市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英德市农业农村局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15</w:t>
            </w:r>
          </w:p>
        </w:tc>
        <w:tc>
          <w:tcPr>
            <w:tcW w:w="6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揭阳市</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普宁市农业农村局</w:t>
            </w:r>
          </w:p>
        </w:tc>
        <w:tc>
          <w:tcPr>
            <w:tcW w:w="5188" w:type="dxa"/>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16</w:t>
            </w:r>
          </w:p>
        </w:tc>
        <w:tc>
          <w:tcPr>
            <w:tcW w:w="65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惠来县农业农村局</w:t>
            </w:r>
          </w:p>
        </w:tc>
        <w:tc>
          <w:tcPr>
            <w:tcW w:w="518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367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17</w:t>
            </w:r>
          </w:p>
        </w:tc>
        <w:tc>
          <w:tcPr>
            <w:tcW w:w="6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云浮市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罗定市农业农村局</w:t>
            </w:r>
          </w:p>
        </w:tc>
        <w:tc>
          <w:tcPr>
            <w:tcW w:w="5188" w:type="dxa"/>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建设（含改扩建）甘薯脱毒健康种苗繁育组培室、网室大棚和大田繁育基地。示范推广优质甘薯品种、脱毒健康种苗、绿色高产高效技术、病虫害绿色防控技术，提高甘薯产量。</w:t>
            </w:r>
          </w:p>
        </w:tc>
        <w:tc>
          <w:tcPr>
            <w:tcW w:w="367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建设（含改扩建）甘薯脱毒健康种苗繁育基地（含网室大棚）建设面积440亩，建设绿色高产高效示范片面积5000亩，甘薯产量提高5%。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18</w:t>
            </w:r>
          </w:p>
        </w:tc>
        <w:tc>
          <w:tcPr>
            <w:tcW w:w="657" w:type="dxa"/>
            <w:gridSpan w:val="2"/>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云城区农业农村局</w:t>
            </w:r>
          </w:p>
        </w:tc>
        <w:tc>
          <w:tcPr>
            <w:tcW w:w="5188" w:type="dxa"/>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3677" w:type="dxa"/>
            <w:gridSpan w:val="2"/>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center"/>
              <w:textAlignment w:val="auto"/>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二</w:t>
            </w:r>
          </w:p>
        </w:tc>
        <w:tc>
          <w:tcPr>
            <w:tcW w:w="10618" w:type="dxa"/>
            <w:gridSpan w:val="6"/>
            <w:tcBorders>
              <w:left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典型村奖补资金</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center"/>
              <w:textAlignment w:val="auto"/>
              <w:rPr>
                <w:rFonts w:hint="default"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3000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center"/>
              <w:textAlignment w:val="auto"/>
              <w:rPr>
                <w:rFonts w:hint="eastAsia" w:ascii="仿宋_GB2312" w:hAnsi="仿宋_GB2312" w:eastAsia="仿宋_GB2312" w:cs="仿宋_GB2312"/>
                <w:b/>
                <w:bCs w:val="0"/>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汕头市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汕头市农业农村局</w:t>
            </w:r>
          </w:p>
        </w:tc>
        <w:tc>
          <w:tcPr>
            <w:tcW w:w="5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150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1.澄海区隆都镇前美村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2.南澳县深澳镇后花园村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3.龙湖区新海街道大兴村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4.潮阳区关埠镇溪西欧村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5.潮南区红场镇大溪坝村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韶关市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韶关市农业农村局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240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1.乐昌市廊田镇白平村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2.乐昌市北乡镇东红村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3.南雄市珠玑镇梅岭村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4.南雄市湖口镇长市村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5.始兴县隘子镇满堂村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6.始兴县顿岗镇周所村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7.仁化县周田镇周田村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8.翁源县江尾镇连溪村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河源市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河源市乡村振兴局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210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1.源城区埔前镇陂角村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2.东源县顺天镇金史村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3.和平县大坝镇水背村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4.龙川县佗城镇佳派村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5.紫金县蓝塘镇茜坑村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6.连平县忠信镇柘陂村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7.江东新区古竹镇雅色村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梅州市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梅州市农业农村局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种植树木产权属于村集体。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240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1.平远县仁居镇邹坊村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2.兴宁市径南镇浊水村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3.大埔县三河镇汇城村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4.丰顺县汤西镇大罗村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5.五华县棉洋镇新光村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6.梅县区雁洋镇塘心村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7.蕉岭县新铺镇同福村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8.梅江区城北镇上村村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惠州市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惠市农业农村局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210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1.龙门县平陵街道山下村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2.惠阳区平潭镇新圩村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3.惠东县梁化镇小禾洞村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4.博罗县福田镇徐田村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5.龙门县龙城街道三洞村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6.仲恺区潼侨镇金星村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7.博罗县长宁镇松树岗村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67"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汕尾市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汕尾市农业农村局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210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1.海丰县赤坑镇仁家村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2.陆丰市碣石镇浅澳村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3.陆河县河口镇对门村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4.陆丰市金厢镇十二岗村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5.陆河县水唇镇墩塘村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6.海丰县大湖镇高螺村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7.红海湾经济开发区田墘街道内湖村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江门市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江门市农业农村局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150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1.开平市塘口镇强亚村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2.台山市台城街道桂水村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3.开平市百合镇茅冈村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4.台山市都斛镇大纲村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5.恩平市牛江镇昌梅村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8</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阳江市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阳江市农业农村局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1.阳西县沙扒镇渡头村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2.阳东区合山镇丰垌村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3.江城区埠场镇那蓬村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4.高新区平冈镇沙头垅村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5.阳东区塘坪镇北甘村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6.阳东区东平镇允泊村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9</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湛江市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湛江市农业农村局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210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1.麻章区湖光镇那柳村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2.雷州市龙门镇足荣村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3.徐闻县角尾乡放坡村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4.坡头区龙头镇莫村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5.吴川市黄坡镇唐基村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6.廉江市塘蓬镇上山村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7.遂溪县杨柑镇布政村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10</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茂名市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茂名市农业农村局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210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1.高州市石鼓镇门前坡村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2.高州市分界镇储良村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3.高州市石仔岭街道镇大岭村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4.茂南区金塘镇白土村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5.电白区观珠镇沙垌村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6.化州市新安镇新塘村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7.信宜市白石镇细寨村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7"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11</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肇庆市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肇庆市农业农村局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210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1.四会市江谷镇新屋村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2.封开县金装镇望高村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3.高要区回龙镇大田塱村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4.鼎湖区凤凰镇新凤村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5.怀集县下帅壮族瑶族乡黄翰村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6.德庆县官圩镇红中村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7.封开县长安镇今宝村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12</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清远市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清远市农业农村局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240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1.佛冈县水头镇新联村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2.连州市东陂镇西塘村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3.连山壮族瑶族自治县永和镇桂联村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4.清城区石角镇石岐村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5.清新区三坑镇葵背村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6.连南三排镇三排村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7.英德市西牛镇小湾村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8.阳山县大崀镇松林村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13</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潮州市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潮州市农业农村局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snapToGrid w:val="0"/>
                <w:color w:val="000000"/>
                <w:spacing w:val="-6"/>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w:t>
            </w:r>
            <w:r>
              <w:rPr>
                <w:rFonts w:hint="eastAsia" w:ascii="仿宋_GB2312" w:hAnsi="仿宋_GB2312" w:eastAsia="仿宋_GB2312" w:cs="仿宋_GB2312"/>
                <w:b w:val="0"/>
                <w:bCs/>
                <w:i w:val="0"/>
                <w:color w:val="000000"/>
                <w:kern w:val="0"/>
                <w:sz w:val="20"/>
                <w:szCs w:val="20"/>
                <w:u w:val="none"/>
                <w:lang w:val="en-US" w:eastAsia="zh-CN" w:bidi="ar"/>
              </w:rPr>
              <w:t>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1.饶平县大埕镇上东村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2.饶平县联饶镇下饶村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3.饶平县三饶镇南联村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4.湘桥区官塘镇顶乡村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5.湘桥区意溪镇西都村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6.潮安区浮洋镇厦里美村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14</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揭阳市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揭阳市农业农村局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1.揭西县五云镇郑塘村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2.惠来县隆江镇邦山村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3.揭西县大溪镇井美村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4.揭西县五经富镇泮坑村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5.普宁市南溪镇新溪村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6.榕城区登岗镇彭厝村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7"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15</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云浮市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云浮市农业农村局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一是提高村庄绿化水平。每村平均安排18万元，按照每株苗木成本180元（其中苗木采购费100元，运输、施底肥、种植指导和1年管护指导等费用80元）标准，每村种植不少于1000棵树，支持因地制宜种植胸径3-5厘米的乔木，推进利用“四旁”“五边”空地见缝插针植绿增绿。二是提高村庄美化水平。每村平均安排12万元，鼓励村集体经济组织和农民工匠承担工程，施行村庄建设简易审批程序，采取以奖代补方式实施乡村补短板工程等普惠性、基础性、兜底性民生建设，进一步推进村庄危房、乱搭乱建、残垣断壁等整治，村庄积存垃圾、污水、池塘污泥等清理，引导因地制宜建设绿美景观带、绿美小公园、绿美小花园等小生态板块，深入推进村庄清洁行动，提升村庄绿化美化质量。不能施行村庄建设简易审批程序，采取以奖代补方式建设的村庄，此30万元资金要收回。</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每个典型村共采购和种植胸径3-5厘米乔木不少于1000棵，苗木管护成活率不低于90%。村庄绿化覆盖率明显提高，树种结构明显优化，村庄绿化美化水平全面提升。当年度资金支出率100%，项目村群众满意度不低于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180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1.新兴县太平镇河村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2.云安区高村镇高村村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3.云城区前锋镇崖楼村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4.罗定市黎少镇田心村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5.云城区南盛镇枧岭村</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6.云安区白石镇石底村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center"/>
              <w:textAlignment w:val="auto"/>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三</w:t>
            </w:r>
          </w:p>
        </w:tc>
        <w:tc>
          <w:tcPr>
            <w:tcW w:w="1061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现代设施农业建设贷款贴息资金</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center"/>
              <w:textAlignment w:val="auto"/>
              <w:rPr>
                <w:rFonts w:hint="default"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20000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jc w:val="center"/>
              <w:textAlignment w:val="auto"/>
              <w:rPr>
                <w:rFonts w:hint="eastAsia" w:ascii="仿宋_GB2312" w:hAnsi="仿宋_GB2312" w:eastAsia="仿宋_GB2312" w:cs="仿宋_GB2312"/>
                <w:b/>
                <w:bCs w:val="0"/>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广州市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广州市农业农村局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3650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珠海市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珠海市农业农村局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1260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汕头市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汕头市农业农村局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467</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佛山市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佛山市农业农村局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1646</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5</w:t>
            </w:r>
          </w:p>
        </w:tc>
        <w:tc>
          <w:tcPr>
            <w:tcW w:w="6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韶关市</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韶关市农业农村局</w:t>
            </w:r>
          </w:p>
        </w:tc>
        <w:tc>
          <w:tcPr>
            <w:tcW w:w="5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469</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5"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河源市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河源市农业农村局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1168</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0"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梅州市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梅州市农业农村局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1145</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0"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8</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惠州市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惠州市农业农村局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1258</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4"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9</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汕尾市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汕尾市农业农村局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312</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4"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10</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东莞市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东莞市农业农村局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301</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5"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11</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中山市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中山市农业农村局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316</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9"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12</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江门市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江门市农业农村局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306</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5"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13</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阳江市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阳江市农业农村局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926</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0"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14</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湛江市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湛江市农业农村局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2707</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5"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15</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茂名市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茂名市农业农村局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750</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0"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16</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肇庆市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肇庆市农业农村局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602</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5"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17</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清远市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清远市农业农村局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947</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5"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18</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潮州市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潮州市农业农村局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721</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5"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19</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揭阳市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揭阳市农业农村局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419</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5" w:hRule="atLeast"/>
          <w:jc w:val="center"/>
        </w:trPr>
        <w:tc>
          <w:tcPr>
            <w:tcW w:w="525"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20</w:t>
            </w:r>
          </w:p>
        </w:tc>
        <w:tc>
          <w:tcPr>
            <w:tcW w:w="657" w:type="dxa"/>
            <w:gridSpan w:val="2"/>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云浮市</w:t>
            </w:r>
          </w:p>
        </w:tc>
        <w:tc>
          <w:tcPr>
            <w:tcW w:w="1096"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云浮市农业农村局</w:t>
            </w:r>
          </w:p>
        </w:tc>
        <w:tc>
          <w:tcPr>
            <w:tcW w:w="5188" w:type="dxa"/>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1.优先支持对符合《全国现代设施农业建设规划》（2023-2030年）》要求的设施种植、设施畜牧、设施渔业、农产品产地冷藏保鲜物流和烘干设施等领域新建或改扩建项目从银行获得贷款的各类农业经营主体进行贷款贴息。贷款资金重点用于满足现代设施农业生产经营所必需的基础设施、固定资产设备投资。</w:t>
            </w: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2.地市可根据实际情况统筹部分资金对中央及省级现代设施农业创新引领区及创新引领基地实施奖补。</w:t>
            </w:r>
          </w:p>
        </w:tc>
        <w:tc>
          <w:tcPr>
            <w:tcW w:w="3677" w:type="dxa"/>
            <w:gridSpan w:val="2"/>
          </w:tcPr>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资金及时足额发放到符合条件的农业经营主体手中。充分发挥财政资金的撬动和引领作用，有力推动设施农业转型升级，促进现代设施农业技术装备明显改善，推动我省设施农业加快发展。</w:t>
            </w:r>
          </w:p>
        </w:tc>
        <w:tc>
          <w:tcPr>
            <w:tcW w:w="988" w:type="dxa"/>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630</w:t>
            </w:r>
          </w:p>
        </w:tc>
        <w:tc>
          <w:tcPr>
            <w:tcW w:w="1292" w:type="dxa"/>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val="0"/>
                <w:bCs/>
                <w:i w:val="0"/>
                <w:color w:val="000000"/>
                <w:kern w:val="0"/>
                <w:sz w:val="20"/>
                <w:szCs w:val="20"/>
                <w:u w:val="none"/>
                <w:lang w:val="en-US" w:eastAsia="zh-CN" w:bidi="ar"/>
              </w:rPr>
            </w:pPr>
          </w:p>
        </w:tc>
      </w:tr>
    </w:tbl>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firstLine="0" w:firstLineChars="0"/>
        <w:jc w:val="right"/>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b w:val="0"/>
          <w:bCs/>
          <w:kern w:val="0"/>
          <w:sz w:val="24"/>
          <w:szCs w:val="24"/>
          <w:lang w:val="en-US" w:eastAsia="zh-CN" w:bidi="ar-SA"/>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szCs w:val="24"/>
          <w:vertAlign w:val="baseline"/>
          <w:lang w:val="en-US" w:eastAsia="zh-CN"/>
        </w:rPr>
      </w:pPr>
    </w:p>
    <w:p>
      <w:pPr>
        <w:rPr>
          <w:rFonts w:hint="default"/>
          <w:lang w:val="en-US" w:eastAsia="zh-CN"/>
        </w:rPr>
      </w:pPr>
    </w:p>
    <w:p/>
    <w:p/>
    <w:p>
      <w:pPr>
        <w:pStyle w:val="3"/>
        <w:rPr>
          <w:rFonts w:hint="default"/>
          <w:lang w:val="en-US" w:eastAsia="zh-CN"/>
        </w:rPr>
      </w:pPr>
    </w:p>
    <w:sectPr>
      <w:footerReference r:id="rId3" w:type="default"/>
      <w:pgSz w:w="16838" w:h="11906" w:orient="landscape"/>
      <w:pgMar w:top="1531" w:right="1871" w:bottom="1531" w:left="1871" w:header="851" w:footer="1417" w:gutter="0"/>
      <w:cols w:space="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HorizontalSpacing w:val="210"/>
  <w:drawingGridVerticalSpacing w:val="15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5C651809"/>
    <w:rsid w:val="01CA4128"/>
    <w:rsid w:val="03A223C9"/>
    <w:rsid w:val="09702DFC"/>
    <w:rsid w:val="137D3B3A"/>
    <w:rsid w:val="1577761B"/>
    <w:rsid w:val="1C3295A9"/>
    <w:rsid w:val="1FFFA7EE"/>
    <w:rsid w:val="20FB5540"/>
    <w:rsid w:val="27C808BE"/>
    <w:rsid w:val="2CD16F08"/>
    <w:rsid w:val="34A4469A"/>
    <w:rsid w:val="3A9757FC"/>
    <w:rsid w:val="3FC1C458"/>
    <w:rsid w:val="3FFF450E"/>
    <w:rsid w:val="457F78F7"/>
    <w:rsid w:val="461A3A8D"/>
    <w:rsid w:val="48B550E8"/>
    <w:rsid w:val="4E0332B8"/>
    <w:rsid w:val="5698658C"/>
    <w:rsid w:val="56FF4CED"/>
    <w:rsid w:val="57DF4645"/>
    <w:rsid w:val="5C651809"/>
    <w:rsid w:val="5CFA4AA3"/>
    <w:rsid w:val="5EC42C7C"/>
    <w:rsid w:val="5F75751F"/>
    <w:rsid w:val="67345D90"/>
    <w:rsid w:val="6BFFE3CD"/>
    <w:rsid w:val="7739C2CF"/>
    <w:rsid w:val="7767C1DB"/>
    <w:rsid w:val="79B3F159"/>
    <w:rsid w:val="7EBE20E0"/>
    <w:rsid w:val="7F5E979E"/>
    <w:rsid w:val="7FEFC18C"/>
    <w:rsid w:val="7FFE67EF"/>
    <w:rsid w:val="ABAF8041"/>
    <w:rsid w:val="BDF6A7D1"/>
    <w:rsid w:val="D17DC6D9"/>
    <w:rsid w:val="DFE38280"/>
    <w:rsid w:val="DFEF74CA"/>
    <w:rsid w:val="E7FE0817"/>
    <w:rsid w:val="EEFFE5A7"/>
    <w:rsid w:val="EFDB46EF"/>
    <w:rsid w:val="EFFECBE6"/>
    <w:rsid w:val="F6FD1829"/>
    <w:rsid w:val="FFDE67BA"/>
    <w:rsid w:val="FFFDF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widowControl/>
      <w:spacing w:line="415" w:lineRule="auto"/>
      <w:outlineLvl w:val="1"/>
    </w:pPr>
    <w:rPr>
      <w:rFonts w:ascii="Calibri Light" w:hAnsi="Calibri Light" w:eastAsia="宋体" w:cs="宋体"/>
      <w:b/>
      <w:bCs/>
      <w:kern w:val="0"/>
    </w:rPr>
  </w:style>
  <w:style w:type="paragraph" w:styleId="2">
    <w:name w:val="heading 3"/>
    <w:basedOn w:val="1"/>
    <w:next w:val="1"/>
    <w:autoRedefine/>
    <w:qFormat/>
    <w:uiPriority w:val="0"/>
    <w:pPr>
      <w:keepNext/>
      <w:keepLines/>
      <w:spacing w:line="413" w:lineRule="auto"/>
      <w:outlineLvl w:val="2"/>
    </w:pPr>
    <w:rPr>
      <w:rFonts w:ascii="Times New Roman" w:hAnsi="Times New Roman" w:eastAsia="宋体" w:cs="Times New Roman"/>
      <w:sz w:val="21"/>
      <w:szCs w:val="24"/>
    </w:rPr>
  </w:style>
  <w:style w:type="paragraph" w:styleId="4">
    <w:name w:val="heading 6"/>
    <w:basedOn w:val="1"/>
    <w:next w:val="1"/>
    <w:autoRedefine/>
    <w:qFormat/>
    <w:uiPriority w:val="9"/>
    <w:pPr>
      <w:keepNext/>
      <w:keepLines/>
      <w:spacing w:before="240" w:after="64" w:line="317" w:lineRule="auto"/>
      <w:outlineLvl w:val="5"/>
    </w:pPr>
    <w:rPr>
      <w:rFonts w:ascii="Arial" w:hAnsi="Arial" w:eastAsia="黑体"/>
      <w:b/>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after="120"/>
    </w:pPr>
    <w:rPr>
      <w:rFonts w:ascii="Calibri" w:hAnsi="Calibri" w:eastAsia="宋体" w:cs="Times New Roman"/>
      <w:sz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paragraph" w:styleId="9">
    <w:name w:val="Body Text First Indent"/>
    <w:basedOn w:val="5"/>
    <w:autoRedefine/>
    <w:qFormat/>
    <w:uiPriority w:val="0"/>
    <w:pPr>
      <w:ind w:firstLine="420" w:firstLineChars="100"/>
    </w:pPr>
    <w:rPr>
      <w:sz w:val="20"/>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2023-11-20T01:39:00Z</dcterms:created>
  <dc:creator>叶嘉良（公文接收岗）</dc:creator>
  <cp:lastModifiedBy>One</cp:lastModifiedBy>
  <cp:lastPrinted>2023-11-25T00:52:00Z</cp:lastPrinted>
  <dcterms:modified xsi:type="dcterms:W3CDTF">2023-12-29T08:12:32Z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271360500F1D41B392B19794A397028B</vt:lpwstr>
  </property>
  <property fmtid="{D5CDD505-2E9C-101B-9397-08002B2CF9AE}" pid="4" name="showFlag">
    <vt:bool>true</vt:bool>
  </property>
</Properties>
</file>