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2023年省级补贴资金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highlight w:val="none"/>
          <w:lang w:val="en-US" w:eastAsia="zh-CN"/>
        </w:rPr>
        <w:t>拨付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tbl>
      <w:tblPr>
        <w:tblStyle w:val="3"/>
        <w:tblW w:w="13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79"/>
        <w:gridCol w:w="1367"/>
        <w:gridCol w:w="1326"/>
        <w:gridCol w:w="1315"/>
        <w:gridCol w:w="1316"/>
        <w:gridCol w:w="1231"/>
        <w:gridCol w:w="1231"/>
        <w:gridCol w:w="1231"/>
        <w:gridCol w:w="1219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地级市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拨付金额（元）</w:t>
            </w:r>
          </w:p>
        </w:tc>
        <w:tc>
          <w:tcPr>
            <w:tcW w:w="99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中华联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国寿财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24,302,389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15,812,349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1,738,401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2,008,902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4,742,737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46,433,137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35,620,332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10,529,105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283,700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21,602,735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12,452,924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1,582,875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7,566,936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34,784,324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15,228,543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556,200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13,447,025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3,373,356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2,179,200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19,874,408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7,344,848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5,567,839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4,843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6,905,075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51,803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81,616,287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57,496,729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15,307,934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8,811,624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31,993,012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10,325,028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3,139,915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8,072,800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6,420,800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1,593,609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2,440,860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165,709,615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87,228,184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25,359,284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24,007,588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25,473,201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3,641,358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72,975,294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40,346,853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10,678,565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2,706,799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1,280,097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12,565,313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5,397,667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84,552,673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1,460,705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5,804,983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38,497,119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6,690,405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32,099,461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53,749,351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18,937,633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8,392,374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8,051,501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12,129,583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6,238,260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16,505,874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13,766,485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2,739,389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19,913,886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13,116,567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3,128,896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2,953,845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714,578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25,346,009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4,550,635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7,065,232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10,146,200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3,583,942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699,358,994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333,687,815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79,132,344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117,326,193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60,881,220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71,852,911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33,985,848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2,440,860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51,803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br w:type="page"/>
      </w: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2023年省级奖补资金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付表</w:t>
      </w:r>
    </w:p>
    <w:tbl>
      <w:tblPr>
        <w:tblStyle w:val="3"/>
        <w:tblW w:w="13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89"/>
        <w:gridCol w:w="1426"/>
        <w:gridCol w:w="1316"/>
        <w:gridCol w:w="1322"/>
        <w:gridCol w:w="1206"/>
        <w:gridCol w:w="1316"/>
        <w:gridCol w:w="1206"/>
        <w:gridCol w:w="1206"/>
        <w:gridCol w:w="120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地级市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拨付金额（元）</w:t>
            </w:r>
          </w:p>
        </w:tc>
        <w:tc>
          <w:tcPr>
            <w:tcW w:w="10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人保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太保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国寿财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122,767,453 </w:t>
            </w: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74,462,172 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23,748,801 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2,896,595 </w:t>
            </w: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2,228,303 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14,162,836 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5,268,746 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20,380,098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8,750,047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7,231,454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986,839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1,344,249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978,590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1,088,919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4,986,839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3,535,360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1,278,609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172,870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50,543,811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25,600,440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19,484,639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722,776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793,538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3,942,418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1,448,011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750,400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223,532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196,708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277,371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3,294,912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3,260,490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34,422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18,841,990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11,763,054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4,473,088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1,111,678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90,442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1,401,844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11,537,902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5,758,567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3,122,156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2,344,502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312,677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2,679,706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2,679,706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21,135,666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10,838,590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10,297,076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138,268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4,657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133,611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428,970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428,970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11,032,474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11,032,474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2,715,131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238,653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1,739,512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175,857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561,109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3,096,735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2,376,295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61,179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659,261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9,905,954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9,121,402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270,433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514,119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284,933,920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156,884,440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82,624,538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9,997,847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2,537,771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18,075,518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8,380,625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5,031,337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1,401,844 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2022年及以前年度省级补贴资金拨付表</w:t>
      </w:r>
    </w:p>
    <w:p>
      <w:pPr>
        <w:adjustRightInd w:val="0"/>
        <w:snapToGrid w:val="0"/>
        <w:spacing w:line="590" w:lineRule="exact"/>
        <w:rPr>
          <w:rFonts w:hint="eastAsia" w:eastAsia="宋体"/>
          <w:lang w:eastAsia="zh-CN"/>
        </w:rPr>
      </w:pPr>
    </w:p>
    <w:tbl>
      <w:tblPr>
        <w:tblStyle w:val="3"/>
        <w:tblW w:w="13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2"/>
        <w:gridCol w:w="1162"/>
        <w:gridCol w:w="1164"/>
        <w:gridCol w:w="1000"/>
        <w:gridCol w:w="1524"/>
        <w:gridCol w:w="1464"/>
        <w:gridCol w:w="1761"/>
        <w:gridCol w:w="1587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地级市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</w:tc>
        <w:tc>
          <w:tcPr>
            <w:tcW w:w="10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中华联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国寿财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</w:tbl>
    <w:p>
      <w:pPr>
        <w:rPr>
          <w:rFonts w:hint="eastAsia" w:eastAsia="宋体"/>
          <w:lang w:eastAsia="zh-CN"/>
        </w:rPr>
        <w:sectPr>
          <w:pgSz w:w="16838" w:h="11906" w:orient="landscape"/>
          <w:pgMar w:top="1134" w:right="1701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2" w:charSpace="0"/>
        </w:sect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2023年农业保险省级补贴资金绩效目标表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34"/>
        <w:gridCol w:w="1592"/>
        <w:gridCol w:w="3183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2023年农业保险保费补贴资金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省财政厅、农业农村厅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98429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目标1：引导和支持农户参加农业保险；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目标2：中央财政主要保障关系国计民生和粮食安全的大宗农产品，重点支持农业生产环节；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目标3：不断扩大农业保险覆盖面和风险保障水平，逐步建立市场化的农业生产风险防范化解机制；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目标4：</w:t>
            </w:r>
            <w:r>
              <w:rPr>
                <w:rStyle w:val="5"/>
                <w:rFonts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稳定农业生产，保障农民收入。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三大粮食作物投保面积覆盖面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育肥猪保险覆盖率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绝对免赔额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风险保障水平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高于上一年度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风险保障总额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高于上一年度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农业保险综合费用率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经办机构县级分支机构覆盖率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承保理赔公示率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参保农户满意度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  <w:sectPr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95" w:charSpace="0"/>
        </w:sectPr>
      </w:pPr>
    </w:p>
    <w:p>
      <w:pPr>
        <w:adjustRightInd w:val="0"/>
        <w:snapToGrid w:val="0"/>
        <w:spacing w:beforeLines="0" w:afterLines="0" w:line="590" w:lineRule="exact"/>
        <w:ind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-594360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Lines="0" w:afterLines="0" w:line="590" w:lineRule="exact"/>
                              <w:rPr>
                                <w:rFonts w:hint="eastAsia" w:ascii="黑体" w:hAnsi="黑体" w:eastAsia="黑体" w:cs="黑体"/>
                                <w:snapToGrid w:val="0"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napToGrid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pt;margin-top:-46.8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P/EF2QAAAAoBAAAPAAAAAAAAAAEAIAAAACIA&#10;AABkcnMvZG93bnJldi54bWxQSwECFAAUAAAACACHTuJAmODKgQgCAAAvBAAADgAAAAAAAAABACAA&#10;AAAoAQAAZHJzL2Uyb0RvYy54bWxQSwUGAAAAAAYABgBZAQAAog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beforeLines="0" w:afterLines="0" w:line="590" w:lineRule="exact"/>
                        <w:rPr>
                          <w:rFonts w:hint="eastAsia" w:ascii="黑体" w:hAnsi="黑体" w:eastAsia="黑体" w:cs="黑体"/>
                          <w:snapToGrid w:val="0"/>
                          <w:kern w:val="0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2023年省级补贴资金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任务清单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firstLine="0" w:firstLineChars="0"/>
        <w:jc w:val="righ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kern w:val="0"/>
          <w:sz w:val="22"/>
          <w:szCs w:val="22"/>
        </w:rPr>
        <w:t>单位：元</w:t>
      </w:r>
    </w:p>
    <w:tbl>
      <w:tblPr>
        <w:tblStyle w:val="3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"/>
        <w:gridCol w:w="1257"/>
        <w:gridCol w:w="969"/>
        <w:gridCol w:w="5501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拨付金额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699,358,994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中国人民财产保险股份有限公司广东省分公司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333,687,815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中国太平洋财产保险股份有限公司广东分公司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79,132,344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中华联合财产保险股份有限公司广东分公司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117,326,193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阳光农业相互保险公司广东分公司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60,881,220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中国人寿财产保险股份有限公司广东省分公司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71,852,911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中国平安财产保险股份有限公司广东分公司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33,985,848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太平财产保险有限公司广东分公司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2,440,860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中国大地财产保险股份有限公司广东分公司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51,803 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ind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2023年省级奖补资金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任务清单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firstLine="0" w:firstLineChars="0"/>
        <w:jc w:val="righ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kern w:val="0"/>
          <w:sz w:val="22"/>
          <w:szCs w:val="22"/>
        </w:rPr>
        <w:t>单位：元</w:t>
      </w:r>
    </w:p>
    <w:tbl>
      <w:tblPr>
        <w:tblStyle w:val="3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1251"/>
        <w:gridCol w:w="999"/>
        <w:gridCol w:w="502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拨付金额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284,933,920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中国人民财产保险股份有限公司广东省分公司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156,884,440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中国太平洋财产保险股份有限公司广东分公司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82,624,538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中华联合财产保险股份有限公司广东分公司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9,997,847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阳光农业相互保险公司广东分公司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2,537,771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中国人寿财产保险股份有限公司广东省分公司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18,075,518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中国平安财产保险股份有限公司广东分公司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8,380,625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太平财产保险有限公司广东分公司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5,031,337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中国大地财产保险股份有限公司广东分公司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1,401,844 </w:t>
            </w:r>
          </w:p>
        </w:tc>
      </w:tr>
    </w:tbl>
    <w:p>
      <w:r>
        <w:br w:type="page"/>
      </w:r>
    </w:p>
    <w:p>
      <w:pPr>
        <w:adjustRightInd w:val="0"/>
        <w:snapToGrid w:val="0"/>
        <w:spacing w:beforeLines="0" w:afterLines="0" w:line="590" w:lineRule="exact"/>
        <w:ind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2022年及以前年度省级补贴资金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任务清单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firstLine="0" w:firstLineChars="0"/>
        <w:jc w:val="righ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kern w:val="0"/>
          <w:sz w:val="22"/>
          <w:szCs w:val="22"/>
        </w:rPr>
        <w:t>单位：元</w:t>
      </w:r>
    </w:p>
    <w:tbl>
      <w:tblPr>
        <w:tblStyle w:val="3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1222"/>
        <w:gridCol w:w="943"/>
        <w:gridCol w:w="494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拨付金额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中国人民财产保险股份有限公司广东省分公司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605,520,000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中国太平洋财产保险股份有限公司广东分公司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93,210,000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中华联合财产保险股份有限公司广东分公司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121,140,000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阳光农业相互保险公司广东分公司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106,480,000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中国人寿财产保险股份有限公司广东省分公司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39,050,000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中国平安财产保险股份有限公司广东分公司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31,420,000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太平财产保险有限公司广东分公司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省级财政农业保险保费补贴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3,180,000 </w:t>
            </w:r>
          </w:p>
        </w:tc>
      </w:tr>
    </w:tbl>
    <w:p>
      <w:pPr>
        <w:pStyle w:val="6"/>
        <w:widowControl w:val="0"/>
        <w:adjustRightInd w:val="0"/>
        <w:snapToGrid w:val="0"/>
        <w:spacing w:line="100" w:lineRule="exact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4B62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2024-01-04T01:42:56Z</dcterms:created>
  <dc:creator>wuyin</dc:creator>
  <cp:lastModifiedBy>One</cp:lastModifiedBy>
  <dcterms:modified xsi:type="dcterms:W3CDTF">2024-01-04T01:42:59Z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22663D2F35C647829A7B2E9FB57958BE_12</vt:lpwstr>
  </property>
</Properties>
</file>