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shd w:val="clear" w:color="auto" w:fill="auto"/>
        <w:adjustRightInd w:val="0"/>
        <w:snapToGrid w:val="0"/>
        <w:spacing w:before="0" w:beforeLines="0" w:beforeAutospacing="0" w:after="0" w:afterLines="0" w:afterAutospacing="0" w:line="590" w:lineRule="exact"/>
        <w:ind w:firstLine="0" w:firstLineChars="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黑体" w:hAnsi="黑体" w:eastAsia="黑体" w:cs="黑体"/>
          <w:b w:val="0"/>
          <w:bCs w:val="0"/>
          <w:snapToGrid w:val="0"/>
          <w:color w:val="auto"/>
          <w:spacing w:val="0"/>
          <w:kern w:val="0"/>
          <w:sz w:val="32"/>
          <w:szCs w:val="32"/>
          <w:highlight w:val="none"/>
          <w:lang w:val="en-US" w:eastAsia="zh-CN" w:bidi="ar-SA"/>
        </w:rPr>
        <w:t>附件1</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0" w:firstLineChars="0"/>
        <w:jc w:val="center"/>
        <w:textAlignment w:val="auto"/>
        <w:rPr>
          <w:rFonts w:hint="eastAsia" w:ascii="方正小标宋简体" w:hAnsi="方正小标宋简体" w:eastAsia="方正小标宋简体" w:cs="方正小标宋简体"/>
          <w:caps w:val="0"/>
          <w:snapToGrid w:val="0"/>
          <w:color w:val="auto"/>
          <w:spacing w:val="0"/>
          <w:kern w:val="0"/>
          <w:sz w:val="44"/>
          <w:szCs w:val="44"/>
          <w:highlight w:val="none"/>
          <w:lang w:val="en-US" w:eastAsia="zh-CN"/>
        </w:rPr>
      </w:pP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0" w:firstLineChars="0"/>
        <w:jc w:val="center"/>
        <w:textAlignment w:val="auto"/>
        <w:rPr>
          <w:rFonts w:hint="eastAsia" w:ascii="方正小标宋简体" w:hAnsi="方正小标宋简体" w:eastAsia="方正小标宋简体" w:cs="方正小标宋简体"/>
          <w:caps w:val="0"/>
          <w:snapToGrid w:val="0"/>
          <w:color w:val="auto"/>
          <w:spacing w:val="0"/>
          <w:kern w:val="0"/>
          <w:sz w:val="44"/>
          <w:szCs w:val="44"/>
          <w:highlight w:val="none"/>
          <w:lang w:val="en-US" w:eastAsia="zh-CN"/>
        </w:rPr>
      </w:pPr>
      <w:r>
        <w:rPr>
          <w:rFonts w:hint="eastAsia" w:ascii="方正小标宋简体" w:hAnsi="方正小标宋简体" w:eastAsia="方正小标宋简体" w:cs="方正小标宋简体"/>
          <w:caps w:val="0"/>
          <w:snapToGrid w:val="0"/>
          <w:color w:val="auto"/>
          <w:spacing w:val="0"/>
          <w:kern w:val="0"/>
          <w:sz w:val="44"/>
          <w:szCs w:val="44"/>
          <w:highlight w:val="none"/>
          <w:lang w:val="en-US" w:eastAsia="zh-CN"/>
        </w:rPr>
        <w:t>2024年省级种业振兴行动和科技兴农专项</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0" w:firstLineChars="0"/>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aps w:val="0"/>
          <w:snapToGrid w:val="0"/>
          <w:color w:val="auto"/>
          <w:spacing w:val="0"/>
          <w:kern w:val="0"/>
          <w:sz w:val="44"/>
          <w:szCs w:val="44"/>
          <w:highlight w:val="none"/>
          <w:lang w:val="en-US" w:eastAsia="zh-CN"/>
        </w:rPr>
        <w:t>资金项目入库申报指南</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黑体" w:hAnsi="黑体" w:eastAsia="黑体" w:cs="黑体"/>
          <w:color w:val="auto"/>
          <w:kern w:val="0"/>
          <w:sz w:val="32"/>
          <w:szCs w:val="32"/>
          <w:highlight w:val="none"/>
          <w:lang w:eastAsia="zh-CN"/>
        </w:rPr>
      </w:pP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一、种业振兴行动项目</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lang w:eastAsia="zh-CN"/>
        </w:rPr>
        <w:t>（一）</w:t>
      </w:r>
      <w:r>
        <w:rPr>
          <w:rFonts w:hint="eastAsia" w:ascii="楷体_GB2312" w:hAnsi="楷体_GB2312" w:eastAsia="楷体_GB2312" w:cs="楷体_GB2312"/>
          <w:color w:val="auto"/>
          <w:kern w:val="0"/>
          <w:sz w:val="32"/>
          <w:szCs w:val="32"/>
          <w:highlight w:val="none"/>
          <w:lang w:val="en-US" w:eastAsia="zh-CN"/>
        </w:rPr>
        <w:t>资源保护类</w:t>
      </w:r>
      <w:r>
        <w:rPr>
          <w:rFonts w:hint="eastAsia" w:ascii="楷体_GB2312" w:hAnsi="楷体_GB2312" w:eastAsia="楷体_GB2312" w:cs="楷体_GB2312"/>
          <w:color w:val="auto"/>
          <w:kern w:val="0"/>
          <w:sz w:val="32"/>
          <w:szCs w:val="32"/>
          <w:highlight w:val="none"/>
        </w:rPr>
        <w:t>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1.雷州山羊新种质资源引进与优质基因快速传递技术开发</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highlight w:val="none"/>
          <w:lang w:val="en-US" w:eastAsia="zh-CN"/>
        </w:rPr>
        <w:t>（1）建设内容</w:t>
      </w:r>
    </w:p>
    <w:p>
      <w:pPr>
        <w:pStyle w:val="6"/>
        <w:keepNext w:val="0"/>
        <w:keepLines w:val="0"/>
        <w:pageBreakBefore w:val="0"/>
        <w:kinsoku/>
        <w:overflowPunct/>
        <w:topLinePunct w:val="0"/>
        <w:autoSpaceDN/>
        <w:bidi w:val="0"/>
        <w:adjustRightInd w:val="0"/>
        <w:snapToGrid w:val="0"/>
        <w:spacing w:beforeLines="0" w:after="0" w:line="590" w:lineRule="exact"/>
        <w:ind w:left="0" w:leftChars="0"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从国家库引进精子及胚胎进行恢复性研究，组建新的F0代纯种雷州山羊群体；优化雷州山羊的精液、胚胎冷冻以及克隆技术，确保优质基因资源的长期保存和高效利用；建立优良遗传特征识别与选择技术体系，对当地及周边地区的雷州山羊进行遗传改良，进一步扩大良种推广范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2）绩效目标</w:t>
      </w:r>
    </w:p>
    <w:p>
      <w:pPr>
        <w:pStyle w:val="6"/>
        <w:keepNext w:val="0"/>
        <w:keepLines w:val="0"/>
        <w:pageBreakBefore w:val="0"/>
        <w:kinsoku/>
        <w:overflowPunct/>
        <w:topLinePunct w:val="0"/>
        <w:autoSpaceDN/>
        <w:bidi w:val="0"/>
        <w:adjustRightInd w:val="0"/>
        <w:snapToGrid w:val="0"/>
        <w:spacing w:beforeLines="0" w:after="0" w:line="59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引进国家家畜基因库雷州山羊冷冻精液300剂，胚胎30枚；组建F0代纯种雷州山羊群体100只以上，扩大雷州山羊保种群300只以上；形成DNA血缘鉴定报告1份；形成雷州山羊克隆技术体系1套；建立优良遗传特征识别与选择技术体系1套，改良个体数量达到1000只以上。改良个体数量达到2000只以上；制作冷冻胚胎100枚和冷冻精液800支，部分返还国家基因库或广东省畜禽遗传资源库的保存。</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①申报主体为省级及以上事业单位，联合国家级保种场共同申报。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②申报主体在雷州山羊保种和育种研究方面有较好的技术积累和良好工作基础。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rPr>
      </w:pPr>
      <w:r>
        <w:rPr>
          <w:rFonts w:hint="eastAsia" w:ascii="仿宋_GB2312" w:hAnsi="仿宋_GB2312" w:eastAsia="仿宋_GB2312" w:cs="仿宋_GB2312"/>
          <w:snapToGrid w:val="0"/>
          <w:color w:val="auto"/>
          <w:spacing w:val="-9"/>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项目实施周期为2年，补助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300万元。项目申报</w:t>
      </w:r>
      <w:r>
        <w:rPr>
          <w:rFonts w:hint="eastAsia" w:ascii="仿宋_GB2312" w:hAnsi="仿宋_GB2312" w:eastAsia="仿宋_GB2312" w:cs="仿宋_GB2312"/>
          <w:color w:val="auto"/>
          <w:kern w:val="0"/>
          <w:sz w:val="32"/>
          <w:szCs w:val="32"/>
          <w:highlight w:val="none"/>
          <w:lang w:eastAsia="zh-CN"/>
        </w:rPr>
        <w:t>主体需根据实际需求自行测算项目需求金额，</w:t>
      </w:r>
      <w:r>
        <w:rPr>
          <w:rFonts w:hint="eastAsia" w:ascii="仿宋_GB2312" w:hAnsi="仿宋_GB2312" w:eastAsia="仿宋_GB2312" w:cs="仿宋_GB2312"/>
          <w:color w:val="auto"/>
          <w:kern w:val="0"/>
          <w:sz w:val="32"/>
          <w:szCs w:val="32"/>
          <w:highlight w:val="none"/>
          <w:lang w:val="en-US" w:eastAsia="zh-CN" w:bidi="ar"/>
        </w:rPr>
        <w:t>申报书设定的项目需求金额应提供资金测算过程及测算依据，</w:t>
      </w:r>
      <w:r>
        <w:rPr>
          <w:rFonts w:hint="eastAsia" w:ascii="仿宋_GB2312" w:hAnsi="仿宋_GB2312" w:eastAsia="仿宋_GB2312" w:cs="仿宋_GB2312"/>
          <w:color w:val="auto"/>
          <w:kern w:val="0"/>
          <w:sz w:val="32"/>
          <w:szCs w:val="32"/>
          <w:highlight w:val="none"/>
          <w:lang w:eastAsia="zh-CN"/>
        </w:rPr>
        <w:t>项目预算金额测算是否详细、可行、有佐证依据将纳入评审</w:t>
      </w:r>
      <w:r>
        <w:rPr>
          <w:rFonts w:hint="eastAsia" w:ascii="仿宋_GB2312" w:hAnsi="仿宋_GB2312" w:eastAsia="仿宋_GB2312" w:cs="仿宋_GB2312"/>
          <w:color w:val="auto"/>
          <w:kern w:val="0"/>
          <w:sz w:val="32"/>
          <w:szCs w:val="32"/>
          <w:highlight w:val="none"/>
          <w:lang w:val="en-US" w:eastAsia="zh-CN"/>
        </w:rPr>
        <w:t>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2.珍稀濒危广东地方猪种生物安全抢救性保护与集成示范</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（1）建设内容</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以粤东黑猪、蓝塘猪、大花白猪等濒危地方猪保种场为调查对象，通过流行病学调查、评估和测定，确定生物安全风险等级，调查非洲猪瘟、蓝耳病等主要疫病的发生和流行规律；集成珍稀濒危地方猪非洲猪瘟、蓝耳病的快速诊断和检测技术，制定检测评估技术规范；制定个性化的免疫方案并进行推广；制定珍稀濒危地方猪保种场重大疫病抢救性保护的生物安全控制实施方案和重大疫病净化方案；集成检测、免疫、监测、防控、净化于一体的广东地方猪抢救性保护技术；建立我省相关重大疫病防控技术标准或规范，实现珍稀濒危地方猪保种场疫控安全。</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参照《全国畜禽遗传改良计划实施管理办法》，实现珍稀濒危地方猪保种场非洲猪瘟的净化，口蹄疫、猪瘟、猪伪狂犬病、猪繁殖与呼吸综合征及地方猪重要传染病支原体肺炎的免疫无疫；实现粤东黑猪、蓝塘猪、大花白猪3个珍稀濒危地方猪保种场构建生物安全技术体系并集成示范，能自我良性循坏，技术上达到安全等级；项目期内，指导、协助保种场建立健全制度并积极开展传染性疾病和垂直性传播疫病的监测净化，保障核心种群生物安全。</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（3）申报主体与条件</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①申报主体为省级以上事业单位，联合省级以上保种场共同申报。</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②申报主体在猪疫病净化研究方面有较好的技术积累和良好工作基础。</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rPr>
      </w:pPr>
      <w:r>
        <w:rPr>
          <w:rFonts w:hint="eastAsia" w:ascii="仿宋_GB2312" w:hAnsi="仿宋_GB2312" w:eastAsia="仿宋_GB2312" w:cs="仿宋_GB2312"/>
          <w:snapToGrid w:val="0"/>
          <w:color w:val="auto"/>
          <w:spacing w:val="-9"/>
          <w:kern w:val="0"/>
          <w:sz w:val="32"/>
          <w:szCs w:val="32"/>
          <w:highlight w:val="none"/>
          <w:lang w:val="en-US" w:eastAsia="zh-CN"/>
        </w:rPr>
        <w:t>③申报主体具有较完善的项目和财务管理制度，信用记录良好。</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（4）实施周期和资金额度</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项目实施周期为2年，补助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300万元。项目申报主体需根据实际需求自行测算项目需求金额，申报书设定的项目需求金额应提供资金测算过程及测算依据，项目预算金额测算是否详细、可行、有佐证依据将纳入评审标准。</w:t>
      </w:r>
    </w:p>
    <w:p>
      <w:pPr>
        <w:keepNext w:val="0"/>
        <w:keepLines w:val="0"/>
        <w:pageBreakBefore w:val="0"/>
        <w:widowControl/>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楷体_GB2312" w:hAnsi="楷体_GB2312" w:eastAsia="楷体_GB2312" w:cs="楷体_GB2312"/>
          <w:b w:val="0"/>
          <w:bCs w:val="0"/>
          <w:caps w:val="0"/>
          <w:color w:val="auto"/>
          <w:spacing w:val="0"/>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eastAsia="zh-CN"/>
        </w:rPr>
        <w:t>（二）</w:t>
      </w:r>
      <w:r>
        <w:rPr>
          <w:rFonts w:hint="eastAsia" w:ascii="楷体_GB2312" w:hAnsi="楷体_GB2312" w:eastAsia="楷体_GB2312" w:cs="楷体_GB2312"/>
          <w:color w:val="auto"/>
          <w:kern w:val="0"/>
          <w:sz w:val="32"/>
          <w:szCs w:val="32"/>
          <w:highlight w:val="none"/>
        </w:rPr>
        <w:t>品种培育类</w:t>
      </w:r>
      <w:r>
        <w:rPr>
          <w:rFonts w:hint="eastAsia" w:ascii="楷体_GB2312" w:hAnsi="楷体_GB2312" w:eastAsia="楷体_GB2312" w:cs="楷体_GB2312"/>
          <w:color w:val="auto"/>
          <w:kern w:val="0"/>
          <w:sz w:val="32"/>
          <w:szCs w:val="32"/>
          <w:highlight w:val="none"/>
          <w:lang w:val="en-US" w:eastAsia="zh-CN"/>
        </w:rPr>
        <w:t>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 xml:space="preserve">1.水稻远缘杂种优势利用相关新基因挖掘与育种利用 </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针对当前水稻远缘杂种优势利用相关新基因缺乏，高效的杂种优势利用无法利用的问题，开展新杂种不育基因的挖掘，拓展利用水稻异域驯化种重要基因资源的途径；研发水稻远缘杂种优势利用技术；开发杂种优势固定利用技术、新型智能不育杂交制种技术，促进水稻远缘杂交不育的理论突破与高产种质创制。</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（2）绩效目标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研发适用于水稻的精准育种技术体系1套；研发突破远缘杂交制种的新技术1-2项；挖掘远缘杂种不育基因2-3个；创制水稻杂交亲和材料1-2份；开发复杂性状快速聚合的新技术1项；创制水稻新种质2-3个。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（3）申报主体与条件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①申报主体为开展育种技术，具有生物育种技术储备的事业单位。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②申报主体在生物育种研究方面有较好的技术积累和良好工作基础。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③申报主体具有较为完善的项目和财务管理制度，信用记录良好。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（4）实施周期和资金额度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rPr>
        <w:t>项目实施周期为2年，补助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500万元。项目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w:t>
      </w:r>
      <w:r>
        <w:rPr>
          <w:rFonts w:hint="eastAsia" w:ascii="仿宋_GB2312" w:hAnsi="仿宋_GB2312" w:eastAsia="仿宋_GB2312" w:cs="仿宋_GB2312"/>
          <w:caps w:val="0"/>
          <w:color w:val="auto"/>
          <w:spacing w:val="0"/>
          <w:kern w:val="0"/>
          <w:sz w:val="32"/>
          <w:szCs w:val="32"/>
          <w:highlight w:val="none"/>
          <w:lang w:val="en-US" w:eastAsia="zh-CN" w:bidi="ar"/>
        </w:rPr>
        <w:t>申报书设定的项目需求金额应提供资金测算过程及测算依据，项目预算金额测算是否详细、可行、有佐证依据将纳入评审标准。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2.玉米基因编辑技术研究及种质创制</w:t>
      </w:r>
    </w:p>
    <w:p>
      <w:pPr>
        <w:pStyle w:val="6"/>
        <w:keepNext w:val="0"/>
        <w:keepLines w:val="0"/>
        <w:pageBreakBefore w:val="0"/>
        <w:kinsoku/>
        <w:overflowPunct/>
        <w:topLinePunct w:val="0"/>
        <w:autoSpaceDN/>
        <w:bidi w:val="0"/>
        <w:adjustRightInd w:val="0"/>
        <w:snapToGrid w:val="0"/>
        <w:spacing w:beforeLines="0" w:after="0" w:line="590" w:lineRule="exact"/>
        <w:ind w:left="0" w:leftChars="0" w:right="0" w:rightChars="0" w:firstLine="643"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b/>
          <w:caps w:val="0"/>
          <w:color w:val="auto"/>
          <w:spacing w:val="0"/>
          <w:kern w:val="0"/>
          <w:sz w:val="32"/>
          <w:szCs w:val="32"/>
          <w:highlight w:val="none"/>
          <w:lang w:val="en-US" w:eastAsia="zh-CN" w:bidi="ar"/>
        </w:rPr>
        <w:t>（1）建设内容</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以CRISPR/Cas9为技术手段，对玉米产量、品质、株高、生育期等相关重要基因的启动子区及编码区进行基因编辑，创制系列突变体材料；对突变体材料开展多组学深度分析，组建系列杂交组合，并对这些材料进行大规模的大田表型鉴定；建立多组学数据库，筛选有育种价值的突变体材料并选育优良玉米新品种。</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eastAsia="zh-CN" w:bidi="ar"/>
        </w:rPr>
      </w:pPr>
      <w:r>
        <w:rPr>
          <w:rFonts w:hint="eastAsia" w:ascii="仿宋_GB2312" w:hAnsi="仿宋_GB2312" w:eastAsia="仿宋_GB2312" w:cs="仿宋_GB2312"/>
          <w:b/>
          <w:caps w:val="0"/>
          <w:color w:val="auto"/>
          <w:spacing w:val="0"/>
          <w:kern w:val="0"/>
          <w:sz w:val="32"/>
          <w:szCs w:val="32"/>
          <w:highlight w:val="none"/>
          <w:lang w:val="en-US" w:eastAsia="zh-CN" w:bidi="ar"/>
        </w:rPr>
        <w:t>（2）绩效目标</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建立杂种优势研究与利用的多组学数据库1个；创制高产、优质等重要性状玉米突变体材料8-10个，申请植物新品种权保护证书6-8个，成为生物育种的重要基础材料；申请审定优异玉米新品种3个，具有商业化推广潜力。</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（3）申报主体与条件</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①申报主体为开展基因编辑技术研究，具有基因编辑技术储备的事业单位。</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②申报主体在生物育种研究方面有较好的技术积累和良好工作基础。</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③申报主体具有较为完善的项目和财务管理制度，信用记录良好。</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（4）实施周期和资金额度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项目实施周期为2年，补助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500万元。项目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w:t>
      </w:r>
      <w:r>
        <w:rPr>
          <w:rFonts w:hint="eastAsia" w:ascii="仿宋_GB2312" w:hAnsi="仿宋_GB2312" w:eastAsia="仿宋_GB2312" w:cs="仿宋_GB2312"/>
          <w:color w:val="auto"/>
          <w:kern w:val="0"/>
          <w:sz w:val="32"/>
          <w:szCs w:val="32"/>
          <w:highlight w:val="none"/>
          <w:lang w:val="en-US" w:eastAsia="zh-CN" w:bidi="ar"/>
        </w:rPr>
        <w:t>申报书设定的项目需求金额应提供资金测算过程及测算依据，项目预算金额测算是否详细、可行、有佐证依据将纳入评审标准。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3.种猪基因编辑技术创新及育种新材料创制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snapToGrid w:val="0"/>
          <w:color w:val="auto"/>
          <w:kern w:val="0"/>
          <w:sz w:val="32"/>
          <w:szCs w:val="32"/>
          <w:lang w:eastAsia="zh-CN"/>
        </w:rPr>
      </w:pPr>
      <w:r>
        <w:rPr>
          <w:rFonts w:hint="eastAsia" w:ascii="仿宋_GB2312" w:hAnsi="仿宋_GB2312" w:eastAsia="仿宋_GB2312" w:cs="仿宋_GB2312"/>
          <w:b/>
          <w:bCs/>
          <w:snapToGrid w:val="0"/>
          <w:color w:val="auto"/>
          <w:kern w:val="0"/>
          <w:sz w:val="32"/>
          <w:szCs w:val="32"/>
          <w:lang w:eastAsia="zh-CN"/>
        </w:rPr>
        <w:t>（</w:t>
      </w:r>
      <w:r>
        <w:rPr>
          <w:rFonts w:hint="eastAsia" w:ascii="仿宋_GB2312" w:hAnsi="仿宋_GB2312" w:eastAsia="仿宋_GB2312" w:cs="仿宋_GB2312"/>
          <w:b/>
          <w:bCs/>
          <w:snapToGrid w:val="0"/>
          <w:color w:val="auto"/>
          <w:kern w:val="0"/>
          <w:sz w:val="32"/>
          <w:szCs w:val="32"/>
          <w:lang w:val="en-US" w:eastAsia="zh-CN"/>
        </w:rPr>
        <w:t>1</w:t>
      </w:r>
      <w:r>
        <w:rPr>
          <w:rFonts w:hint="eastAsia" w:ascii="仿宋_GB2312" w:hAnsi="仿宋_GB2312" w:eastAsia="仿宋_GB2312" w:cs="仿宋_GB2312"/>
          <w:b/>
          <w:bCs/>
          <w:snapToGrid w:val="0"/>
          <w:color w:val="auto"/>
          <w:kern w:val="0"/>
          <w:sz w:val="32"/>
          <w:szCs w:val="32"/>
          <w:lang w:eastAsia="zh-CN"/>
        </w:rPr>
        <w:t>）建设内容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开发适用于猪体细胞和胚胎的高效基因编辑改造工具，建立多基因组合编辑方法，高效定点基因基因敲入方法</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建立无脱靶基因编辑方法及安全性评价方案</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开发基因挖掘方法，鉴定关键经济性状的控制基因</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针对抗病力、肉质、生长等关键性状进行基因编辑改造，探索多基因聚合改良方案，创制出既具有高生产性能又具有抗病和优质特性的种猪育种新材料</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开展动物生物安全性评价，符合农业生物育种的安全评价标准。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w:t>
      </w:r>
      <w:r>
        <w:rPr>
          <w:rFonts w:hint="eastAsia" w:ascii="仿宋_GB2312" w:hAnsi="仿宋_GB2312" w:eastAsia="仿宋_GB2312" w:cs="仿宋_GB2312"/>
          <w:b/>
          <w:bCs/>
          <w:snapToGrid w:val="0"/>
          <w:color w:val="auto"/>
          <w:kern w:val="0"/>
          <w:sz w:val="32"/>
          <w:szCs w:val="32"/>
          <w:lang w:val="en-US" w:eastAsia="zh-CN"/>
        </w:rPr>
        <w:t>2</w:t>
      </w:r>
      <w:r>
        <w:rPr>
          <w:rFonts w:hint="eastAsia" w:ascii="仿宋_GB2312" w:hAnsi="仿宋_GB2312" w:eastAsia="仿宋_GB2312" w:cs="仿宋_GB2312"/>
          <w:b/>
          <w:bCs/>
          <w:snapToGrid w:val="0"/>
          <w:color w:val="auto"/>
          <w:kern w:val="0"/>
          <w:sz w:val="32"/>
          <w:szCs w:val="32"/>
          <w:lang w:eastAsia="zh-CN"/>
        </w:rPr>
        <w:t>）绩效目标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构建自主知识产权的基因编辑工具和方案1种以上，猪体细胞、胚胎基因敲除效率&gt;80%，基因敲入效率&gt;50%，多基因编辑效率&gt;30%</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构建猪全基因组挖掘文库1套，建立基因筛选技术流程</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挖掘控制抗病力、肉质、生长等性状的基因位点或调控位点5个以上</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创制抗病力、肉质、生长改良的种猪育种新材料3种以上,目的性状改良程度&gt;50%</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创制多基因聚合编辑种猪新材料1种</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育种新材料</w:t>
      </w:r>
      <w:r>
        <w:rPr>
          <w:rFonts w:hint="eastAsia" w:ascii="仿宋_GB2312" w:hAnsi="仿宋_GB2312" w:eastAsia="仿宋_GB2312" w:cs="仿宋_GB2312"/>
          <w:snapToGrid w:val="0"/>
          <w:color w:val="auto"/>
          <w:kern w:val="0"/>
          <w:sz w:val="32"/>
          <w:szCs w:val="32"/>
          <w:lang w:eastAsia="zh-CN"/>
        </w:rPr>
        <w:t>获得</w:t>
      </w:r>
      <w:r>
        <w:rPr>
          <w:rFonts w:hint="eastAsia" w:ascii="仿宋_GB2312" w:hAnsi="仿宋_GB2312" w:eastAsia="仿宋_GB2312" w:cs="仿宋_GB2312"/>
          <w:snapToGrid w:val="0"/>
          <w:color w:val="auto"/>
          <w:kern w:val="0"/>
          <w:sz w:val="32"/>
          <w:szCs w:val="32"/>
        </w:rPr>
        <w:t>生物安全评价</w:t>
      </w:r>
      <w:r>
        <w:rPr>
          <w:rFonts w:hint="eastAsia" w:ascii="仿宋_GB2312" w:hAnsi="仿宋_GB2312" w:eastAsia="仿宋_GB2312" w:cs="仿宋_GB2312"/>
          <w:snapToGrid w:val="0"/>
          <w:color w:val="auto"/>
          <w:kern w:val="0"/>
          <w:sz w:val="32"/>
          <w:szCs w:val="32"/>
          <w:lang w:eastAsia="zh-CN"/>
        </w:rPr>
        <w:t>证书；</w:t>
      </w:r>
      <w:r>
        <w:rPr>
          <w:rFonts w:hint="eastAsia" w:ascii="仿宋_GB2312" w:hAnsi="仿宋_GB2312" w:eastAsia="仿宋_GB2312" w:cs="仿宋_GB2312"/>
          <w:snapToGrid w:val="0"/>
          <w:color w:val="auto"/>
          <w:kern w:val="0"/>
          <w:sz w:val="32"/>
          <w:szCs w:val="32"/>
        </w:rPr>
        <w:t>申请发明专利3-5项。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ascii="仿宋_GB2312" w:hAnsi="仿宋_GB2312" w:eastAsia="仿宋_GB2312" w:cs="仿宋_GB2312"/>
          <w:b/>
          <w:bCs/>
          <w:snapToGrid w:val="0"/>
          <w:color w:val="auto"/>
          <w:kern w:val="0"/>
          <w:sz w:val="32"/>
          <w:szCs w:val="32"/>
        </w:rPr>
      </w:pPr>
      <w:r>
        <w:rPr>
          <w:rFonts w:ascii="仿宋_GB2312" w:hAnsi="仿宋_GB2312" w:eastAsia="仿宋_GB2312" w:cs="仿宋_GB2312"/>
          <w:b/>
          <w:bCs/>
          <w:snapToGrid w:val="0"/>
          <w:color w:val="auto"/>
          <w:kern w:val="0"/>
          <w:sz w:val="32"/>
          <w:szCs w:val="32"/>
        </w:rPr>
        <w:t>（</w:t>
      </w:r>
      <w:r>
        <w:rPr>
          <w:rFonts w:hint="eastAsia" w:ascii="仿宋_GB2312" w:hAnsi="仿宋_GB2312" w:eastAsia="仿宋_GB2312" w:cs="仿宋_GB2312"/>
          <w:b/>
          <w:bCs/>
          <w:snapToGrid w:val="0"/>
          <w:color w:val="auto"/>
          <w:kern w:val="0"/>
          <w:sz w:val="32"/>
          <w:szCs w:val="32"/>
          <w:lang w:val="en-US" w:eastAsia="zh-CN"/>
        </w:rPr>
        <w:t>3</w:t>
      </w:r>
      <w:r>
        <w:rPr>
          <w:rFonts w:ascii="仿宋_GB2312" w:hAnsi="仿宋_GB2312" w:eastAsia="仿宋_GB2312" w:cs="仿宋_GB2312"/>
          <w:b/>
          <w:bCs/>
          <w:snapToGrid w:val="0"/>
          <w:color w:val="auto"/>
          <w:kern w:val="0"/>
          <w:sz w:val="32"/>
          <w:szCs w:val="32"/>
        </w:rPr>
        <w:t>）申请</w:t>
      </w:r>
      <w:r>
        <w:rPr>
          <w:rFonts w:hint="eastAsia" w:ascii="仿宋_GB2312" w:hAnsi="仿宋_GB2312" w:eastAsia="仿宋_GB2312" w:cs="仿宋_GB2312"/>
          <w:b/>
          <w:bCs/>
          <w:snapToGrid w:val="0"/>
          <w:color w:val="auto"/>
          <w:kern w:val="0"/>
          <w:sz w:val="32"/>
          <w:szCs w:val="32"/>
          <w:lang w:eastAsia="zh-CN"/>
        </w:rPr>
        <w:t>主体</w:t>
      </w:r>
      <w:r>
        <w:rPr>
          <w:rFonts w:ascii="仿宋_GB2312" w:hAnsi="仿宋_GB2312" w:eastAsia="仿宋_GB2312" w:cs="仿宋_GB2312"/>
          <w:b/>
          <w:bCs/>
          <w:snapToGrid w:val="0"/>
          <w:color w:val="auto"/>
          <w:kern w:val="0"/>
          <w:sz w:val="32"/>
          <w:szCs w:val="32"/>
        </w:rPr>
        <w:t>和条件</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①申报主体为开展基因编辑技术研究，具有基因编辑技术储备的事业单位。</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②申报主体在生物育种研究方面有较好的技术积累和良好工作基础。</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caps w:val="0"/>
          <w:color w:val="auto"/>
          <w:spacing w:val="0"/>
          <w:kern w:val="0"/>
          <w:sz w:val="32"/>
          <w:szCs w:val="32"/>
          <w:highlight w:val="none"/>
          <w:lang w:val="en-US" w:eastAsia="zh-CN" w:bidi="ar"/>
        </w:rPr>
        <w:t>③申报主体具有较为完善的项目和财务管理制度，信用记录良好。</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（4）实施周期和资金额度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项目实施周期为2年，补助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500万元。项目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w:t>
      </w:r>
      <w:r>
        <w:rPr>
          <w:rFonts w:hint="eastAsia" w:ascii="仿宋_GB2312" w:hAnsi="仿宋_GB2312" w:eastAsia="仿宋_GB2312" w:cs="仿宋_GB2312"/>
          <w:color w:val="auto"/>
          <w:kern w:val="0"/>
          <w:sz w:val="32"/>
          <w:szCs w:val="32"/>
          <w:highlight w:val="none"/>
          <w:lang w:val="en-US" w:eastAsia="zh-CN" w:bidi="ar"/>
        </w:rPr>
        <w:t>申报书测定的项目需求金额应提供资金测算过程及测算依据，项目预算金额测算是否详细、可行、有佐证依据将纳入评审标准。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4.梅州柚提纯复壮和新品种（系）选育与示范推广</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rPr>
        <w:t>（1）</w:t>
      </w:r>
      <w:r>
        <w:rPr>
          <w:rFonts w:hint="eastAsia" w:ascii="仿宋_GB2312" w:hAnsi="仿宋_GB2312" w:eastAsia="仿宋_GB2312" w:cs="仿宋_GB2312"/>
          <w:b/>
          <w:bCs/>
          <w:caps w:val="0"/>
          <w:color w:val="auto"/>
          <w:spacing w:val="0"/>
          <w:kern w:val="0"/>
          <w:sz w:val="32"/>
          <w:szCs w:val="32"/>
          <w:highlight w:val="none"/>
          <w:lang w:val="en-US" w:eastAsia="zh-CN"/>
        </w:rPr>
        <w:t>建设内容</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color w:val="auto"/>
          <w:kern w:val="0"/>
          <w:sz w:val="32"/>
          <w:szCs w:val="32"/>
          <w:highlight w:val="none"/>
          <w:lang w:eastAsia="zh-CN"/>
        </w:rPr>
        <w:t>对梅州柚主栽品种（蜜柚和沙田柚）开展提纯复壮，从生产中筛选出品质好、产量高、综合性状优良的新品系，尤其是不同成熟期的优良株系；从国内外开展优异柚类品种资源引进；利用通过有性杂交、诱变、实生选种、芽变选种等方法创制柚类优异种质材料；建立健全无病苗繁育体系；研究与新品种（系）相配套的高效栽培技术；依托龙头企业，建立新品种和栽培新技术示范基地，通过基地示范和现场观摩等方式，形成育繁推一体化模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加强梅州柚种质资源保护，</w:t>
      </w:r>
      <w:r>
        <w:rPr>
          <w:rFonts w:hint="eastAsia" w:ascii="仿宋_GB2312" w:hAnsi="仿宋_GB2312" w:eastAsia="仿宋_GB2312" w:cs="仿宋_GB2312"/>
          <w:color w:val="auto"/>
          <w:kern w:val="0"/>
          <w:sz w:val="32"/>
          <w:szCs w:val="32"/>
          <w:highlight w:val="none"/>
          <w:lang w:eastAsia="zh-CN"/>
        </w:rPr>
        <w:t>调研收集柚类优良单株20份以上，提纯复壮优系5份以上；引进筛选柚类种质资源50份以上，筛选出适宜梅州种植、综合性状优良的品种（系）3份以上；通过有性杂交、辐射等方式，创制优异种质材料30份以上；获得优良品种（系）无病毒原种5份，繁育无病毒优质容器苗10万株以上；建立柚优良新品种（系）种植示范基地4个，每个基地核心示范面积300亩以上，制定柚类高效栽培技术规程，辐射推广新品种（系）及配套栽培技术1万亩以上；开展技术培训10场次以上，培训农技人员、企业、农户1000人次以上；服务合作社、企业、种植大户等100家（户）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①申报主体为省级及以上事业单位，联合市县农业技术推广部门、优势企业共同申报。市县农业技术推广部门、企业项目资金占比60%以上。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②申报主体在柑橘育种和栽培研究方面有较好的技术积累和良好工作基础。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rPr>
      </w:pPr>
      <w:r>
        <w:rPr>
          <w:rFonts w:hint="eastAsia" w:ascii="仿宋_GB2312" w:hAnsi="仿宋_GB2312" w:eastAsia="仿宋_GB2312" w:cs="仿宋_GB2312"/>
          <w:snapToGrid w:val="0"/>
          <w:color w:val="auto"/>
          <w:spacing w:val="-9"/>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800万元。项目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5.特色花卉品种（红掌）保育繁推全产业链一体化示范</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eastAsia="zh-CN" w:bidi="ar"/>
        </w:rPr>
      </w:pPr>
      <w:r>
        <w:rPr>
          <w:rFonts w:hint="eastAsia" w:ascii="仿宋_GB2312" w:hAnsi="仿宋_GB2312" w:eastAsia="仿宋_GB2312" w:cs="仿宋_GB2312"/>
          <w:b/>
          <w:caps w:val="0"/>
          <w:color w:val="auto"/>
          <w:spacing w:val="0"/>
          <w:kern w:val="0"/>
          <w:sz w:val="32"/>
          <w:szCs w:val="32"/>
          <w:highlight w:val="none"/>
          <w:lang w:val="en-US" w:eastAsia="zh-CN" w:bidi="ar"/>
        </w:rPr>
        <w:t>（1）建设内容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color w:val="auto"/>
          <w:kern w:val="0"/>
          <w:sz w:val="32"/>
          <w:szCs w:val="32"/>
          <w:highlight w:val="none"/>
          <w:lang w:bidi="ar"/>
        </w:rPr>
        <w:t>开展红掌种质资源引进、收集</w:t>
      </w:r>
      <w:r>
        <w:rPr>
          <w:rFonts w:hint="eastAsia" w:ascii="仿宋_GB2312" w:hAnsi="仿宋_GB2312" w:eastAsia="仿宋_GB2312" w:cs="仿宋_GB2312"/>
          <w:color w:val="auto"/>
          <w:kern w:val="0"/>
          <w:sz w:val="32"/>
          <w:szCs w:val="32"/>
          <w:highlight w:val="none"/>
          <w:lang w:eastAsia="zh-CN" w:bidi="ar"/>
        </w:rPr>
        <w:t>和</w:t>
      </w:r>
      <w:r>
        <w:rPr>
          <w:rFonts w:hint="eastAsia" w:ascii="仿宋_GB2312" w:hAnsi="仿宋_GB2312" w:eastAsia="仿宋_GB2312" w:cs="仿宋_GB2312"/>
          <w:color w:val="auto"/>
          <w:kern w:val="0"/>
          <w:sz w:val="32"/>
          <w:szCs w:val="32"/>
          <w:highlight w:val="none"/>
          <w:lang w:bidi="ar"/>
        </w:rPr>
        <w:t>保存</w:t>
      </w:r>
      <w:r>
        <w:rPr>
          <w:rFonts w:hint="eastAsia" w:ascii="仿宋_GB2312" w:hAnsi="仿宋_GB2312" w:eastAsia="仿宋_GB2312" w:cs="仿宋_GB2312"/>
          <w:color w:val="auto"/>
          <w:kern w:val="0"/>
          <w:sz w:val="32"/>
          <w:szCs w:val="32"/>
          <w:highlight w:val="none"/>
          <w:lang w:eastAsia="zh-CN" w:bidi="ar"/>
        </w:rPr>
        <w:t>，以及适应性评价；</w:t>
      </w:r>
      <w:r>
        <w:rPr>
          <w:rFonts w:hint="eastAsia" w:ascii="仿宋_GB2312" w:hAnsi="仿宋_GB2312" w:eastAsia="仿宋_GB2312" w:cs="仿宋_GB2312"/>
          <w:color w:val="auto"/>
          <w:kern w:val="0"/>
          <w:sz w:val="32"/>
          <w:szCs w:val="32"/>
          <w:highlight w:val="none"/>
          <w:lang w:bidi="ar"/>
        </w:rPr>
        <w:t>开展</w:t>
      </w:r>
      <w:r>
        <w:rPr>
          <w:rFonts w:hint="eastAsia" w:ascii="仿宋_GB2312" w:hAnsi="仿宋_GB2312" w:eastAsia="仿宋_GB2312" w:cs="仿宋_GB2312"/>
          <w:color w:val="auto"/>
          <w:kern w:val="0"/>
          <w:sz w:val="32"/>
          <w:szCs w:val="32"/>
          <w:highlight w:val="none"/>
          <w:lang w:eastAsia="zh-CN" w:bidi="ar"/>
        </w:rPr>
        <w:t>种质资源</w:t>
      </w:r>
      <w:r>
        <w:rPr>
          <w:rFonts w:hint="eastAsia" w:ascii="仿宋_GB2312" w:hAnsi="仿宋_GB2312" w:eastAsia="仿宋_GB2312" w:cs="仿宋_GB2312"/>
          <w:color w:val="auto"/>
          <w:kern w:val="0"/>
          <w:sz w:val="32"/>
          <w:szCs w:val="32"/>
          <w:highlight w:val="none"/>
          <w:lang w:bidi="ar"/>
        </w:rPr>
        <w:t>抗病、抗逆等重要性状精准鉴评，挖掘</w:t>
      </w:r>
      <w:r>
        <w:rPr>
          <w:rFonts w:hint="eastAsia" w:ascii="仿宋_GB2312" w:hAnsi="仿宋_GB2312" w:eastAsia="仿宋_GB2312" w:cs="仿宋_GB2312"/>
          <w:color w:val="auto"/>
          <w:kern w:val="0"/>
          <w:sz w:val="32"/>
          <w:szCs w:val="32"/>
          <w:highlight w:val="none"/>
          <w:lang w:eastAsia="zh-CN" w:bidi="ar"/>
        </w:rPr>
        <w:t>筛选</w:t>
      </w:r>
      <w:r>
        <w:rPr>
          <w:rFonts w:hint="eastAsia" w:ascii="仿宋_GB2312" w:hAnsi="仿宋_GB2312" w:eastAsia="仿宋_GB2312" w:cs="仿宋_GB2312"/>
          <w:color w:val="auto"/>
          <w:kern w:val="0"/>
          <w:sz w:val="32"/>
          <w:szCs w:val="32"/>
          <w:highlight w:val="none"/>
          <w:lang w:bidi="ar"/>
        </w:rPr>
        <w:t>优异种质；利用杂交育种、诱变育种、分子标记辅助选择育种等手段，创制一批在抗性或观赏等性状上有所突破的优异新种质；开展突破性优良新品种培育；建立</w:t>
      </w:r>
      <w:r>
        <w:rPr>
          <w:rFonts w:hint="eastAsia" w:ascii="仿宋_GB2312" w:hAnsi="仿宋_GB2312" w:eastAsia="仿宋_GB2312" w:cs="仿宋_GB2312"/>
          <w:color w:val="auto"/>
          <w:kern w:val="0"/>
          <w:sz w:val="32"/>
          <w:szCs w:val="32"/>
          <w:highlight w:val="none"/>
          <w:lang w:eastAsia="zh-CN" w:bidi="ar"/>
        </w:rPr>
        <w:t>种苗</w:t>
      </w:r>
      <w:r>
        <w:rPr>
          <w:rFonts w:hint="eastAsia" w:ascii="仿宋_GB2312" w:hAnsi="仿宋_GB2312" w:eastAsia="仿宋_GB2312" w:cs="仿宋_GB2312"/>
          <w:color w:val="auto"/>
          <w:kern w:val="0"/>
          <w:sz w:val="32"/>
          <w:szCs w:val="32"/>
          <w:highlight w:val="none"/>
          <w:lang w:bidi="ar"/>
        </w:rPr>
        <w:t>繁育和</w:t>
      </w:r>
      <w:r>
        <w:rPr>
          <w:rFonts w:hint="eastAsia" w:ascii="仿宋_GB2312" w:hAnsi="仿宋_GB2312" w:eastAsia="仿宋_GB2312" w:cs="仿宋_GB2312"/>
          <w:color w:val="auto"/>
          <w:kern w:val="0"/>
          <w:sz w:val="32"/>
          <w:szCs w:val="32"/>
          <w:highlight w:val="none"/>
          <w:lang w:eastAsia="zh-CN" w:bidi="ar"/>
        </w:rPr>
        <w:t>新品种</w:t>
      </w:r>
      <w:r>
        <w:rPr>
          <w:rFonts w:hint="eastAsia" w:ascii="仿宋_GB2312" w:hAnsi="仿宋_GB2312" w:eastAsia="仿宋_GB2312" w:cs="仿宋_GB2312"/>
          <w:color w:val="auto"/>
          <w:kern w:val="0"/>
          <w:sz w:val="32"/>
          <w:szCs w:val="32"/>
          <w:highlight w:val="none"/>
          <w:lang w:bidi="ar"/>
        </w:rPr>
        <w:t>展示示范</w:t>
      </w:r>
      <w:r>
        <w:rPr>
          <w:rFonts w:hint="eastAsia" w:ascii="仿宋_GB2312" w:hAnsi="仿宋_GB2312" w:eastAsia="仿宋_GB2312" w:cs="仿宋_GB2312"/>
          <w:color w:val="auto"/>
          <w:kern w:val="0"/>
          <w:sz w:val="32"/>
          <w:szCs w:val="32"/>
          <w:highlight w:val="none"/>
          <w:lang w:eastAsia="zh-CN" w:bidi="ar"/>
        </w:rPr>
        <w:t>基地</w:t>
      </w:r>
      <w:r>
        <w:rPr>
          <w:rFonts w:hint="eastAsia" w:ascii="仿宋_GB2312" w:hAnsi="仿宋_GB2312" w:eastAsia="仿宋_GB2312" w:cs="仿宋_GB2312"/>
          <w:color w:val="auto"/>
          <w:kern w:val="0"/>
          <w:sz w:val="32"/>
          <w:szCs w:val="32"/>
          <w:highlight w:val="none"/>
          <w:lang w:bidi="ar"/>
        </w:rPr>
        <w:t>，开展种苗繁育、示范推广和技术服务</w:t>
      </w:r>
      <w:r>
        <w:rPr>
          <w:rFonts w:hint="eastAsia" w:ascii="仿宋_GB2312" w:hAnsi="仿宋_GB2312" w:eastAsia="仿宋_GB2312" w:cs="仿宋_GB2312"/>
          <w:color w:val="auto"/>
          <w:kern w:val="0"/>
          <w:sz w:val="32"/>
          <w:szCs w:val="32"/>
          <w:highlight w:val="none"/>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（2）绩效目标</w:t>
      </w:r>
    </w:p>
    <w:p>
      <w:pPr>
        <w:keepNext w:val="0"/>
        <w:keepLines w:val="0"/>
        <w:pageBreakBefore w:val="0"/>
        <w:widowControl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eastAsia="zh-CN" w:bidi="ar"/>
        </w:rPr>
        <w:t>收集、引进红掌（或花烛属）优异种质资源5-10份；通过精准鉴评挖掘优异资源8-10份；创制抗病、抗逆优异新种质10-20份，培育具有突破性的优异新品种1-2个；建立品种展示示范基地2-3个，示范生产新品种盆花2万盆以上，服务花卉企业5-6家；快速繁育优良新品种种苗20万株以上，加快示范推广应用；自主选育红掌品种年推广能力达</w:t>
      </w:r>
      <w:r>
        <w:rPr>
          <w:rFonts w:hint="eastAsia" w:ascii="仿宋_GB2312" w:hAnsi="仿宋_GB2312" w:eastAsia="仿宋_GB2312" w:cs="仿宋_GB2312"/>
          <w:color w:val="auto"/>
          <w:kern w:val="0"/>
          <w:sz w:val="32"/>
          <w:szCs w:val="32"/>
          <w:highlight w:val="none"/>
          <w:lang w:val="en-US" w:eastAsia="zh-CN" w:bidi="ar"/>
        </w:rPr>
        <w:t>600万株以上，</w:t>
      </w:r>
      <w:r>
        <w:rPr>
          <w:rFonts w:hint="eastAsia" w:ascii="仿宋_GB2312" w:hAnsi="仿宋_GB2312" w:eastAsia="仿宋_GB2312" w:cs="仿宋_GB2312"/>
          <w:color w:val="auto"/>
          <w:kern w:val="0"/>
          <w:sz w:val="32"/>
          <w:szCs w:val="32"/>
          <w:highlight w:val="none"/>
          <w:lang w:bidi="ar"/>
        </w:rPr>
        <w:t>扩大广东自主选育红掌品种的影响力。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（3）申报主体与条件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①申报主体为具有资源保存、品种选育、种子种苗生产繁育和推广应用能力的事业单位（或企业），联合科研单位共同申报。</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②申报主体具有种子生产经营许可证，在红掌种质资源收集保存和育种研究方面有较好的技术积累和良好工作基础。</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04" w:firstLineChars="200"/>
        <w:jc w:val="both"/>
        <w:textAlignment w:val="auto"/>
        <w:rPr>
          <w:rFonts w:hint="eastAsia" w:ascii="仿宋_GB2312" w:hAnsi="仿宋_GB2312" w:eastAsia="仿宋_GB2312" w:cs="仿宋_GB2312"/>
          <w:b w:val="0"/>
          <w:caps w:val="0"/>
          <w:snapToGrid w:val="0"/>
          <w:color w:val="auto"/>
          <w:spacing w:val="-9"/>
          <w:kern w:val="0"/>
          <w:sz w:val="32"/>
          <w:szCs w:val="32"/>
          <w:highlight w:val="none"/>
          <w:lang w:val="en-US" w:eastAsia="zh-CN" w:bidi="ar"/>
        </w:rPr>
      </w:pPr>
      <w:r>
        <w:rPr>
          <w:rFonts w:hint="eastAsia" w:ascii="仿宋_GB2312" w:hAnsi="仿宋_GB2312" w:eastAsia="仿宋_GB2312" w:cs="仿宋_GB2312"/>
          <w:caps w:val="0"/>
          <w:snapToGrid w:val="0"/>
          <w:color w:val="auto"/>
          <w:spacing w:val="-9"/>
          <w:kern w:val="0"/>
          <w:sz w:val="32"/>
          <w:szCs w:val="32"/>
          <w:highlight w:val="none"/>
          <w:lang w:val="en-US" w:eastAsia="zh-CN" w:bidi="ar"/>
        </w:rPr>
        <w:t>③申报主体具有较完善的项目和财务管理制度，信用记录良好。</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（4）实施周期和资金额度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300万元。项目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7" w:firstLineChars="200"/>
        <w:jc w:val="both"/>
        <w:textAlignment w:val="auto"/>
        <w:rPr>
          <w:rFonts w:hint="eastAsia" w:ascii="仿宋_GB2312" w:hAnsi="仿宋_GB2312" w:eastAsia="仿宋_GB2312" w:cs="仿宋_GB2312"/>
          <w:b/>
          <w:bCs/>
          <w:caps w:val="0"/>
          <w:snapToGrid w:val="0"/>
          <w:color w:val="auto"/>
          <w:spacing w:val="-9"/>
          <w:kern w:val="0"/>
          <w:sz w:val="32"/>
          <w:szCs w:val="32"/>
          <w:highlight w:val="none"/>
          <w:lang w:val="en-US" w:eastAsia="zh-CN"/>
        </w:rPr>
      </w:pPr>
      <w:r>
        <w:rPr>
          <w:rFonts w:hint="eastAsia" w:ascii="仿宋_GB2312" w:hAnsi="仿宋_GB2312" w:eastAsia="仿宋_GB2312" w:cs="仿宋_GB2312"/>
          <w:b/>
          <w:bCs/>
          <w:caps w:val="0"/>
          <w:snapToGrid w:val="0"/>
          <w:color w:val="auto"/>
          <w:spacing w:val="-9"/>
          <w:kern w:val="0"/>
          <w:sz w:val="32"/>
          <w:szCs w:val="32"/>
          <w:highlight w:val="none"/>
          <w:lang w:val="en-US" w:eastAsia="zh-CN"/>
        </w:rPr>
        <w:t>6.岭南特色蔬菜（叶菜和瓜类）保育繁推全产业链一体化示范</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caps w:val="0"/>
          <w:color w:val="auto"/>
          <w:spacing w:val="0"/>
          <w:kern w:val="0"/>
          <w:sz w:val="32"/>
          <w:szCs w:val="32"/>
          <w:highlight w:val="none"/>
          <w:lang w:val="en-US" w:eastAsia="zh-CN" w:bidi="ar"/>
        </w:rPr>
        <w:t>（1）建设内容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开展叶菜类和瓜类蔬菜种质资源收集、引进、保存，以及适应性评价，筛选高产、优质、抗病抗逆性强的适合市场要求的优异资源；</w:t>
      </w:r>
      <w:r>
        <w:rPr>
          <w:rFonts w:hint="eastAsia" w:ascii="仿宋_GB2312" w:hAnsi="仿宋_GB2312" w:eastAsia="仿宋_GB2312" w:cs="仿宋_GB2312"/>
          <w:color w:val="auto"/>
          <w:kern w:val="0"/>
          <w:sz w:val="32"/>
          <w:szCs w:val="32"/>
          <w:highlight w:val="none"/>
          <w:lang w:val="en-US" w:eastAsia="zh-CN" w:bidi="ar"/>
        </w:rPr>
        <w:t>对筛选优异资源</w:t>
      </w:r>
      <w:r>
        <w:rPr>
          <w:rFonts w:hint="eastAsia" w:ascii="仿宋_GB2312" w:hAnsi="仿宋_GB2312" w:eastAsia="仿宋_GB2312" w:cs="仿宋_GB2312"/>
          <w:caps w:val="0"/>
          <w:color w:val="auto"/>
          <w:spacing w:val="0"/>
          <w:kern w:val="0"/>
          <w:sz w:val="32"/>
          <w:szCs w:val="32"/>
          <w:highlight w:val="none"/>
          <w:lang w:val="en-US" w:eastAsia="zh-CN" w:bidi="ar"/>
        </w:rPr>
        <w:t>开展产量、口感品质、抗性等重要性状精准鉴评，挖掘优异品种资源；通过杂交育种、分子标记辅助选择育种等方法创制一批在产量、品质、抗性等性状有所突破的优异新种质；培育具有岭南特色和适合市场需求的优良新品种；开展良种良法示范应用，示范推广健康蔬菜生产栽培模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（2）绩效目标</w:t>
      </w:r>
    </w:p>
    <w:p>
      <w:pPr>
        <w:keepNext w:val="0"/>
        <w:keepLines w:val="0"/>
        <w:pageBreakBefore w:val="0"/>
        <w:kinsoku/>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val="en-US" w:eastAsia="zh-CN" w:bidi="ar"/>
        </w:rPr>
        <w:t>收集、引进叶菜和瓜类优良种质资源30-50份，根据品种性状特点及区域适应性评价，筛选优异资源20-30份；完成对筛选资源精准鉴评，挖掘8-10份优质资源；创制优异新种质10-20份；培育市场应用前景的叶菜和瓜类蔬菜优良新品种3-4个；建立新品种示范基地2-3个，示范面积50亩以上；自主选育的叶菜和瓜类品种年推广能力达5万亩以上。</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（3）申报主体与条件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①申报主体为具有资源保存、品种选育、种子种苗生产繁育和推广应用能力的种业企业，联合科研单位共同申报。</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②申报主体具有种子生产经营许可证，在叶菜和瓜类蔬菜综合育种研究方面有较好的技术积累和良好工作基础，持有A证的有效区域为全国的育繁推一体化企业优先。</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04" w:firstLineChars="200"/>
        <w:jc w:val="both"/>
        <w:textAlignment w:val="auto"/>
        <w:rPr>
          <w:rFonts w:hint="eastAsia" w:ascii="仿宋_GB2312" w:hAnsi="仿宋_GB2312" w:eastAsia="仿宋_GB2312" w:cs="仿宋_GB2312"/>
          <w:b w:val="0"/>
          <w:bCs w:val="0"/>
          <w:caps w:val="0"/>
          <w:snapToGrid w:val="0"/>
          <w:color w:val="auto"/>
          <w:spacing w:val="-9"/>
          <w:kern w:val="0"/>
          <w:sz w:val="32"/>
          <w:szCs w:val="32"/>
          <w:highlight w:val="none"/>
          <w:lang w:val="en-US" w:eastAsia="zh-CN" w:bidi="ar"/>
        </w:rPr>
      </w:pPr>
      <w:r>
        <w:rPr>
          <w:rFonts w:hint="eastAsia" w:ascii="仿宋_GB2312" w:hAnsi="仿宋_GB2312" w:eastAsia="仿宋_GB2312" w:cs="仿宋_GB2312"/>
          <w:b w:val="0"/>
          <w:bCs w:val="0"/>
          <w:caps w:val="0"/>
          <w:snapToGrid w:val="0"/>
          <w:color w:val="auto"/>
          <w:spacing w:val="-9"/>
          <w:kern w:val="0"/>
          <w:sz w:val="32"/>
          <w:szCs w:val="32"/>
          <w:highlight w:val="none"/>
          <w:lang w:val="en-US" w:eastAsia="zh-CN" w:bidi="ar"/>
        </w:rPr>
        <w:t>③申报主体具有较完善的项目和财务管理制度，信用记录良好。</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（4）实施周期和资金额度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300万元。项目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7.南药新品种培育</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caps w:val="0"/>
          <w:color w:val="auto"/>
          <w:spacing w:val="0"/>
          <w:kern w:val="0"/>
          <w:sz w:val="32"/>
          <w:szCs w:val="32"/>
          <w:highlight w:val="none"/>
          <w:lang w:val="en-US" w:eastAsia="zh-CN" w:bidi="ar"/>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开展溪黄草、高良姜、益智等南药品种培育，以药效成分含量高、产量高、抗性强等为目标，利用杂交选育等传统育种技术和分子标记辅助选择等现代前沿育种技术相结合，定向精准创制优异资源，培育优质高产南药新品种，同时开展种子种苗繁育技术研究，加快新品种推广应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针对单一类型南药品种，收集保存南药种质资源30-50份，建成种质资源保存圃1个；建立新品种测试验试验基地2-3亩；选育优质、高产新品种（系）1-2个；制定南药种子种苗繁育团体标准或地方标准1项；建设良种繁育示范基地，开展良种推广与技术培训。</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①申报主体为省级及以上事业单位，联合优势企业共同申报。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②申报主体在南药育种研究方面有较好的技术积累和良好工作基础。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项目实施周期为2年，每个项目补助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100万元。项目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rPr>
        <w:t>8.优质小型白羽肉鸡育繁推一体化示范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caps w:val="0"/>
          <w:color w:val="auto"/>
          <w:spacing w:val="0"/>
          <w:kern w:val="0"/>
          <w:sz w:val="32"/>
          <w:szCs w:val="32"/>
          <w:highlight w:val="none"/>
          <w:lang w:val="en-US" w:eastAsia="zh-CN" w:bidi="ar"/>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开发适用于小型白羽肉鸡胫色、肤色、快慢羽、料肉比、生长速度等性状选育的分子标记；利用白羽肉鸡、高产蛋鸡以及黄羽肉鸡等素材，结合现代育种技术培育优质小型白羽肉鸡新品种（配套系）。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培育优质小型白羽肉鸡新品种（配套系）1个，每套父母代母鸡66周龄提供雏鸡200只以上，商品代49日龄上市公母平均体重达2.0千克、公母平均料肉比在1.65以内；每年推广商品代肉鸡1亿羽以上。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①申报主体为优势种业企业，联合科研单位共同申报。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②申报主体在肉鸡育种研究方面有较好的技术积累和良好工作基础。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b w:val="0"/>
          <w:bCs w:val="0"/>
          <w:caps w:val="0"/>
          <w:snapToGrid w:val="0"/>
          <w:color w:val="auto"/>
          <w:spacing w:val="-9"/>
          <w:kern w:val="0"/>
          <w:sz w:val="32"/>
          <w:szCs w:val="32"/>
          <w:highlight w:val="none"/>
          <w:lang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500万元。项目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9.粉肝狮头鹅新品种培育</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caps w:val="0"/>
          <w:color w:val="auto"/>
          <w:spacing w:val="0"/>
          <w:kern w:val="0"/>
          <w:sz w:val="32"/>
          <w:szCs w:val="32"/>
          <w:highlight w:val="none"/>
          <w:lang w:val="en-US" w:eastAsia="zh-CN" w:bidi="ar"/>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利用转录组学、代谢组学、基因组学等方法，明确狮头鹅粉肝形成机制；制定粉肝品质评价标准；筛选出与粉肝生产密切相</w:t>
      </w:r>
      <w:r>
        <w:rPr>
          <w:rFonts w:hint="eastAsia" w:ascii="仿宋_GB2312" w:hAnsi="仿宋_GB2312" w:eastAsia="仿宋_GB2312" w:cs="仿宋_GB2312"/>
          <w:snapToGrid w:val="0"/>
          <w:color w:val="auto"/>
          <w:spacing w:val="-9"/>
          <w:kern w:val="0"/>
          <w:sz w:val="32"/>
          <w:szCs w:val="32"/>
          <w:highlight w:val="none"/>
          <w:lang w:val="en-US" w:eastAsia="zh-CN" w:bidi="ar"/>
        </w:rPr>
        <w:t>关的分子选育关键遗传标记基因；初步构建粉肝用狮头鹅核心群。</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揭示狮头鹅粉肝生产遗传机制；筛选出狮头鹅粉肝相关的分子选育关键标记基因1-2个；制定狮头鹅粉肝品质评价标准1套；构建粉肝用狮头鹅核心种质资源群体1个，群体母鹅数量300只以上，粉肝填饲成功率90%以上，粉肝均重超550克；形成粉肝用狮头鹅遗传特性和经济性能分析报告1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①申报主体为省级及以上事业单位，联合优势企业共同申报。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②申报主体在狮头鹅育种研究方面有较好的技术积累和良好工作基础。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100万元。项目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10.清远麻鸡育繁推一体化示范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caps w:val="0"/>
          <w:color w:val="auto"/>
          <w:spacing w:val="0"/>
          <w:kern w:val="0"/>
          <w:sz w:val="32"/>
          <w:szCs w:val="32"/>
          <w:highlight w:val="none"/>
          <w:lang w:val="en-US" w:eastAsia="zh-CN" w:bidi="ar"/>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发掘清远麻鸡鸡种在抗白血病的遗传抗性，集成综合性的禽白血病抗性选育技术体系；开展肌肉发育、产肉性能等方面的机理研究，构建相关选育方案；利用全基因组关联研究（GWAS）关联技术，对清远麻鸡保种群做评估，筛选具有禽白血病抗性、高产肉等性状的选育群；通过基因分型与生产性能关联分析，组建新的抗性高产清远麻鸡新配套制种，加速自主品种推广生产。</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构建高抗性基因和产肉性能主控基因位点模式，并培育纯系4个，每个系可繁殖群体100只公鸡，1000只母鸡；育成高抗性和产肉性能配套系1个；推广清远麻鸡父母代年50万套，年推广商品苗5000万只；开展清远麻鸡产业推广讲座或培训6场，年培训800人次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①申报主体为优势种业企业，联合科研单位共同申报。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②申报主体建有省级清远鸡保种场，在肉鸡育种研究方面有较好的技术积累和良好工作基础。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b w:val="0"/>
          <w:bCs w:val="0"/>
          <w:caps w:val="0"/>
          <w:snapToGrid w:val="0"/>
          <w:color w:val="auto"/>
          <w:spacing w:val="-9"/>
          <w:kern w:val="0"/>
          <w:sz w:val="32"/>
          <w:szCs w:val="32"/>
          <w:highlight w:val="none"/>
          <w:lang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200万元。项目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11.畜禽养殖用高效微生物种质资源挖掘、创制与利用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caps w:val="0"/>
          <w:color w:val="auto"/>
          <w:spacing w:val="0"/>
          <w:kern w:val="0"/>
          <w:sz w:val="32"/>
          <w:szCs w:val="32"/>
          <w:highlight w:val="none"/>
          <w:lang w:val="en-US" w:eastAsia="zh-CN" w:bidi="ar"/>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聚焦畜禽饲料安全、健康养殖和废弃物处理中的高效微生物种质资源，通过自然分离、定向筛选、人工驯化、工程改造和功能菌群复配等手段，挖掘创制可高效应用于饲料霉菌毒素脱毒、抗生素替代和畜禽废弃物脱氮除臭的乳酸菌、酵母菌和芽孢杆菌等益生菌株及其复配菌群。</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发掘畜禽饲料安全、健康养殖和废弃物处理的高效微生物菌株100株以上，相关菌株的功能活性比目前国内已报道的同类菌种的功能活性提高10%以上；深度鉴评性能优异的菌种10株以上，揭示其作用机理，动物实验验证其使用效果；创制2种以上畜禽用高性能微生物新种质（种群）产品，实现产业化应用，增加畜禽养殖收益或节约成本5%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①申报主体为省级及以上事业单位，鼓励联合企业申报。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②申报主体需在畜禽用微生物种质创制方面有较好的技术积累和良好工作基础。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snapToGrid w:val="0"/>
          <w:color w:val="auto"/>
          <w:spacing w:val="-9"/>
          <w:kern w:val="0"/>
          <w:sz w:val="32"/>
          <w:szCs w:val="32"/>
          <w:highlight w:val="none"/>
          <w:lang w:val="en-US" w:eastAsia="zh-CN" w:bidi="ar"/>
        </w:rPr>
        <w:t>③申报主体具有较完善的项目和财务管理制度，信用记录良好</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项目实施周期为2年，补助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100万元。项目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12.农田农药降解功能微生物菌种挖掘与利用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caps w:val="0"/>
          <w:color w:val="auto"/>
          <w:spacing w:val="0"/>
          <w:kern w:val="0"/>
          <w:sz w:val="32"/>
          <w:szCs w:val="32"/>
          <w:highlight w:val="none"/>
          <w:lang w:val="en-US" w:eastAsia="zh-CN" w:bidi="ar"/>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高通量分离农药降解菌株，构建代表性的农药降解菌种资源库；深度鉴评高效农药降解功能菌种；开发农药降解微生物菌剂并进行示范应用。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挖掘高效降解农药菌株200株以上；深度鉴评性能优异的农药降解功能菌株，挖掘其功能基因2个以上；开发1-2种高效能农药降解菌剂，比原始菌株效能提高10%以上，菌剂效能示范面积20亩以上。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①申报主体为省级及以上事业单位，鼓励联合企业申报。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②申报主体需在农药降解微生物种质创制方面有较好的技术积累和良好工作基础。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项目实施周期为2年，补助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100万元。项目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（三）基地与平台建设类项目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1.热带作物种质资源引进保存及隔离基地建设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完善种质资源引进、保存、评价和创新利用的基础条件建设；定期对引进的种质资源开展检疫性病虫害风险评估，严格防止检疫性病害和有害生物随资源入境，防范生物安全风险；建设引进隔离检疫圃、隔离温室、防虫网室、种质资源保存圃、优异资源筛选观察圃、优异育种材料观察试验基地和种质资源分析实验室。</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SA"/>
        </w:rPr>
      </w:pPr>
      <w:r>
        <w:rPr>
          <w:rFonts w:hint="eastAsia" w:ascii="仿宋_GB2312" w:hAnsi="仿宋_GB2312" w:eastAsia="仿宋_GB2312" w:cs="仿宋_GB2312"/>
          <w:caps w:val="0"/>
          <w:color w:val="auto"/>
          <w:spacing w:val="0"/>
          <w:sz w:val="32"/>
          <w:szCs w:val="32"/>
          <w:highlight w:val="none"/>
          <w:lang w:val="en-US" w:eastAsia="zh-CN"/>
        </w:rPr>
        <w:t>建成热带作物种质资源引进保存及隔离基地250亩以上，其中：建设引进隔离检疫圃50亩、隔离温室400平方米、防虫防鸟网室1000平方米、种质资源保存圃100亩、优异资源筛选观察圃100亩。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②申报主体需在热带作物种质引进和创制方面有较好的技术积累和良好工作基础。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800万元。项目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2.适宜村庄绿化实用经济果树种苗繁育基地能力提升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val="en-US" w:eastAsia="zh-CN"/>
        </w:rPr>
        <w:t>在粤东、粤西、粤北地区各建立1个村庄绿化果树种苗繁育供应保障性生产基地，支持有条件的典型村开展果树种苗乡村绿化，筛选适宜村庄绿化实用经济果树类型，及时发布果树种苗名录和数量，为绿美广东乡村绿化提供优质种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val="en-US" w:eastAsia="zh-CN"/>
        </w:rPr>
        <w:t>粤东、粤西、粤北建成实用经济果树种苗繁育示范基地各1个，每个基地种苗繁育供应能力达到年50万株以上的健康种苗，支撑广东各地村庄绿化果树种苗需求；支持10个果树绿化典型村，带动绿美广东乡村绿化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①申报主体由省级及以上事业单位，联合优势种苗企业申报。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②申报主体在果树种苗繁育方面有较好的技术积累和良好工作基础，参与企业具有种子种苗生产经营许可证。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350万元。项目</w:t>
      </w:r>
      <w:r>
        <w:rPr>
          <w:rFonts w:hint="eastAsia" w:ascii="仿宋_GB2312" w:hAnsi="仿宋_GB2312" w:eastAsia="仿宋_GB2312" w:cs="仿宋_GB2312"/>
          <w:color w:val="auto"/>
          <w:kern w:val="0"/>
          <w:sz w:val="32"/>
          <w:szCs w:val="32"/>
          <w:highlight w:val="none"/>
          <w:lang w:eastAsia="zh-CN"/>
        </w:rPr>
        <w:t>申报主体须根据实际需求自行测算项目需求金额，申报书测定的项目需求金</w:t>
      </w:r>
      <w:r>
        <w:rPr>
          <w:rFonts w:hint="eastAsia" w:ascii="仿宋_GB2312" w:hAnsi="仿宋_GB2312" w:eastAsia="仿宋_GB2312" w:cs="仿宋_GB2312"/>
          <w:b w:val="0"/>
          <w:bCs w:val="0"/>
          <w:color w:val="auto"/>
          <w:kern w:val="0"/>
          <w:sz w:val="32"/>
          <w:szCs w:val="32"/>
          <w:highlight w:val="none"/>
          <w:lang w:eastAsia="zh-CN"/>
        </w:rPr>
        <w:t>额应提供资金测算过程及测算依据，项目预算金额测算是否详细、可行、有佐证依据将纳入评审</w:t>
      </w:r>
      <w:r>
        <w:rPr>
          <w:rFonts w:hint="eastAsia" w:ascii="仿宋_GB2312" w:hAnsi="仿宋_GB2312" w:eastAsia="仿宋_GB2312" w:cs="仿宋_GB2312"/>
          <w:b w:val="0"/>
          <w:bCs w:val="0"/>
          <w:color w:val="auto"/>
          <w:kern w:val="0"/>
          <w:sz w:val="32"/>
          <w:szCs w:val="32"/>
          <w:highlight w:val="none"/>
          <w:lang w:val="en-US" w:eastAsia="zh-CN"/>
        </w:rPr>
        <w:t>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default"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3.适宜乡村绿化三角梅资源引进、品种筛选与展示示范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default"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发挥三角梅在绿美广东生态建设中的作用，结合我省气候和环境条件，从国内现有品种中筛选花期长、花量大、抗性强、低维护的三角梅品种，结合乡村村庄的实际运用需求，在广东省“百千万工程”典型村打造应用三角梅美化的示范乡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val="en-US" w:eastAsia="zh-CN"/>
        </w:rPr>
        <w:t>打造1个应用三角梅进行村庄绿化美化的典型村；引进三角梅种质资源30-50种，收集保育420种以上，丰富乡村绿化美化所需的三角梅品种资源储备；筛选出适宜广东不同地区乡村绿化美化、管理成本低、综合性状优良的节约型三角梅优良品种15个以上，并在乡村美化案例中推广应用，总数量1.5万株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①申报主体为市级及以上事业单位，可单独申报或联合申报。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②申报主体在三角梅育种和栽培研究方面有较好的技术积累和良好工作基础。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300万元。项目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4.木薯种苗繁育和示范推广</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从国家木薯种质圃引进高淀粉木薯品种，在粤西地区进行耐贫瘠与宜机化性能的筛选与评价，开展木薯健康种茎繁育技术研究，建立优质种茎繁育基地，开展非粮地木薯机械化生产技术研究，在“百千万工程”典型县镇村建立木薯全程机械化应用示范基地，扩大粮饲木薯种植面积。</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eastAsia="zh-CN"/>
        </w:rPr>
        <w:t>筛选出耐贫瘠、宜机化的优质木薯品种2-3个；形成木薯健康种茎繁育技术1套，形成非粮地木薯机械化生产技术1套；建立优质种茎繁育基地1个、面积100亩；建立机械化应用示范基地2-3个，面积600亩以上。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①申报主体为省级及以上事业单位，可单独申报或联合申报。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②申报主体需在木薯种质资源引进与评价、生产机械化方面有较好的技术积累和良好示范应用工作基础。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200万元。项目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5.水稻种质资源DNA分子指纹图谱库构建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利用单核苷酸多态性（SNP）标记，开展15000份以上水稻种质资源分子指纹图谱构建工作；利用所获得的SNP标记信息，开展材料间两两比较分析，获得种质资源品系间的遗传相似度；利用所获得的SNP标记信息，生成15000份以上种质资源的分子条形码，并开发广东水稻DNA条形码分析系统1个；开展广东地方种和育成种的核酸多样性分析、群体结构与聚类分析。</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完成构建新增15000份以上水稻种质资源的分子指纹图谱，构建DNA分子指纹条形码数据库，解析稻种资源两两间遗传相似性；在前期已有工作基础上，全面构建广东水稻种质资源DNA指纹图谱库；按照国家种质资源入库要求，完善入库种质资源的表型初步鉴定数据，实现表型数据与DNA指纹条形码数据相统一，相关数据须报省农业农村厅备案，加快实现共享利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①申报主体为省级及以上科研单位，联合省内其他水稻种质资源保存数量较多的单位共同申报。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②申报主体应建有省级及以上水稻种质资源库（圃），且在种质资源鉴定评价方面有较好的技术积累和良好的工作基础。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bidi="ar"/>
        </w:rPr>
      </w:pPr>
      <w:r>
        <w:rPr>
          <w:rFonts w:hint="eastAsia" w:ascii="仿宋_GB2312" w:hAnsi="仿宋_GB2312" w:eastAsia="仿宋_GB2312" w:cs="仿宋_GB2312"/>
          <w:snapToGrid w:val="0"/>
          <w:color w:val="auto"/>
          <w:spacing w:val="-9"/>
          <w:kern w:val="0"/>
          <w:sz w:val="32"/>
          <w:szCs w:val="32"/>
          <w:highlight w:val="none"/>
          <w:lang w:val="en-US" w:eastAsia="zh-CN" w:bidi="ar"/>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300万元。项目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6.叶菜类蔬菜种质资源DNA分子指纹图谱库构建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利用叶菜类蔬菜核心资源（高代自交系）重测序数据开发SNP标记，从中筛选出多态性较好、在染色体上均匀分布的SNP位点，将其转化为KASP标记；利用KASP平台对叶菜类蔬菜核心资源进行检测，得到基因分型数据；根据分型数据，筛选多态性信息含量（PIC）高、无基因型数据缺失且在染色体上均匀分布的标记作为构建品种指纹图谱的核心标记，利用核心标记构建叶菜类蔬菜核心资源的DNA指纹图谱</w:t>
      </w:r>
      <w:r>
        <w:rPr>
          <w:rFonts w:hint="eastAsia" w:ascii="仿宋_GB2312" w:hAnsi="仿宋_GB2312" w:eastAsia="仿宋_GB2312" w:cs="仿宋_GB2312"/>
          <w:color w:val="auto"/>
          <w:kern w:val="0"/>
          <w:sz w:val="32"/>
          <w:szCs w:val="32"/>
          <w:highlight w:val="none"/>
          <w:lang w:eastAsia="zh-CN"/>
        </w:rPr>
        <w:t>库</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完成构建3000份以上叶菜类蔬菜种质资源DNA分子指纹图谱，包括菜心1700份、小白菜400份、芥菜370份、芥蓝530份核心资源的DNA指纹图谱构建，构建DNA分子指纹条形码数据库；解析叶菜种资源两两间遗传相似性，构建广东叶菜类蔬菜种质资源DNA指纹图谱库；按照国家种质资源入库要求，完善入库种质资源的表型</w:t>
      </w:r>
      <w:r>
        <w:rPr>
          <w:rFonts w:hint="eastAsia" w:ascii="仿宋_GB2312" w:hAnsi="仿宋_GB2312" w:eastAsia="仿宋_GB2312" w:cs="仿宋_GB2312"/>
          <w:caps w:val="0"/>
          <w:color w:val="auto"/>
          <w:spacing w:val="0"/>
          <w:kern w:val="0"/>
          <w:sz w:val="32"/>
          <w:szCs w:val="32"/>
          <w:highlight w:val="none"/>
          <w:lang w:val="en-US" w:eastAsia="zh-CN"/>
        </w:rPr>
        <w:t>初步鉴定</w:t>
      </w:r>
      <w:r>
        <w:rPr>
          <w:rFonts w:hint="eastAsia" w:ascii="仿宋_GB2312" w:hAnsi="仿宋_GB2312" w:eastAsia="仿宋_GB2312" w:cs="仿宋_GB2312"/>
          <w:color w:val="auto"/>
          <w:kern w:val="0"/>
          <w:sz w:val="32"/>
          <w:szCs w:val="32"/>
          <w:highlight w:val="none"/>
        </w:rPr>
        <w:t>数据，实现表型数据与DNA指纹条形码数据相统一，相关数据须报省农业农村厅备案，加快实现共享利用。</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①申报主体为省级及以上科研单位，联合省内其他叶菜类种质资源保存数量较多的单位共同申报。</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②申报主体应建有省级及以上蔬菜种质资源库（圃），且在种质资源鉴定评价方面有较好的技术积累和良好的工作基础。</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rPr>
      </w:pPr>
      <w:r>
        <w:rPr>
          <w:rFonts w:hint="eastAsia" w:ascii="仿宋_GB2312" w:hAnsi="仿宋_GB2312" w:eastAsia="仿宋_GB2312" w:cs="仿宋_GB2312"/>
          <w:snapToGrid w:val="0"/>
          <w:color w:val="auto"/>
          <w:spacing w:val="-9"/>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200万元。项目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7.甘蔗种质资源DNA分子指纹图谱库构建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利用单核苷酸多态性（SNP）标记，开展2600份以上种质资源分子指纹图谱构建工作；利用所获得的SNP标记信息，开展材料间两两比较分析，获得种质资源品系间的遗传相似度；利用所获得的SNP标记信息，生成2600份以上种质资源的分子条形码，并开发广东甘蔗DNA条形码分析系统；开展广东地方种和育成种的核酸多样性分析、群体结构与聚类分析。</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完成构建2600份以上的甘蔗种质资源DNA分子指纹图谱库，实现所有入圃资源的分子认证；按照国家种质资源入库要求，完善入库种质资源的表型</w:t>
      </w:r>
      <w:r>
        <w:rPr>
          <w:rFonts w:hint="eastAsia" w:ascii="仿宋_GB2312" w:hAnsi="仿宋_GB2312" w:eastAsia="仿宋_GB2312" w:cs="仿宋_GB2312"/>
          <w:caps w:val="0"/>
          <w:color w:val="auto"/>
          <w:spacing w:val="0"/>
          <w:kern w:val="0"/>
          <w:sz w:val="32"/>
          <w:szCs w:val="32"/>
          <w:highlight w:val="none"/>
          <w:lang w:val="en-US" w:eastAsia="zh-CN"/>
        </w:rPr>
        <w:t>初步鉴定</w:t>
      </w:r>
      <w:r>
        <w:rPr>
          <w:rFonts w:hint="eastAsia" w:ascii="仿宋_GB2312" w:hAnsi="仿宋_GB2312" w:eastAsia="仿宋_GB2312" w:cs="仿宋_GB2312"/>
          <w:color w:val="auto"/>
          <w:kern w:val="0"/>
          <w:sz w:val="32"/>
          <w:szCs w:val="32"/>
          <w:highlight w:val="none"/>
        </w:rPr>
        <w:t>数据，实现表型数据与DNA指纹条形码数据相统一，相关数据须报省农业农村厅备案，加快实现资源数据共享利用。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①申报主体为省级及以上事业单位，联合省内其他甘蔗种质资源保存数量较多的单位共同申报。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②申报主体应建有省级及以上甘蔗种质资源库（圃），且在种质资源鉴定评价方面有较好的技术积累和良好的工作基础。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rPr>
      </w:pPr>
      <w:r>
        <w:rPr>
          <w:rFonts w:hint="eastAsia" w:ascii="仿宋_GB2312" w:hAnsi="仿宋_GB2312" w:eastAsia="仿宋_GB2312" w:cs="仿宋_GB2312"/>
          <w:snapToGrid w:val="0"/>
          <w:color w:val="auto"/>
          <w:spacing w:val="-9"/>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200万元。项目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8.玉米种质资源DNA分子指纹图谱库构建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利用单核苷酸多态性（SNP）标记，开展5000份以上鲜食玉米种质资源分子指纹图谱构建工作；利用所获得的SNP标记信息，开展材料间两两比较分析，获得种质资源品系间的遗传相似度；利用所获得的SNP标记信息，生成5000份以上种质资源的分子条形码，并开发广东玉米DNA条形码分析系统；开展广东地方种和育成种的核酸多样性分析、群体结构与聚类分析。</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完成构建5000份以上的玉米种质资源DNA分子指纹图谱库，实现所有入圃资源的分子认证；按照国家种质资源入库要求，完善入库种质资源的表型</w:t>
      </w:r>
      <w:r>
        <w:rPr>
          <w:rFonts w:hint="eastAsia" w:ascii="仿宋_GB2312" w:hAnsi="仿宋_GB2312" w:eastAsia="仿宋_GB2312" w:cs="仿宋_GB2312"/>
          <w:caps w:val="0"/>
          <w:color w:val="auto"/>
          <w:spacing w:val="0"/>
          <w:kern w:val="0"/>
          <w:sz w:val="32"/>
          <w:szCs w:val="32"/>
          <w:highlight w:val="none"/>
          <w:lang w:val="en-US" w:eastAsia="zh-CN"/>
        </w:rPr>
        <w:t>初步鉴定</w:t>
      </w:r>
      <w:r>
        <w:rPr>
          <w:rFonts w:hint="eastAsia" w:ascii="仿宋_GB2312" w:hAnsi="仿宋_GB2312" w:eastAsia="仿宋_GB2312" w:cs="仿宋_GB2312"/>
          <w:color w:val="auto"/>
          <w:kern w:val="0"/>
          <w:sz w:val="32"/>
          <w:szCs w:val="32"/>
          <w:highlight w:val="none"/>
        </w:rPr>
        <w:t>数据，实现表型数据与DNA指纹条形码数据相统一，相关数据须报省农业农村厅备案，加快实现资源数据共享利用。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①申报主体为省级及以上事业单位，联合省内其他玉米种质资源保存数量较多的单位共同申报。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②申报主体应建有省级及以上玉米种质资源库（圃），且在种质资源鉴定评价方面有较好的技术积累和良好的工作基础。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val="en-US" w:eastAsia="zh-CN"/>
        </w:rPr>
      </w:pPr>
      <w:r>
        <w:rPr>
          <w:rFonts w:hint="eastAsia" w:ascii="仿宋_GB2312" w:hAnsi="仿宋_GB2312" w:eastAsia="仿宋_GB2312" w:cs="仿宋_GB2312"/>
          <w:snapToGrid w:val="0"/>
          <w:color w:val="auto"/>
          <w:spacing w:val="-9"/>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300万元。项目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9.畜禽（牛羊为主）品种DNA指纹特征库构建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highlight w:val="none"/>
        </w:rPr>
        <w:t>整合广东省草食动物（牛羊）、蜂蚕品种国家级、省级保种场核心遗传物质，建设完成广东省草食动物及特种经济动物的DNA指纹特征库分库，并与前期建设的生猪、家禽DNA指纹特征库分库进行合并，实现数据的规范化、血缘鉴定功能的统一化；在群体层面，重构部分血缘混杂地方畜禽的基因组，充分评估重要品种的群体基因组完整度；联合省内高校、科研院所，建立成熟的畜禽品种分子鉴定标准，完成广东省所有地方猪、家禽及部分牛羊品种分子标准发布；研发基于性染色体的畜禽亲本血缘划分和基于线粒体DNA的母系溯源技术，精准评估畜禽群体的父、母系血统数目及有效群体大小，为地方畜禽提纯复壮提供技术方案；建立活体采集保种场核心群体生理生化表型数据库，建立相应的基因型、表型、多组学数据收集规范，建立广东省主要畜禽品种多组学大数据平台，为我省地方畜禽品种特色基因的挖掘奠定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构建广东省地方草食动物品种的DNA指纹特征数据库分库1个；发布广东省地方猪、家禽及牛羊品种分子标准15个以上；开发地方畜禽基因组重构技术1项；建立广东省主要畜禽品种DNA指纹特征和多组学大数据平台1个；</w:t>
      </w:r>
      <w:r>
        <w:rPr>
          <w:rFonts w:hint="eastAsia" w:ascii="仿宋_GB2312" w:hAnsi="仿宋_GB2312" w:eastAsia="仿宋_GB2312" w:cs="仿宋_GB2312"/>
          <w:color w:val="auto"/>
          <w:kern w:val="0"/>
          <w:sz w:val="32"/>
          <w:szCs w:val="32"/>
          <w:highlight w:val="none"/>
          <w:lang w:eastAsia="zh-CN"/>
        </w:rPr>
        <w:t>建立活体采集保种场核心群的繁殖、肉质、适应性及生理生化表型数据库</w:t>
      </w:r>
      <w:r>
        <w:rPr>
          <w:rFonts w:hint="eastAsia" w:ascii="仿宋_GB2312" w:hAnsi="仿宋_GB2312" w:eastAsia="仿宋_GB2312" w:cs="仿宋_GB2312"/>
          <w:color w:val="auto"/>
          <w:kern w:val="0"/>
          <w:sz w:val="32"/>
          <w:szCs w:val="32"/>
          <w:highlight w:val="none"/>
          <w:lang w:val="en-US" w:eastAsia="zh-CN"/>
        </w:rPr>
        <w:t>1个</w:t>
      </w:r>
      <w:r>
        <w:rPr>
          <w:rFonts w:hint="eastAsia" w:ascii="仿宋_GB2312" w:hAnsi="仿宋_GB2312" w:eastAsia="仿宋_GB2312" w:cs="仿宋_GB2312"/>
          <w:color w:val="auto"/>
          <w:kern w:val="0"/>
          <w:sz w:val="32"/>
          <w:szCs w:val="32"/>
          <w:highlight w:val="none"/>
          <w:lang w:eastAsia="zh-CN"/>
        </w:rPr>
        <w:t>，建立相应的基因型、表型、多组学数据收集规范</w:t>
      </w:r>
      <w:r>
        <w:rPr>
          <w:rFonts w:hint="eastAsia" w:ascii="仿宋_GB2312" w:hAnsi="仿宋_GB2312" w:eastAsia="仿宋_GB2312" w:cs="仿宋_GB2312"/>
          <w:color w:val="auto"/>
          <w:kern w:val="0"/>
          <w:sz w:val="32"/>
          <w:szCs w:val="32"/>
          <w:highlight w:val="none"/>
          <w:lang w:val="en-US" w:eastAsia="zh-CN"/>
        </w:rPr>
        <w:t>1套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开发基于性染色体、线粒体DNA的亲本血缘划分和溯源技术1项。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①申报主体为建有省级畜禽基因库的</w:t>
      </w:r>
      <w:r>
        <w:rPr>
          <w:rFonts w:hint="eastAsia" w:ascii="仿宋_GB2312" w:hAnsi="仿宋_GB2312" w:eastAsia="仿宋_GB2312" w:cs="仿宋_GB2312"/>
          <w:color w:val="auto"/>
          <w:kern w:val="0"/>
          <w:sz w:val="32"/>
          <w:szCs w:val="32"/>
          <w:highlight w:val="none"/>
          <w:lang w:eastAsia="zh-CN"/>
        </w:rPr>
        <w:t>事业</w:t>
      </w:r>
      <w:r>
        <w:rPr>
          <w:rFonts w:hint="eastAsia" w:ascii="仿宋_GB2312" w:hAnsi="仿宋_GB2312" w:eastAsia="仿宋_GB2312" w:cs="仿宋_GB2312"/>
          <w:color w:val="auto"/>
          <w:kern w:val="0"/>
          <w:sz w:val="32"/>
          <w:szCs w:val="32"/>
          <w:highlight w:val="none"/>
        </w:rPr>
        <w:t>单位，联合省域内所有科研院校（畜禽育种方向）共同完成。</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②申报主体在畜禽种质资源鉴定评价方面有较好的技术积累和良好的工作基础。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rPr>
      </w:pPr>
      <w:r>
        <w:rPr>
          <w:rFonts w:hint="eastAsia" w:ascii="仿宋_GB2312" w:hAnsi="仿宋_GB2312" w:eastAsia="仿宋_GB2312" w:cs="仿宋_GB2312"/>
          <w:snapToGrid w:val="0"/>
          <w:color w:val="auto"/>
          <w:spacing w:val="-9"/>
          <w:kern w:val="0"/>
          <w:sz w:val="32"/>
          <w:szCs w:val="32"/>
          <w:highlight w:val="none"/>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600万元。项目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（四）基础保障</w:t>
      </w:r>
      <w:r>
        <w:rPr>
          <w:rFonts w:hint="eastAsia" w:ascii="楷体_GB2312" w:hAnsi="楷体_GB2312" w:eastAsia="楷体_GB2312" w:cs="楷体_GB2312"/>
          <w:color w:val="auto"/>
          <w:kern w:val="0"/>
          <w:sz w:val="32"/>
          <w:szCs w:val="32"/>
          <w:highlight w:val="none"/>
        </w:rPr>
        <w:t>类</w:t>
      </w:r>
      <w:r>
        <w:rPr>
          <w:rFonts w:hint="eastAsia" w:ascii="楷体_GB2312" w:hAnsi="楷体_GB2312" w:eastAsia="楷体_GB2312" w:cs="楷体_GB2312"/>
          <w:color w:val="auto"/>
          <w:kern w:val="0"/>
          <w:sz w:val="32"/>
          <w:szCs w:val="32"/>
          <w:highlight w:val="none"/>
          <w:lang w:val="en-US" w:eastAsia="zh-CN"/>
        </w:rPr>
        <w:t>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1.畜禽种业科技贡献率测算方法研究、标准制订与统计监测系统构建</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建设内容</w:t>
      </w:r>
      <w:r>
        <w:rPr>
          <w:rFonts w:hint="eastAsia" w:ascii="仿宋_GB2312" w:hAnsi="仿宋_GB2312" w:eastAsia="仿宋_GB2312" w:cs="仿宋_GB2312"/>
          <w:b/>
          <w:bCs/>
          <w:caps w:val="0"/>
          <w:color w:val="auto"/>
          <w:spacing w:val="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通过系统收集种业经济增长过程中的相关要素，建立种业科技贡献相关数据库；研究确定测算种业科技进步贡献率的数学模型,计算近10年的生猪、家禽种业科技进步贡献率,并对进一步提升提出相应政策措施；通过</w:t>
      </w:r>
      <w:r>
        <w:rPr>
          <w:rFonts w:hint="eastAsia" w:ascii="仿宋_GB2312" w:hAnsi="仿宋_GB2312" w:eastAsia="仿宋_GB2312" w:cs="仿宋_GB2312"/>
          <w:color w:val="auto"/>
          <w:kern w:val="0"/>
          <w:sz w:val="32"/>
          <w:szCs w:val="32"/>
          <w:highlight w:val="none"/>
          <w:lang w:eastAsia="zh-CN"/>
        </w:rPr>
        <w:t>对</w:t>
      </w:r>
      <w:r>
        <w:rPr>
          <w:rFonts w:hint="eastAsia" w:ascii="仿宋_GB2312" w:hAnsi="仿宋_GB2312" w:eastAsia="仿宋_GB2312" w:cs="仿宋_GB2312"/>
          <w:color w:val="auto"/>
          <w:kern w:val="0"/>
          <w:sz w:val="32"/>
          <w:szCs w:val="32"/>
          <w:highlight w:val="none"/>
        </w:rPr>
        <w:t>指标计算方法、模型、数据来源等重要信息</w:t>
      </w:r>
      <w:r>
        <w:rPr>
          <w:rFonts w:hint="eastAsia" w:ascii="仿宋_GB2312" w:hAnsi="仿宋_GB2312" w:eastAsia="仿宋_GB2312" w:cs="仿宋_GB2312"/>
          <w:color w:val="auto"/>
          <w:kern w:val="0"/>
          <w:sz w:val="32"/>
          <w:szCs w:val="32"/>
          <w:highlight w:val="none"/>
          <w:lang w:eastAsia="zh-CN"/>
        </w:rPr>
        <w:t>进行汇总分析</w:t>
      </w:r>
      <w:r>
        <w:rPr>
          <w:rFonts w:hint="eastAsia" w:ascii="仿宋_GB2312" w:hAnsi="仿宋_GB2312" w:eastAsia="仿宋_GB2312" w:cs="仿宋_GB2312"/>
          <w:color w:val="auto"/>
          <w:kern w:val="0"/>
          <w:sz w:val="32"/>
          <w:szCs w:val="32"/>
          <w:highlight w:val="none"/>
        </w:rPr>
        <w:t>，联合全国畜牧总站、全国标委会制订行业或国家标准；在现有畜禽种业和畜牧业统计口径内，形成稳定运行的畜禽种业科技贡献率统计与监测体系。</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color w:val="auto"/>
          <w:kern w:val="0"/>
          <w:sz w:val="32"/>
          <w:szCs w:val="32"/>
          <w:highlight w:val="none"/>
        </w:rPr>
        <w:t>确定测算广东省生猪、家禽种业科技进步贡献率的数学模型,并计算近10年的生猪种业科技进步贡献率；</w:t>
      </w:r>
      <w:r>
        <w:rPr>
          <w:rFonts w:hint="eastAsia" w:ascii="仿宋_GB2312" w:hAnsi="仿宋_GB2312" w:eastAsia="仿宋_GB2312" w:cs="仿宋_GB2312"/>
          <w:color w:val="auto"/>
          <w:kern w:val="0"/>
          <w:sz w:val="32"/>
          <w:szCs w:val="32"/>
          <w:highlight w:val="none"/>
          <w:lang w:eastAsia="zh-CN"/>
        </w:rPr>
        <w:t>制定国家、</w:t>
      </w:r>
      <w:r>
        <w:rPr>
          <w:rFonts w:hint="eastAsia" w:ascii="仿宋_GB2312" w:hAnsi="仿宋_GB2312" w:eastAsia="仿宋_GB2312" w:cs="仿宋_GB2312"/>
          <w:color w:val="auto"/>
          <w:kern w:val="0"/>
          <w:sz w:val="32"/>
          <w:szCs w:val="32"/>
          <w:highlight w:val="none"/>
        </w:rPr>
        <w:t>地方、行业或</w:t>
      </w:r>
      <w:r>
        <w:rPr>
          <w:rFonts w:hint="eastAsia" w:ascii="仿宋_GB2312" w:hAnsi="仿宋_GB2312" w:eastAsia="仿宋_GB2312" w:cs="仿宋_GB2312"/>
          <w:color w:val="auto"/>
          <w:kern w:val="0"/>
          <w:sz w:val="32"/>
          <w:szCs w:val="32"/>
          <w:highlight w:val="none"/>
          <w:lang w:eastAsia="zh-CN"/>
        </w:rPr>
        <w:t>团体</w:t>
      </w:r>
      <w:r>
        <w:rPr>
          <w:rFonts w:hint="eastAsia" w:ascii="仿宋_GB2312" w:hAnsi="仿宋_GB2312" w:eastAsia="仿宋_GB2312" w:cs="仿宋_GB2312"/>
          <w:color w:val="auto"/>
          <w:kern w:val="0"/>
          <w:sz w:val="32"/>
          <w:szCs w:val="32"/>
          <w:highlight w:val="none"/>
        </w:rPr>
        <w:t>标准1套；有效运行并每年生成数据信息供科学决策参考。</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②申报主体在相应领域研究有较好的技术积累和良好的工作基础，能提供与国家相关单位合作能力证明。</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04" w:firstLineChars="200"/>
        <w:jc w:val="both"/>
        <w:textAlignment w:val="auto"/>
        <w:rPr>
          <w:rFonts w:hint="eastAsia" w:ascii="仿宋_GB2312" w:hAnsi="仿宋_GB2312" w:eastAsia="仿宋_GB2312" w:cs="仿宋_GB2312"/>
          <w:snapToGrid w:val="0"/>
          <w:color w:val="auto"/>
          <w:spacing w:val="-9"/>
          <w:kern w:val="0"/>
          <w:sz w:val="32"/>
          <w:szCs w:val="32"/>
          <w:highlight w:val="none"/>
          <w:lang w:eastAsia="zh-CN"/>
        </w:rPr>
      </w:pPr>
      <w:r>
        <w:rPr>
          <w:rFonts w:hint="eastAsia" w:ascii="仿宋_GB2312" w:hAnsi="仿宋_GB2312" w:eastAsia="仿宋_GB2312" w:cs="仿宋_GB2312"/>
          <w:snapToGrid w:val="0"/>
          <w:color w:val="auto"/>
          <w:spacing w:val="-9"/>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400万元。项目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adjustRightInd w:val="0"/>
        <w:snapToGrid w:val="0"/>
        <w:spacing w:beforeLines="0" w:afterLines="0" w:line="590" w:lineRule="exact"/>
        <w:ind w:firstLine="640" w:firstLineChars="200"/>
        <w:rPr>
          <w:rFonts w:hint="default"/>
          <w:lang w:val="en-US" w:eastAsia="zh-CN"/>
        </w:rPr>
      </w:pPr>
      <w:r>
        <w:rPr>
          <w:rFonts w:hint="eastAsia" w:ascii="黑体" w:hAnsi="黑体" w:eastAsia="黑体" w:cs="黑体"/>
          <w:color w:val="auto"/>
          <w:kern w:val="0"/>
          <w:sz w:val="32"/>
          <w:szCs w:val="32"/>
          <w:highlight w:val="none"/>
          <w:lang w:val="en-US" w:eastAsia="zh-CN"/>
        </w:rPr>
        <w:t>二、科技兴农项目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1.广东省水禽节粮环保饲养技术研究与示范推广</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通</w:t>
      </w:r>
      <w:r>
        <w:rPr>
          <w:rFonts w:hint="eastAsia" w:ascii="仿宋_GB2312" w:hAnsi="仿宋_GB2312" w:eastAsia="仿宋_GB2312" w:cs="仿宋_GB2312"/>
          <w:color w:val="auto"/>
          <w:kern w:val="0"/>
          <w:sz w:val="32"/>
          <w:szCs w:val="32"/>
          <w:highlight w:val="none"/>
          <w:lang w:eastAsia="zh-CN"/>
        </w:rPr>
        <w:t>过</w:t>
      </w:r>
      <w:r>
        <w:rPr>
          <w:rFonts w:hint="eastAsia" w:ascii="仿宋_GB2312" w:hAnsi="仿宋_GB2312" w:eastAsia="仿宋_GB2312" w:cs="仿宋_GB2312"/>
          <w:color w:val="auto"/>
          <w:kern w:val="0"/>
          <w:sz w:val="32"/>
          <w:szCs w:val="32"/>
          <w:highlight w:val="none"/>
        </w:rPr>
        <w:t>开展水禽节粮环保饲养、鸭鹅节粮减排饲料技术、粪污处理及鸭鹅笼养关键技术研究，集成水禽节粮环保养殖技术总体方案，并在省内主要水禽养殖与饲料企业全面推广。</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提出水禽低蛋白营养饲料技术2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3套；提出水禽饲料节粮减排技术方案2-3套，降低玉米、豆粕饲料用量50%以上</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并在3家以上饲料企业应用推广</w:t>
      </w:r>
      <w:r>
        <w:rPr>
          <w:rFonts w:hint="eastAsia" w:ascii="仿宋_GB2312" w:hAnsi="仿宋_GB2312" w:eastAsia="仿宋_GB2312" w:cs="仿宋_GB2312"/>
          <w:color w:val="auto"/>
          <w:kern w:val="0"/>
          <w:sz w:val="32"/>
          <w:szCs w:val="32"/>
          <w:highlight w:val="none"/>
        </w:rPr>
        <w:t>；提出笼养水禽配套饲养技术2-3套、环控及粪污资源化利用技术1套，实现粪污处理后达标排放；建立水禽节粮环保养殖示范场3-5个；开展水禽节粮及资源化利用技术等培训1-2次。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①项目申报主体须为省内注册，从事水禽相关领域研究、具备独立法人资质的高等院校、科研院所或事业单位。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②长期从事水禽节粮减排、饲养管理、营养需要、等研究工作，具有丰富的理论和实践经验。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③建有与本领域密切相关的国家或省部级重点实验室等创新平台优先考虑。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adjustRightInd w:val="0"/>
        <w:snapToGrid w:val="0"/>
        <w:spacing w:beforeLines="0" w:afterLines="0" w:line="590" w:lineRule="exact"/>
        <w:ind w:firstLine="640" w:firstLineChars="200"/>
        <w:rPr>
          <w:rFonts w:hint="default"/>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500万元。项目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07" w:firstLineChars="200"/>
        <w:jc w:val="both"/>
        <w:textAlignment w:val="auto"/>
        <w:rPr>
          <w:rFonts w:hint="eastAsia" w:ascii="仿宋_GB2312" w:hAnsi="仿宋_GB2312" w:eastAsia="仿宋_GB2312" w:cs="仿宋_GB2312"/>
          <w:b/>
          <w:bCs/>
          <w:snapToGrid w:val="0"/>
          <w:color w:val="auto"/>
          <w:spacing w:val="-9"/>
          <w:kern w:val="0"/>
          <w:sz w:val="32"/>
          <w:szCs w:val="32"/>
          <w:highlight w:val="none"/>
          <w:lang w:val="en-US" w:eastAsia="zh-CN"/>
        </w:rPr>
      </w:pPr>
      <w:r>
        <w:rPr>
          <w:rFonts w:hint="eastAsia" w:ascii="仿宋_GB2312" w:hAnsi="仿宋_GB2312" w:eastAsia="仿宋_GB2312" w:cs="仿宋_GB2312"/>
          <w:b/>
          <w:bCs/>
          <w:snapToGrid w:val="0"/>
          <w:color w:val="auto"/>
          <w:spacing w:val="-9"/>
          <w:kern w:val="0"/>
          <w:sz w:val="32"/>
          <w:szCs w:val="32"/>
          <w:highlight w:val="none"/>
          <w:lang w:val="en-US" w:eastAsia="zh-CN"/>
        </w:rPr>
        <w:t>2.清远黑山羊标准化养殖技术与全产业链产品开发综合研究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建立适合清远黑山羊的半放牧半舍饲养殖配套技术，涵盖育种、营养、繁殖等环节，形成清远黑山羊养殖技术体系并示范；开发清远黑山羊人工受精等快速扩繁技术流程，建立高效繁殖体系，提高核心育种群培育效率；制定清远黑山羊产品标准化加工流程和质量控制标准；研发清远黑山羊预制菜产品；提升清远黑山羊品牌价值和认可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形成1套清远黑山羊半放牧半舍饲养殖技术方案和1套良种高效繁殖技术体系，并在相关企业进行应用示范；制定清远黑山养殖</w:t>
      </w:r>
      <w:r>
        <w:rPr>
          <w:rFonts w:hint="eastAsia" w:ascii="仿宋_GB2312" w:hAnsi="仿宋_GB2312" w:eastAsia="仿宋_GB2312" w:cs="仿宋_GB2312"/>
          <w:color w:val="auto"/>
          <w:kern w:val="0"/>
          <w:sz w:val="32"/>
          <w:szCs w:val="32"/>
          <w:highlight w:val="none"/>
          <w:lang w:eastAsia="zh-CN"/>
        </w:rPr>
        <w:t>、加工、产品质量等</w:t>
      </w:r>
      <w:r>
        <w:rPr>
          <w:rFonts w:hint="eastAsia" w:ascii="仿宋_GB2312" w:hAnsi="仿宋_GB2312" w:eastAsia="仿宋_GB2312" w:cs="仿宋_GB2312"/>
          <w:color w:val="auto"/>
          <w:kern w:val="0"/>
          <w:sz w:val="32"/>
          <w:szCs w:val="32"/>
          <w:highlight w:val="none"/>
        </w:rPr>
        <w:t>标准</w:t>
      </w:r>
      <w:r>
        <w:rPr>
          <w:rFonts w:hint="eastAsia" w:ascii="仿宋_GB2312" w:hAnsi="仿宋_GB2312" w:eastAsia="仿宋_GB2312" w:cs="仿宋_GB2312"/>
          <w:color w:val="auto"/>
          <w:kern w:val="0"/>
          <w:sz w:val="32"/>
          <w:szCs w:val="32"/>
          <w:highlight w:val="none"/>
          <w:lang w:eastAsia="zh-CN"/>
        </w:rPr>
        <w:t>各</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套</w:t>
      </w:r>
      <w:r>
        <w:rPr>
          <w:rFonts w:hint="eastAsia" w:ascii="仿宋_GB2312" w:hAnsi="仿宋_GB2312" w:eastAsia="仿宋_GB2312" w:cs="仿宋_GB2312"/>
          <w:color w:val="auto"/>
          <w:kern w:val="0"/>
          <w:sz w:val="32"/>
          <w:szCs w:val="32"/>
          <w:highlight w:val="none"/>
        </w:rPr>
        <w:t>；研发5款预制菜产品；加强清远黑山羊品牌宣传，省级媒体报道不少于10次。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①项目申报主体须为省内注册，具备独立法人资质的高等院校、科研院所或企事业单位。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②申报主体在地方山羊品种种质资源保护、开发利用及标准化养殖方面具有良好工作基础优先考虑。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adjustRightInd w:val="0"/>
        <w:snapToGrid w:val="0"/>
        <w:spacing w:beforeLines="0" w:afterLines="0" w:line="590" w:lineRule="exact"/>
        <w:ind w:firstLine="640" w:firstLineChars="200"/>
        <w:rPr>
          <w:rFonts w:hint="default"/>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资金额不超过</w:t>
      </w:r>
      <w:r>
        <w:rPr>
          <w:rFonts w:hint="eastAsia" w:ascii="仿宋_GB2312" w:hAnsi="仿宋_GB2312" w:eastAsia="仿宋_GB2312" w:cs="仿宋_GB2312"/>
          <w:color w:val="auto"/>
          <w:kern w:val="0"/>
          <w:sz w:val="32"/>
          <w:szCs w:val="32"/>
          <w:highlight w:val="none"/>
          <w:lang w:val="en-US" w:eastAsia="zh-CN"/>
        </w:rPr>
        <w:t>300万元。项目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adjustRightInd w:val="0"/>
        <w:snapToGrid w:val="0"/>
        <w:spacing w:beforeLines="0" w:afterLines="0" w:line="590" w:lineRule="exact"/>
        <w:ind w:firstLine="640" w:firstLineChars="200"/>
      </w:pPr>
    </w:p>
    <w:p>
      <w:pPr>
        <w:pStyle w:val="6"/>
        <w:rPr>
          <w:rFonts w:hint="eastAsia" w:ascii="黑体" w:hAnsi="黑体" w:eastAsia="黑体" w:cs="黑体"/>
          <w:color w:val="auto"/>
          <w:kern w:val="0"/>
          <w:sz w:val="32"/>
          <w:szCs w:val="32"/>
          <w:highlight w:val="none"/>
          <w:lang w:val="en-US" w:eastAsia="zh-CN"/>
        </w:rPr>
      </w:pPr>
    </w:p>
    <w:p>
      <w:pPr>
        <w:pStyle w:val="6"/>
        <w:rPr>
          <w:rFonts w:hint="eastAsia"/>
          <w:color w:val="auto"/>
          <w:lang w:val="en-US" w:eastAsia="zh-CN"/>
        </w:rPr>
        <w:sectPr>
          <w:pgSz w:w="11906" w:h="16838"/>
          <w:pgMar w:top="1871" w:right="1531" w:bottom="1871" w:left="1531" w:header="851" w:footer="1417" w:gutter="0"/>
          <w:pgNumType w:fmt="decimal"/>
          <w:cols w:space="720" w:num="1"/>
          <w:titlePg/>
          <w:rtlGutter w:val="0"/>
          <w:docGrid w:type="lines" w:linePitch="595" w:charSpace="0"/>
        </w:sectPr>
      </w:pPr>
    </w:p>
    <w:p>
      <w:pPr>
        <w:pStyle w:val="5"/>
        <w:widowControl w:val="0"/>
        <w:numPr>
          <w:ilvl w:val="0"/>
          <w:numId w:val="0"/>
        </w:numPr>
        <w:shd w:val="clear" w:color="auto" w:fill="auto"/>
        <w:adjustRightInd w:val="0"/>
        <w:snapToGrid w:val="0"/>
        <w:spacing w:before="0" w:beforeAutospacing="0" w:after="0" w:afterAutospacing="0" w:line="568" w:lineRule="exact"/>
        <w:ind w:leftChars="0" w:right="0" w:rightChars="0"/>
        <w:jc w:val="both"/>
        <w:rPr>
          <w:rFonts w:hint="default" w:ascii="方正小标宋简体" w:hAnsi="方正小标宋简体" w:eastAsia="方正小标宋简体" w:cs="方正小标宋简体"/>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附件2</w:t>
      </w:r>
    </w:p>
    <w:p>
      <w:pPr>
        <w:pStyle w:val="5"/>
        <w:widowControl w:val="0"/>
        <w:numPr>
          <w:ilvl w:val="0"/>
          <w:numId w:val="0"/>
        </w:numPr>
        <w:shd w:val="clear" w:color="auto" w:fill="auto"/>
        <w:adjustRightInd w:val="0"/>
        <w:snapToGrid w:val="0"/>
        <w:spacing w:before="0" w:beforeAutospacing="0" w:after="0" w:afterAutospacing="0" w:line="568" w:lineRule="exact"/>
        <w:ind w:leftChars="0" w:right="0" w:rightChars="0"/>
        <w:jc w:val="center"/>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bidi="ar-SA"/>
        </w:rPr>
      </w:pPr>
    </w:p>
    <w:p>
      <w:pPr>
        <w:pStyle w:val="5"/>
        <w:widowControl w:val="0"/>
        <w:numPr>
          <w:ilvl w:val="0"/>
          <w:numId w:val="0"/>
        </w:numPr>
        <w:shd w:val="clear" w:color="auto" w:fill="auto"/>
        <w:adjustRightInd w:val="0"/>
        <w:snapToGrid w:val="0"/>
        <w:spacing w:before="0" w:beforeAutospacing="0" w:after="0" w:afterAutospacing="0" w:line="568" w:lineRule="exact"/>
        <w:ind w:leftChars="0" w:right="0" w:rightChars="0"/>
        <w:jc w:val="center"/>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bidi="ar-SA"/>
        </w:rPr>
      </w:pPr>
      <w:r>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bidi="ar-SA"/>
        </w:rPr>
        <w:t>2024年省级种业振兴行动和科技兴农专项资金项目入库申报汇总表</w:t>
      </w:r>
    </w:p>
    <w:p>
      <w:pPr>
        <w:pStyle w:val="5"/>
        <w:widowControl w:val="0"/>
        <w:numPr>
          <w:ilvl w:val="0"/>
          <w:numId w:val="0"/>
        </w:numPr>
        <w:shd w:val="clear" w:color="auto" w:fill="auto"/>
        <w:adjustRightInd w:val="0"/>
        <w:snapToGrid w:val="0"/>
        <w:spacing w:before="0" w:beforeAutospacing="0" w:after="0" w:afterAutospacing="0" w:line="568" w:lineRule="exact"/>
        <w:ind w:leftChars="0" w:right="0" w:rightChars="0"/>
        <w:jc w:val="both"/>
        <w:rPr>
          <w:rFonts w:hint="eastAsia" w:ascii="方正小标宋简体" w:hAnsi="方正小标宋简体" w:eastAsia="方正小标宋简体" w:cs="方正小标宋简体"/>
          <w:b w:val="0"/>
          <w:bCs w:val="0"/>
          <w:snapToGrid w:val="0"/>
          <w:color w:val="auto"/>
          <w:spacing w:val="0"/>
          <w:kern w:val="0"/>
          <w:sz w:val="24"/>
          <w:szCs w:val="24"/>
          <w:highlight w:val="none"/>
          <w:lang w:val="en-US" w:eastAsia="zh-CN" w:bidi="ar-SA"/>
        </w:rPr>
      </w:pPr>
    </w:p>
    <w:p>
      <w:pPr>
        <w:pStyle w:val="5"/>
        <w:widowControl w:val="0"/>
        <w:numPr>
          <w:ilvl w:val="0"/>
          <w:numId w:val="0"/>
        </w:numPr>
        <w:shd w:val="clear" w:color="auto" w:fill="auto"/>
        <w:adjustRightInd w:val="0"/>
        <w:snapToGrid w:val="0"/>
        <w:spacing w:before="0" w:beforeAutospacing="0" w:after="0" w:afterAutospacing="0" w:line="568" w:lineRule="exact"/>
        <w:ind w:leftChars="0" w:right="0" w:rightChars="0" w:firstLine="720" w:firstLineChars="300"/>
        <w:jc w:val="both"/>
        <w:rPr>
          <w:rFonts w:hint="eastAsia" w:ascii="仿宋_GB2312" w:hAnsi="仿宋_GB2312" w:eastAsia="仿宋_GB2312" w:cs="仿宋_GB2312"/>
          <w:b w:val="0"/>
          <w:bCs w:val="0"/>
          <w:snapToGrid w:val="0"/>
          <w:color w:val="auto"/>
          <w:spacing w:val="0"/>
          <w:kern w:val="0"/>
          <w:sz w:val="24"/>
          <w:szCs w:val="24"/>
          <w:highlight w:val="none"/>
          <w:lang w:val="en-US" w:eastAsia="zh-CN" w:bidi="ar-SA"/>
        </w:rPr>
      </w:pPr>
      <w:r>
        <w:rPr>
          <w:rFonts w:hint="eastAsia" w:ascii="仿宋_GB2312" w:hAnsi="仿宋_GB2312" w:eastAsia="仿宋_GB2312" w:cs="仿宋_GB2312"/>
          <w:b w:val="0"/>
          <w:bCs w:val="0"/>
          <w:snapToGrid w:val="0"/>
          <w:color w:val="auto"/>
          <w:spacing w:val="0"/>
          <w:kern w:val="0"/>
          <w:sz w:val="24"/>
          <w:szCs w:val="24"/>
          <w:highlight w:val="none"/>
          <w:lang w:val="en-US" w:eastAsia="zh-CN" w:bidi="ar-SA"/>
        </w:rPr>
        <w:t>填报单位（地级市农业农村局/省直及中央驻粤事业单位）：（盖章）</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794"/>
        <w:gridCol w:w="1127"/>
        <w:gridCol w:w="1460"/>
        <w:gridCol w:w="1295"/>
        <w:gridCol w:w="1220"/>
        <w:gridCol w:w="1883"/>
        <w:gridCol w:w="1292"/>
        <w:gridCol w:w="1633"/>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noWrap w:val="0"/>
            <w:vAlign w:val="center"/>
          </w:tcPr>
          <w:p>
            <w:pPr>
              <w:keepNext w:val="0"/>
              <w:keepLines w:val="0"/>
              <w:widowControl w:val="0"/>
              <w:suppressLineNumbers w:val="0"/>
              <w:adjustRightInd w:val="0"/>
              <w:snapToGrid w:val="0"/>
              <w:jc w:val="center"/>
              <w:textAlignment w:val="center"/>
              <w:rPr>
                <w:rFonts w:hint="eastAsia" w:ascii="黑体" w:hAnsi="宋体" w:eastAsia="黑体" w:cs="黑体"/>
                <w:i w:val="0"/>
                <w:color w:val="auto"/>
                <w:kern w:val="0"/>
                <w:sz w:val="21"/>
                <w:szCs w:val="21"/>
                <w:u w:val="none"/>
                <w:lang w:val="en-US" w:eastAsia="zh-CN" w:bidi="ar"/>
              </w:rPr>
            </w:pPr>
            <w:r>
              <w:rPr>
                <w:rFonts w:hint="eastAsia" w:ascii="黑体" w:hAnsi="宋体" w:eastAsia="黑体" w:cs="黑体"/>
                <w:i w:val="0"/>
                <w:color w:val="auto"/>
                <w:kern w:val="0"/>
                <w:sz w:val="21"/>
                <w:szCs w:val="21"/>
                <w:u w:val="none"/>
                <w:lang w:val="en-US" w:eastAsia="zh-CN" w:bidi="ar"/>
              </w:rPr>
              <w:t>所属年份</w:t>
            </w:r>
          </w:p>
        </w:tc>
        <w:tc>
          <w:tcPr>
            <w:tcW w:w="298" w:type="pct"/>
            <w:noWrap w:val="0"/>
            <w:vAlign w:val="center"/>
          </w:tcPr>
          <w:p>
            <w:pPr>
              <w:keepNext w:val="0"/>
              <w:keepLines w:val="0"/>
              <w:widowControl w:val="0"/>
              <w:suppressLineNumbers w:val="0"/>
              <w:adjustRightInd w:val="0"/>
              <w:snapToGrid w:val="0"/>
              <w:jc w:val="center"/>
              <w:textAlignment w:val="center"/>
              <w:rPr>
                <w:rFonts w:hint="eastAsia" w:ascii="黑体" w:hAnsi="宋体" w:eastAsia="黑体" w:cs="黑体"/>
                <w:i w:val="0"/>
                <w:color w:val="auto"/>
                <w:kern w:val="0"/>
                <w:sz w:val="21"/>
                <w:szCs w:val="21"/>
                <w:u w:val="none"/>
                <w:lang w:val="en-US" w:eastAsia="zh-CN" w:bidi="ar"/>
              </w:rPr>
            </w:pPr>
            <w:r>
              <w:rPr>
                <w:rFonts w:hint="eastAsia" w:ascii="黑体" w:hAnsi="宋体" w:eastAsia="黑体" w:cs="黑体"/>
                <w:i w:val="0"/>
                <w:color w:val="auto"/>
                <w:kern w:val="0"/>
                <w:sz w:val="21"/>
                <w:szCs w:val="21"/>
                <w:u w:val="none"/>
                <w:lang w:val="en-US" w:eastAsia="zh-CN" w:bidi="ar"/>
              </w:rPr>
              <w:t>序号</w:t>
            </w:r>
          </w:p>
        </w:tc>
        <w:tc>
          <w:tcPr>
            <w:tcW w:w="423" w:type="pct"/>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项目类型</w:t>
            </w:r>
          </w:p>
        </w:tc>
        <w:tc>
          <w:tcPr>
            <w:tcW w:w="548" w:type="pct"/>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扶持品种</w:t>
            </w:r>
          </w:p>
        </w:tc>
        <w:tc>
          <w:tcPr>
            <w:tcW w:w="486" w:type="pct"/>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项目名称</w:t>
            </w:r>
          </w:p>
        </w:tc>
        <w:tc>
          <w:tcPr>
            <w:tcW w:w="458" w:type="pct"/>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项目牵头申报单位</w:t>
            </w:r>
          </w:p>
        </w:tc>
        <w:tc>
          <w:tcPr>
            <w:tcW w:w="707" w:type="pct"/>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项目负责人</w:t>
            </w:r>
          </w:p>
        </w:tc>
        <w:tc>
          <w:tcPr>
            <w:tcW w:w="485" w:type="pct"/>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建设内容</w:t>
            </w:r>
          </w:p>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（限100字以内）</w:t>
            </w:r>
          </w:p>
        </w:tc>
        <w:tc>
          <w:tcPr>
            <w:tcW w:w="613" w:type="pct"/>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绩效（限100字以内）</w:t>
            </w:r>
          </w:p>
        </w:tc>
        <w:tc>
          <w:tcPr>
            <w:tcW w:w="518" w:type="pct"/>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noWrap w:val="0"/>
            <w:vAlign w:val="top"/>
          </w:tcPr>
          <w:p>
            <w:pPr>
              <w:adjustRightInd w:val="0"/>
              <w:snapToGrid w:val="0"/>
              <w:rPr>
                <w:rFonts w:hint="eastAsia"/>
                <w:color w:val="auto"/>
                <w:sz w:val="21"/>
                <w:szCs w:val="21"/>
                <w:vertAlign w:val="baseline"/>
              </w:rPr>
            </w:pPr>
          </w:p>
        </w:tc>
        <w:tc>
          <w:tcPr>
            <w:tcW w:w="298" w:type="pct"/>
            <w:noWrap w:val="0"/>
            <w:vAlign w:val="top"/>
          </w:tcPr>
          <w:p>
            <w:pPr>
              <w:adjustRightInd w:val="0"/>
              <w:snapToGrid w:val="0"/>
              <w:rPr>
                <w:rFonts w:hint="eastAsia"/>
                <w:color w:val="auto"/>
                <w:sz w:val="21"/>
                <w:szCs w:val="21"/>
                <w:vertAlign w:val="baseline"/>
              </w:rPr>
            </w:pPr>
          </w:p>
        </w:tc>
        <w:tc>
          <w:tcPr>
            <w:tcW w:w="423" w:type="pct"/>
            <w:noWrap w:val="0"/>
            <w:vAlign w:val="top"/>
          </w:tcPr>
          <w:p>
            <w:pPr>
              <w:adjustRightInd w:val="0"/>
              <w:snapToGrid w:val="0"/>
              <w:rPr>
                <w:rFonts w:hint="eastAsia"/>
                <w:color w:val="auto"/>
                <w:sz w:val="21"/>
                <w:szCs w:val="21"/>
                <w:vertAlign w:val="baseline"/>
              </w:rPr>
            </w:pPr>
          </w:p>
        </w:tc>
        <w:tc>
          <w:tcPr>
            <w:tcW w:w="548" w:type="pct"/>
            <w:noWrap w:val="0"/>
            <w:vAlign w:val="top"/>
          </w:tcPr>
          <w:p>
            <w:pPr>
              <w:adjustRightInd w:val="0"/>
              <w:snapToGrid w:val="0"/>
              <w:rPr>
                <w:rFonts w:hint="eastAsia"/>
                <w:color w:val="auto"/>
                <w:sz w:val="21"/>
                <w:szCs w:val="21"/>
                <w:vertAlign w:val="baseline"/>
              </w:rPr>
            </w:pPr>
          </w:p>
        </w:tc>
        <w:tc>
          <w:tcPr>
            <w:tcW w:w="486" w:type="pct"/>
            <w:noWrap w:val="0"/>
            <w:vAlign w:val="top"/>
          </w:tcPr>
          <w:p>
            <w:pPr>
              <w:adjustRightInd w:val="0"/>
              <w:snapToGrid w:val="0"/>
              <w:rPr>
                <w:rFonts w:hint="eastAsia"/>
                <w:color w:val="auto"/>
                <w:sz w:val="21"/>
                <w:szCs w:val="21"/>
                <w:vertAlign w:val="baseline"/>
              </w:rPr>
            </w:pPr>
          </w:p>
        </w:tc>
        <w:tc>
          <w:tcPr>
            <w:tcW w:w="458" w:type="pct"/>
            <w:noWrap w:val="0"/>
            <w:vAlign w:val="top"/>
          </w:tcPr>
          <w:p>
            <w:pPr>
              <w:adjustRightInd w:val="0"/>
              <w:snapToGrid w:val="0"/>
              <w:rPr>
                <w:rFonts w:hint="eastAsia"/>
                <w:color w:val="auto"/>
                <w:sz w:val="21"/>
                <w:szCs w:val="21"/>
                <w:vertAlign w:val="baseline"/>
              </w:rPr>
            </w:pPr>
          </w:p>
        </w:tc>
        <w:tc>
          <w:tcPr>
            <w:tcW w:w="707" w:type="pct"/>
            <w:noWrap w:val="0"/>
            <w:vAlign w:val="top"/>
          </w:tcPr>
          <w:p>
            <w:pPr>
              <w:adjustRightInd w:val="0"/>
              <w:snapToGrid w:val="0"/>
              <w:rPr>
                <w:rFonts w:hint="eastAsia"/>
                <w:color w:val="auto"/>
                <w:sz w:val="21"/>
                <w:szCs w:val="21"/>
                <w:vertAlign w:val="baseline"/>
              </w:rPr>
            </w:pPr>
          </w:p>
        </w:tc>
        <w:tc>
          <w:tcPr>
            <w:tcW w:w="485" w:type="pct"/>
            <w:noWrap w:val="0"/>
            <w:vAlign w:val="top"/>
          </w:tcPr>
          <w:p>
            <w:pPr>
              <w:adjustRightInd w:val="0"/>
              <w:snapToGrid w:val="0"/>
              <w:rPr>
                <w:rFonts w:hint="eastAsia"/>
                <w:color w:val="auto"/>
                <w:sz w:val="21"/>
                <w:szCs w:val="21"/>
                <w:vertAlign w:val="baseline"/>
              </w:rPr>
            </w:pPr>
          </w:p>
        </w:tc>
        <w:tc>
          <w:tcPr>
            <w:tcW w:w="613" w:type="pct"/>
            <w:noWrap w:val="0"/>
            <w:vAlign w:val="top"/>
          </w:tcPr>
          <w:p>
            <w:pPr>
              <w:adjustRightInd w:val="0"/>
              <w:snapToGrid w:val="0"/>
              <w:rPr>
                <w:rFonts w:hint="eastAsia"/>
                <w:color w:val="auto"/>
                <w:sz w:val="21"/>
                <w:szCs w:val="21"/>
                <w:vertAlign w:val="baseline"/>
              </w:rPr>
            </w:pPr>
          </w:p>
        </w:tc>
        <w:tc>
          <w:tcPr>
            <w:tcW w:w="518" w:type="pct"/>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noWrap w:val="0"/>
            <w:vAlign w:val="top"/>
          </w:tcPr>
          <w:p>
            <w:pPr>
              <w:adjustRightInd w:val="0"/>
              <w:snapToGrid w:val="0"/>
              <w:rPr>
                <w:rFonts w:hint="eastAsia"/>
                <w:color w:val="auto"/>
                <w:sz w:val="21"/>
                <w:szCs w:val="21"/>
                <w:vertAlign w:val="baseline"/>
              </w:rPr>
            </w:pPr>
          </w:p>
        </w:tc>
        <w:tc>
          <w:tcPr>
            <w:tcW w:w="298" w:type="pct"/>
            <w:noWrap w:val="0"/>
            <w:vAlign w:val="top"/>
          </w:tcPr>
          <w:p>
            <w:pPr>
              <w:adjustRightInd w:val="0"/>
              <w:snapToGrid w:val="0"/>
              <w:rPr>
                <w:rFonts w:hint="eastAsia"/>
                <w:color w:val="auto"/>
                <w:sz w:val="21"/>
                <w:szCs w:val="21"/>
                <w:vertAlign w:val="baseline"/>
              </w:rPr>
            </w:pPr>
          </w:p>
        </w:tc>
        <w:tc>
          <w:tcPr>
            <w:tcW w:w="423" w:type="pct"/>
            <w:noWrap w:val="0"/>
            <w:vAlign w:val="top"/>
          </w:tcPr>
          <w:p>
            <w:pPr>
              <w:adjustRightInd w:val="0"/>
              <w:snapToGrid w:val="0"/>
              <w:rPr>
                <w:rFonts w:hint="eastAsia"/>
                <w:color w:val="auto"/>
                <w:sz w:val="21"/>
                <w:szCs w:val="21"/>
                <w:vertAlign w:val="baseline"/>
              </w:rPr>
            </w:pPr>
          </w:p>
        </w:tc>
        <w:tc>
          <w:tcPr>
            <w:tcW w:w="548" w:type="pct"/>
            <w:noWrap w:val="0"/>
            <w:vAlign w:val="top"/>
          </w:tcPr>
          <w:p>
            <w:pPr>
              <w:adjustRightInd w:val="0"/>
              <w:snapToGrid w:val="0"/>
              <w:rPr>
                <w:rFonts w:hint="eastAsia"/>
                <w:color w:val="auto"/>
                <w:sz w:val="21"/>
                <w:szCs w:val="21"/>
                <w:vertAlign w:val="baseline"/>
              </w:rPr>
            </w:pPr>
          </w:p>
        </w:tc>
        <w:tc>
          <w:tcPr>
            <w:tcW w:w="486" w:type="pct"/>
            <w:noWrap w:val="0"/>
            <w:vAlign w:val="top"/>
          </w:tcPr>
          <w:p>
            <w:pPr>
              <w:adjustRightInd w:val="0"/>
              <w:snapToGrid w:val="0"/>
              <w:rPr>
                <w:rFonts w:hint="eastAsia"/>
                <w:color w:val="auto"/>
                <w:sz w:val="21"/>
                <w:szCs w:val="21"/>
                <w:vertAlign w:val="baseline"/>
              </w:rPr>
            </w:pPr>
          </w:p>
        </w:tc>
        <w:tc>
          <w:tcPr>
            <w:tcW w:w="458" w:type="pct"/>
            <w:noWrap w:val="0"/>
            <w:vAlign w:val="top"/>
          </w:tcPr>
          <w:p>
            <w:pPr>
              <w:adjustRightInd w:val="0"/>
              <w:snapToGrid w:val="0"/>
              <w:rPr>
                <w:rFonts w:hint="eastAsia"/>
                <w:color w:val="auto"/>
                <w:sz w:val="21"/>
                <w:szCs w:val="21"/>
                <w:vertAlign w:val="baseline"/>
              </w:rPr>
            </w:pPr>
          </w:p>
        </w:tc>
        <w:tc>
          <w:tcPr>
            <w:tcW w:w="707" w:type="pct"/>
            <w:noWrap w:val="0"/>
            <w:vAlign w:val="top"/>
          </w:tcPr>
          <w:p>
            <w:pPr>
              <w:adjustRightInd w:val="0"/>
              <w:snapToGrid w:val="0"/>
              <w:rPr>
                <w:rFonts w:hint="eastAsia"/>
                <w:color w:val="auto"/>
                <w:sz w:val="21"/>
                <w:szCs w:val="21"/>
                <w:vertAlign w:val="baseline"/>
              </w:rPr>
            </w:pPr>
          </w:p>
        </w:tc>
        <w:tc>
          <w:tcPr>
            <w:tcW w:w="485" w:type="pct"/>
            <w:noWrap w:val="0"/>
            <w:vAlign w:val="top"/>
          </w:tcPr>
          <w:p>
            <w:pPr>
              <w:adjustRightInd w:val="0"/>
              <w:snapToGrid w:val="0"/>
              <w:rPr>
                <w:rFonts w:hint="eastAsia"/>
                <w:color w:val="auto"/>
                <w:sz w:val="21"/>
                <w:szCs w:val="21"/>
                <w:vertAlign w:val="baseline"/>
              </w:rPr>
            </w:pPr>
          </w:p>
        </w:tc>
        <w:tc>
          <w:tcPr>
            <w:tcW w:w="613" w:type="pct"/>
            <w:noWrap w:val="0"/>
            <w:vAlign w:val="top"/>
          </w:tcPr>
          <w:p>
            <w:pPr>
              <w:adjustRightInd w:val="0"/>
              <w:snapToGrid w:val="0"/>
              <w:rPr>
                <w:rFonts w:hint="eastAsia"/>
                <w:color w:val="auto"/>
                <w:sz w:val="21"/>
                <w:szCs w:val="21"/>
                <w:vertAlign w:val="baseline"/>
              </w:rPr>
            </w:pPr>
          </w:p>
        </w:tc>
        <w:tc>
          <w:tcPr>
            <w:tcW w:w="518" w:type="pct"/>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noWrap w:val="0"/>
            <w:vAlign w:val="top"/>
          </w:tcPr>
          <w:p>
            <w:pPr>
              <w:adjustRightInd w:val="0"/>
              <w:snapToGrid w:val="0"/>
              <w:rPr>
                <w:rFonts w:hint="eastAsia"/>
                <w:color w:val="auto"/>
                <w:sz w:val="21"/>
                <w:szCs w:val="21"/>
                <w:vertAlign w:val="baseline"/>
              </w:rPr>
            </w:pPr>
          </w:p>
        </w:tc>
        <w:tc>
          <w:tcPr>
            <w:tcW w:w="298" w:type="pct"/>
            <w:noWrap w:val="0"/>
            <w:vAlign w:val="top"/>
          </w:tcPr>
          <w:p>
            <w:pPr>
              <w:adjustRightInd w:val="0"/>
              <w:snapToGrid w:val="0"/>
              <w:rPr>
                <w:rFonts w:hint="eastAsia"/>
                <w:color w:val="auto"/>
                <w:sz w:val="21"/>
                <w:szCs w:val="21"/>
                <w:vertAlign w:val="baseline"/>
              </w:rPr>
            </w:pPr>
          </w:p>
        </w:tc>
        <w:tc>
          <w:tcPr>
            <w:tcW w:w="423" w:type="pct"/>
            <w:noWrap w:val="0"/>
            <w:vAlign w:val="top"/>
          </w:tcPr>
          <w:p>
            <w:pPr>
              <w:adjustRightInd w:val="0"/>
              <w:snapToGrid w:val="0"/>
              <w:rPr>
                <w:rFonts w:hint="eastAsia"/>
                <w:color w:val="auto"/>
                <w:sz w:val="21"/>
                <w:szCs w:val="21"/>
                <w:vertAlign w:val="baseline"/>
              </w:rPr>
            </w:pPr>
          </w:p>
        </w:tc>
        <w:tc>
          <w:tcPr>
            <w:tcW w:w="548" w:type="pct"/>
            <w:noWrap w:val="0"/>
            <w:vAlign w:val="top"/>
          </w:tcPr>
          <w:p>
            <w:pPr>
              <w:adjustRightInd w:val="0"/>
              <w:snapToGrid w:val="0"/>
              <w:rPr>
                <w:rFonts w:hint="eastAsia"/>
                <w:color w:val="auto"/>
                <w:sz w:val="21"/>
                <w:szCs w:val="21"/>
                <w:vertAlign w:val="baseline"/>
              </w:rPr>
            </w:pPr>
          </w:p>
        </w:tc>
        <w:tc>
          <w:tcPr>
            <w:tcW w:w="486" w:type="pct"/>
            <w:noWrap w:val="0"/>
            <w:vAlign w:val="top"/>
          </w:tcPr>
          <w:p>
            <w:pPr>
              <w:adjustRightInd w:val="0"/>
              <w:snapToGrid w:val="0"/>
              <w:rPr>
                <w:rFonts w:hint="eastAsia"/>
                <w:color w:val="auto"/>
                <w:sz w:val="21"/>
                <w:szCs w:val="21"/>
                <w:vertAlign w:val="baseline"/>
              </w:rPr>
            </w:pPr>
          </w:p>
        </w:tc>
        <w:tc>
          <w:tcPr>
            <w:tcW w:w="458" w:type="pct"/>
            <w:noWrap w:val="0"/>
            <w:vAlign w:val="top"/>
          </w:tcPr>
          <w:p>
            <w:pPr>
              <w:adjustRightInd w:val="0"/>
              <w:snapToGrid w:val="0"/>
              <w:rPr>
                <w:rFonts w:hint="eastAsia"/>
                <w:color w:val="auto"/>
                <w:sz w:val="21"/>
                <w:szCs w:val="21"/>
                <w:vertAlign w:val="baseline"/>
              </w:rPr>
            </w:pPr>
          </w:p>
        </w:tc>
        <w:tc>
          <w:tcPr>
            <w:tcW w:w="707" w:type="pct"/>
            <w:noWrap w:val="0"/>
            <w:vAlign w:val="top"/>
          </w:tcPr>
          <w:p>
            <w:pPr>
              <w:adjustRightInd w:val="0"/>
              <w:snapToGrid w:val="0"/>
              <w:rPr>
                <w:rFonts w:hint="eastAsia"/>
                <w:color w:val="auto"/>
                <w:sz w:val="21"/>
                <w:szCs w:val="21"/>
                <w:vertAlign w:val="baseline"/>
              </w:rPr>
            </w:pPr>
          </w:p>
        </w:tc>
        <w:tc>
          <w:tcPr>
            <w:tcW w:w="485" w:type="pct"/>
            <w:noWrap w:val="0"/>
            <w:vAlign w:val="top"/>
          </w:tcPr>
          <w:p>
            <w:pPr>
              <w:adjustRightInd w:val="0"/>
              <w:snapToGrid w:val="0"/>
              <w:rPr>
                <w:rFonts w:hint="eastAsia"/>
                <w:color w:val="auto"/>
                <w:sz w:val="21"/>
                <w:szCs w:val="21"/>
                <w:vertAlign w:val="baseline"/>
              </w:rPr>
            </w:pPr>
          </w:p>
        </w:tc>
        <w:tc>
          <w:tcPr>
            <w:tcW w:w="613" w:type="pct"/>
            <w:noWrap w:val="0"/>
            <w:vAlign w:val="top"/>
          </w:tcPr>
          <w:p>
            <w:pPr>
              <w:adjustRightInd w:val="0"/>
              <w:snapToGrid w:val="0"/>
              <w:rPr>
                <w:rFonts w:hint="eastAsia"/>
                <w:color w:val="auto"/>
                <w:sz w:val="21"/>
                <w:szCs w:val="21"/>
                <w:vertAlign w:val="baseline"/>
              </w:rPr>
            </w:pPr>
          </w:p>
        </w:tc>
        <w:tc>
          <w:tcPr>
            <w:tcW w:w="518" w:type="pct"/>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noWrap w:val="0"/>
            <w:vAlign w:val="top"/>
          </w:tcPr>
          <w:p>
            <w:pPr>
              <w:adjustRightInd w:val="0"/>
              <w:snapToGrid w:val="0"/>
              <w:rPr>
                <w:rFonts w:hint="eastAsia"/>
                <w:color w:val="auto"/>
                <w:sz w:val="21"/>
                <w:szCs w:val="21"/>
                <w:vertAlign w:val="baseline"/>
              </w:rPr>
            </w:pPr>
          </w:p>
        </w:tc>
        <w:tc>
          <w:tcPr>
            <w:tcW w:w="298" w:type="pct"/>
            <w:noWrap w:val="0"/>
            <w:vAlign w:val="top"/>
          </w:tcPr>
          <w:p>
            <w:pPr>
              <w:adjustRightInd w:val="0"/>
              <w:snapToGrid w:val="0"/>
              <w:rPr>
                <w:rFonts w:hint="eastAsia"/>
                <w:color w:val="auto"/>
                <w:sz w:val="21"/>
                <w:szCs w:val="21"/>
                <w:vertAlign w:val="baseline"/>
              </w:rPr>
            </w:pPr>
          </w:p>
        </w:tc>
        <w:tc>
          <w:tcPr>
            <w:tcW w:w="423" w:type="pct"/>
            <w:noWrap w:val="0"/>
            <w:vAlign w:val="top"/>
          </w:tcPr>
          <w:p>
            <w:pPr>
              <w:adjustRightInd w:val="0"/>
              <w:snapToGrid w:val="0"/>
              <w:rPr>
                <w:rFonts w:hint="eastAsia"/>
                <w:color w:val="auto"/>
                <w:sz w:val="21"/>
                <w:szCs w:val="21"/>
                <w:vertAlign w:val="baseline"/>
              </w:rPr>
            </w:pPr>
          </w:p>
        </w:tc>
        <w:tc>
          <w:tcPr>
            <w:tcW w:w="548" w:type="pct"/>
            <w:noWrap w:val="0"/>
            <w:vAlign w:val="top"/>
          </w:tcPr>
          <w:p>
            <w:pPr>
              <w:adjustRightInd w:val="0"/>
              <w:snapToGrid w:val="0"/>
              <w:rPr>
                <w:rFonts w:hint="eastAsia"/>
                <w:color w:val="auto"/>
                <w:sz w:val="21"/>
                <w:szCs w:val="21"/>
                <w:vertAlign w:val="baseline"/>
              </w:rPr>
            </w:pPr>
          </w:p>
        </w:tc>
        <w:tc>
          <w:tcPr>
            <w:tcW w:w="486" w:type="pct"/>
            <w:noWrap w:val="0"/>
            <w:vAlign w:val="top"/>
          </w:tcPr>
          <w:p>
            <w:pPr>
              <w:adjustRightInd w:val="0"/>
              <w:snapToGrid w:val="0"/>
              <w:rPr>
                <w:rFonts w:hint="eastAsia"/>
                <w:color w:val="auto"/>
                <w:sz w:val="21"/>
                <w:szCs w:val="21"/>
                <w:vertAlign w:val="baseline"/>
              </w:rPr>
            </w:pPr>
          </w:p>
        </w:tc>
        <w:tc>
          <w:tcPr>
            <w:tcW w:w="458" w:type="pct"/>
            <w:noWrap w:val="0"/>
            <w:vAlign w:val="top"/>
          </w:tcPr>
          <w:p>
            <w:pPr>
              <w:adjustRightInd w:val="0"/>
              <w:snapToGrid w:val="0"/>
              <w:rPr>
                <w:rFonts w:hint="eastAsia"/>
                <w:color w:val="auto"/>
                <w:sz w:val="21"/>
                <w:szCs w:val="21"/>
                <w:vertAlign w:val="baseline"/>
              </w:rPr>
            </w:pPr>
          </w:p>
        </w:tc>
        <w:tc>
          <w:tcPr>
            <w:tcW w:w="707" w:type="pct"/>
            <w:noWrap w:val="0"/>
            <w:vAlign w:val="top"/>
          </w:tcPr>
          <w:p>
            <w:pPr>
              <w:adjustRightInd w:val="0"/>
              <w:snapToGrid w:val="0"/>
              <w:rPr>
                <w:rFonts w:hint="eastAsia"/>
                <w:color w:val="auto"/>
                <w:sz w:val="21"/>
                <w:szCs w:val="21"/>
                <w:vertAlign w:val="baseline"/>
              </w:rPr>
            </w:pPr>
          </w:p>
        </w:tc>
        <w:tc>
          <w:tcPr>
            <w:tcW w:w="485" w:type="pct"/>
            <w:noWrap w:val="0"/>
            <w:vAlign w:val="top"/>
          </w:tcPr>
          <w:p>
            <w:pPr>
              <w:adjustRightInd w:val="0"/>
              <w:snapToGrid w:val="0"/>
              <w:rPr>
                <w:rFonts w:hint="eastAsia"/>
                <w:color w:val="auto"/>
                <w:sz w:val="21"/>
                <w:szCs w:val="21"/>
                <w:vertAlign w:val="baseline"/>
              </w:rPr>
            </w:pPr>
          </w:p>
        </w:tc>
        <w:tc>
          <w:tcPr>
            <w:tcW w:w="613" w:type="pct"/>
            <w:noWrap w:val="0"/>
            <w:vAlign w:val="top"/>
          </w:tcPr>
          <w:p>
            <w:pPr>
              <w:adjustRightInd w:val="0"/>
              <w:snapToGrid w:val="0"/>
              <w:rPr>
                <w:rFonts w:hint="eastAsia"/>
                <w:color w:val="auto"/>
                <w:sz w:val="21"/>
                <w:szCs w:val="21"/>
                <w:vertAlign w:val="baseline"/>
              </w:rPr>
            </w:pPr>
          </w:p>
        </w:tc>
        <w:tc>
          <w:tcPr>
            <w:tcW w:w="518" w:type="pct"/>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noWrap w:val="0"/>
            <w:vAlign w:val="top"/>
          </w:tcPr>
          <w:p>
            <w:pPr>
              <w:adjustRightInd w:val="0"/>
              <w:snapToGrid w:val="0"/>
              <w:rPr>
                <w:rFonts w:hint="eastAsia"/>
                <w:color w:val="auto"/>
                <w:sz w:val="21"/>
                <w:szCs w:val="21"/>
                <w:vertAlign w:val="baseline"/>
              </w:rPr>
            </w:pPr>
          </w:p>
        </w:tc>
        <w:tc>
          <w:tcPr>
            <w:tcW w:w="298" w:type="pct"/>
            <w:noWrap w:val="0"/>
            <w:vAlign w:val="top"/>
          </w:tcPr>
          <w:p>
            <w:pPr>
              <w:adjustRightInd w:val="0"/>
              <w:snapToGrid w:val="0"/>
              <w:rPr>
                <w:rFonts w:hint="eastAsia"/>
                <w:color w:val="auto"/>
                <w:sz w:val="21"/>
                <w:szCs w:val="21"/>
                <w:vertAlign w:val="baseline"/>
              </w:rPr>
            </w:pPr>
          </w:p>
        </w:tc>
        <w:tc>
          <w:tcPr>
            <w:tcW w:w="423" w:type="pct"/>
            <w:noWrap w:val="0"/>
            <w:vAlign w:val="top"/>
          </w:tcPr>
          <w:p>
            <w:pPr>
              <w:adjustRightInd w:val="0"/>
              <w:snapToGrid w:val="0"/>
              <w:rPr>
                <w:rFonts w:hint="eastAsia"/>
                <w:color w:val="auto"/>
                <w:sz w:val="21"/>
                <w:szCs w:val="21"/>
                <w:vertAlign w:val="baseline"/>
              </w:rPr>
            </w:pPr>
          </w:p>
        </w:tc>
        <w:tc>
          <w:tcPr>
            <w:tcW w:w="548" w:type="pct"/>
            <w:noWrap w:val="0"/>
            <w:vAlign w:val="top"/>
          </w:tcPr>
          <w:p>
            <w:pPr>
              <w:adjustRightInd w:val="0"/>
              <w:snapToGrid w:val="0"/>
              <w:rPr>
                <w:rFonts w:hint="eastAsia"/>
                <w:color w:val="auto"/>
                <w:sz w:val="21"/>
                <w:szCs w:val="21"/>
                <w:vertAlign w:val="baseline"/>
              </w:rPr>
            </w:pPr>
          </w:p>
        </w:tc>
        <w:tc>
          <w:tcPr>
            <w:tcW w:w="486" w:type="pct"/>
            <w:noWrap w:val="0"/>
            <w:vAlign w:val="top"/>
          </w:tcPr>
          <w:p>
            <w:pPr>
              <w:adjustRightInd w:val="0"/>
              <w:snapToGrid w:val="0"/>
              <w:rPr>
                <w:rFonts w:hint="eastAsia"/>
                <w:color w:val="auto"/>
                <w:sz w:val="21"/>
                <w:szCs w:val="21"/>
                <w:vertAlign w:val="baseline"/>
              </w:rPr>
            </w:pPr>
          </w:p>
        </w:tc>
        <w:tc>
          <w:tcPr>
            <w:tcW w:w="458" w:type="pct"/>
            <w:noWrap w:val="0"/>
            <w:vAlign w:val="top"/>
          </w:tcPr>
          <w:p>
            <w:pPr>
              <w:adjustRightInd w:val="0"/>
              <w:snapToGrid w:val="0"/>
              <w:rPr>
                <w:rFonts w:hint="eastAsia"/>
                <w:color w:val="auto"/>
                <w:sz w:val="21"/>
                <w:szCs w:val="21"/>
                <w:vertAlign w:val="baseline"/>
              </w:rPr>
            </w:pPr>
          </w:p>
        </w:tc>
        <w:tc>
          <w:tcPr>
            <w:tcW w:w="707" w:type="pct"/>
            <w:noWrap w:val="0"/>
            <w:vAlign w:val="top"/>
          </w:tcPr>
          <w:p>
            <w:pPr>
              <w:adjustRightInd w:val="0"/>
              <w:snapToGrid w:val="0"/>
              <w:rPr>
                <w:rFonts w:hint="eastAsia"/>
                <w:color w:val="auto"/>
                <w:sz w:val="21"/>
                <w:szCs w:val="21"/>
                <w:vertAlign w:val="baseline"/>
              </w:rPr>
            </w:pPr>
          </w:p>
        </w:tc>
        <w:tc>
          <w:tcPr>
            <w:tcW w:w="485" w:type="pct"/>
            <w:noWrap w:val="0"/>
            <w:vAlign w:val="top"/>
          </w:tcPr>
          <w:p>
            <w:pPr>
              <w:adjustRightInd w:val="0"/>
              <w:snapToGrid w:val="0"/>
              <w:rPr>
                <w:rFonts w:hint="eastAsia"/>
                <w:color w:val="auto"/>
                <w:sz w:val="21"/>
                <w:szCs w:val="21"/>
                <w:vertAlign w:val="baseline"/>
              </w:rPr>
            </w:pPr>
          </w:p>
        </w:tc>
        <w:tc>
          <w:tcPr>
            <w:tcW w:w="613" w:type="pct"/>
            <w:noWrap w:val="0"/>
            <w:vAlign w:val="top"/>
          </w:tcPr>
          <w:p>
            <w:pPr>
              <w:adjustRightInd w:val="0"/>
              <w:snapToGrid w:val="0"/>
              <w:rPr>
                <w:rFonts w:hint="eastAsia"/>
                <w:color w:val="auto"/>
                <w:sz w:val="21"/>
                <w:szCs w:val="21"/>
                <w:vertAlign w:val="baseline"/>
              </w:rPr>
            </w:pPr>
          </w:p>
        </w:tc>
        <w:tc>
          <w:tcPr>
            <w:tcW w:w="518" w:type="pct"/>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noWrap w:val="0"/>
            <w:vAlign w:val="top"/>
          </w:tcPr>
          <w:p>
            <w:pPr>
              <w:adjustRightInd w:val="0"/>
              <w:snapToGrid w:val="0"/>
              <w:rPr>
                <w:rFonts w:hint="eastAsia"/>
                <w:color w:val="auto"/>
                <w:sz w:val="21"/>
                <w:szCs w:val="21"/>
                <w:vertAlign w:val="baseline"/>
              </w:rPr>
            </w:pPr>
          </w:p>
        </w:tc>
        <w:tc>
          <w:tcPr>
            <w:tcW w:w="298" w:type="pct"/>
            <w:noWrap w:val="0"/>
            <w:vAlign w:val="top"/>
          </w:tcPr>
          <w:p>
            <w:pPr>
              <w:adjustRightInd w:val="0"/>
              <w:snapToGrid w:val="0"/>
              <w:rPr>
                <w:rFonts w:hint="eastAsia"/>
                <w:color w:val="auto"/>
                <w:sz w:val="21"/>
                <w:szCs w:val="21"/>
                <w:vertAlign w:val="baseline"/>
              </w:rPr>
            </w:pPr>
          </w:p>
        </w:tc>
        <w:tc>
          <w:tcPr>
            <w:tcW w:w="423" w:type="pct"/>
            <w:noWrap w:val="0"/>
            <w:vAlign w:val="top"/>
          </w:tcPr>
          <w:p>
            <w:pPr>
              <w:adjustRightInd w:val="0"/>
              <w:snapToGrid w:val="0"/>
              <w:rPr>
                <w:rFonts w:hint="eastAsia"/>
                <w:color w:val="auto"/>
                <w:sz w:val="21"/>
                <w:szCs w:val="21"/>
                <w:vertAlign w:val="baseline"/>
              </w:rPr>
            </w:pPr>
          </w:p>
        </w:tc>
        <w:tc>
          <w:tcPr>
            <w:tcW w:w="548" w:type="pct"/>
            <w:noWrap w:val="0"/>
            <w:vAlign w:val="top"/>
          </w:tcPr>
          <w:p>
            <w:pPr>
              <w:adjustRightInd w:val="0"/>
              <w:snapToGrid w:val="0"/>
              <w:rPr>
                <w:rFonts w:hint="eastAsia"/>
                <w:color w:val="auto"/>
                <w:sz w:val="21"/>
                <w:szCs w:val="21"/>
                <w:vertAlign w:val="baseline"/>
              </w:rPr>
            </w:pPr>
          </w:p>
        </w:tc>
        <w:tc>
          <w:tcPr>
            <w:tcW w:w="486" w:type="pct"/>
            <w:noWrap w:val="0"/>
            <w:vAlign w:val="top"/>
          </w:tcPr>
          <w:p>
            <w:pPr>
              <w:adjustRightInd w:val="0"/>
              <w:snapToGrid w:val="0"/>
              <w:rPr>
                <w:rFonts w:hint="eastAsia"/>
                <w:color w:val="auto"/>
                <w:sz w:val="21"/>
                <w:szCs w:val="21"/>
                <w:vertAlign w:val="baseline"/>
              </w:rPr>
            </w:pPr>
          </w:p>
        </w:tc>
        <w:tc>
          <w:tcPr>
            <w:tcW w:w="458" w:type="pct"/>
            <w:noWrap w:val="0"/>
            <w:vAlign w:val="top"/>
          </w:tcPr>
          <w:p>
            <w:pPr>
              <w:adjustRightInd w:val="0"/>
              <w:snapToGrid w:val="0"/>
              <w:rPr>
                <w:rFonts w:hint="eastAsia"/>
                <w:color w:val="auto"/>
                <w:sz w:val="21"/>
                <w:szCs w:val="21"/>
                <w:vertAlign w:val="baseline"/>
              </w:rPr>
            </w:pPr>
          </w:p>
        </w:tc>
        <w:tc>
          <w:tcPr>
            <w:tcW w:w="707" w:type="pct"/>
            <w:noWrap w:val="0"/>
            <w:vAlign w:val="top"/>
          </w:tcPr>
          <w:p>
            <w:pPr>
              <w:adjustRightInd w:val="0"/>
              <w:snapToGrid w:val="0"/>
              <w:rPr>
                <w:rFonts w:hint="eastAsia"/>
                <w:color w:val="auto"/>
                <w:sz w:val="21"/>
                <w:szCs w:val="21"/>
                <w:vertAlign w:val="baseline"/>
              </w:rPr>
            </w:pPr>
          </w:p>
        </w:tc>
        <w:tc>
          <w:tcPr>
            <w:tcW w:w="485" w:type="pct"/>
            <w:noWrap w:val="0"/>
            <w:vAlign w:val="top"/>
          </w:tcPr>
          <w:p>
            <w:pPr>
              <w:adjustRightInd w:val="0"/>
              <w:snapToGrid w:val="0"/>
              <w:rPr>
                <w:rFonts w:hint="eastAsia"/>
                <w:color w:val="auto"/>
                <w:sz w:val="21"/>
                <w:szCs w:val="21"/>
                <w:vertAlign w:val="baseline"/>
              </w:rPr>
            </w:pPr>
          </w:p>
        </w:tc>
        <w:tc>
          <w:tcPr>
            <w:tcW w:w="613" w:type="pct"/>
            <w:noWrap w:val="0"/>
            <w:vAlign w:val="top"/>
          </w:tcPr>
          <w:p>
            <w:pPr>
              <w:adjustRightInd w:val="0"/>
              <w:snapToGrid w:val="0"/>
              <w:rPr>
                <w:rFonts w:hint="eastAsia"/>
                <w:color w:val="auto"/>
                <w:sz w:val="21"/>
                <w:szCs w:val="21"/>
                <w:vertAlign w:val="baseline"/>
              </w:rPr>
            </w:pPr>
          </w:p>
        </w:tc>
        <w:tc>
          <w:tcPr>
            <w:tcW w:w="518" w:type="pct"/>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noWrap w:val="0"/>
            <w:vAlign w:val="top"/>
          </w:tcPr>
          <w:p>
            <w:pPr>
              <w:adjustRightInd w:val="0"/>
              <w:snapToGrid w:val="0"/>
              <w:rPr>
                <w:rFonts w:hint="eastAsia"/>
                <w:color w:val="auto"/>
                <w:sz w:val="21"/>
                <w:szCs w:val="21"/>
                <w:vertAlign w:val="baseline"/>
              </w:rPr>
            </w:pPr>
          </w:p>
        </w:tc>
        <w:tc>
          <w:tcPr>
            <w:tcW w:w="298" w:type="pct"/>
            <w:noWrap w:val="0"/>
            <w:vAlign w:val="top"/>
          </w:tcPr>
          <w:p>
            <w:pPr>
              <w:adjustRightInd w:val="0"/>
              <w:snapToGrid w:val="0"/>
              <w:rPr>
                <w:rFonts w:hint="eastAsia"/>
                <w:color w:val="auto"/>
                <w:sz w:val="21"/>
                <w:szCs w:val="21"/>
                <w:vertAlign w:val="baseline"/>
              </w:rPr>
            </w:pPr>
          </w:p>
        </w:tc>
        <w:tc>
          <w:tcPr>
            <w:tcW w:w="423" w:type="pct"/>
            <w:noWrap w:val="0"/>
            <w:vAlign w:val="top"/>
          </w:tcPr>
          <w:p>
            <w:pPr>
              <w:adjustRightInd w:val="0"/>
              <w:snapToGrid w:val="0"/>
              <w:rPr>
                <w:rFonts w:hint="eastAsia"/>
                <w:color w:val="auto"/>
                <w:sz w:val="21"/>
                <w:szCs w:val="21"/>
                <w:vertAlign w:val="baseline"/>
              </w:rPr>
            </w:pPr>
          </w:p>
        </w:tc>
        <w:tc>
          <w:tcPr>
            <w:tcW w:w="548" w:type="pct"/>
            <w:noWrap w:val="0"/>
            <w:vAlign w:val="top"/>
          </w:tcPr>
          <w:p>
            <w:pPr>
              <w:adjustRightInd w:val="0"/>
              <w:snapToGrid w:val="0"/>
              <w:rPr>
                <w:rFonts w:hint="eastAsia"/>
                <w:color w:val="auto"/>
                <w:sz w:val="21"/>
                <w:szCs w:val="21"/>
                <w:vertAlign w:val="baseline"/>
              </w:rPr>
            </w:pPr>
          </w:p>
        </w:tc>
        <w:tc>
          <w:tcPr>
            <w:tcW w:w="486" w:type="pct"/>
            <w:noWrap w:val="0"/>
            <w:vAlign w:val="top"/>
          </w:tcPr>
          <w:p>
            <w:pPr>
              <w:adjustRightInd w:val="0"/>
              <w:snapToGrid w:val="0"/>
              <w:rPr>
                <w:rFonts w:hint="eastAsia"/>
                <w:color w:val="auto"/>
                <w:sz w:val="21"/>
                <w:szCs w:val="21"/>
                <w:vertAlign w:val="baseline"/>
              </w:rPr>
            </w:pPr>
          </w:p>
        </w:tc>
        <w:tc>
          <w:tcPr>
            <w:tcW w:w="458" w:type="pct"/>
            <w:noWrap w:val="0"/>
            <w:vAlign w:val="top"/>
          </w:tcPr>
          <w:p>
            <w:pPr>
              <w:adjustRightInd w:val="0"/>
              <w:snapToGrid w:val="0"/>
              <w:rPr>
                <w:rFonts w:hint="eastAsia"/>
                <w:color w:val="auto"/>
                <w:sz w:val="21"/>
                <w:szCs w:val="21"/>
                <w:vertAlign w:val="baseline"/>
              </w:rPr>
            </w:pPr>
          </w:p>
        </w:tc>
        <w:tc>
          <w:tcPr>
            <w:tcW w:w="707" w:type="pct"/>
            <w:noWrap w:val="0"/>
            <w:vAlign w:val="top"/>
          </w:tcPr>
          <w:p>
            <w:pPr>
              <w:adjustRightInd w:val="0"/>
              <w:snapToGrid w:val="0"/>
              <w:rPr>
                <w:rFonts w:hint="eastAsia"/>
                <w:color w:val="auto"/>
                <w:sz w:val="21"/>
                <w:szCs w:val="21"/>
                <w:vertAlign w:val="baseline"/>
              </w:rPr>
            </w:pPr>
          </w:p>
        </w:tc>
        <w:tc>
          <w:tcPr>
            <w:tcW w:w="485" w:type="pct"/>
            <w:noWrap w:val="0"/>
            <w:vAlign w:val="top"/>
          </w:tcPr>
          <w:p>
            <w:pPr>
              <w:adjustRightInd w:val="0"/>
              <w:snapToGrid w:val="0"/>
              <w:rPr>
                <w:rFonts w:hint="eastAsia"/>
                <w:color w:val="auto"/>
                <w:sz w:val="21"/>
                <w:szCs w:val="21"/>
                <w:vertAlign w:val="baseline"/>
              </w:rPr>
            </w:pPr>
          </w:p>
        </w:tc>
        <w:tc>
          <w:tcPr>
            <w:tcW w:w="613" w:type="pct"/>
            <w:noWrap w:val="0"/>
            <w:vAlign w:val="top"/>
          </w:tcPr>
          <w:p>
            <w:pPr>
              <w:adjustRightInd w:val="0"/>
              <w:snapToGrid w:val="0"/>
              <w:rPr>
                <w:rFonts w:hint="eastAsia"/>
                <w:color w:val="auto"/>
                <w:sz w:val="21"/>
                <w:szCs w:val="21"/>
                <w:vertAlign w:val="baseline"/>
              </w:rPr>
            </w:pPr>
          </w:p>
        </w:tc>
        <w:tc>
          <w:tcPr>
            <w:tcW w:w="518" w:type="pct"/>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noWrap w:val="0"/>
            <w:vAlign w:val="top"/>
          </w:tcPr>
          <w:p>
            <w:pPr>
              <w:adjustRightInd w:val="0"/>
              <w:snapToGrid w:val="0"/>
              <w:rPr>
                <w:rFonts w:hint="eastAsia"/>
                <w:color w:val="auto"/>
                <w:sz w:val="21"/>
                <w:szCs w:val="21"/>
                <w:vertAlign w:val="baseline"/>
              </w:rPr>
            </w:pPr>
          </w:p>
        </w:tc>
        <w:tc>
          <w:tcPr>
            <w:tcW w:w="298" w:type="pct"/>
            <w:noWrap w:val="0"/>
            <w:vAlign w:val="top"/>
          </w:tcPr>
          <w:p>
            <w:pPr>
              <w:adjustRightInd w:val="0"/>
              <w:snapToGrid w:val="0"/>
              <w:rPr>
                <w:rFonts w:hint="eastAsia"/>
                <w:color w:val="auto"/>
                <w:sz w:val="21"/>
                <w:szCs w:val="21"/>
                <w:vertAlign w:val="baseline"/>
              </w:rPr>
            </w:pPr>
          </w:p>
        </w:tc>
        <w:tc>
          <w:tcPr>
            <w:tcW w:w="423" w:type="pct"/>
            <w:noWrap w:val="0"/>
            <w:vAlign w:val="top"/>
          </w:tcPr>
          <w:p>
            <w:pPr>
              <w:adjustRightInd w:val="0"/>
              <w:snapToGrid w:val="0"/>
              <w:rPr>
                <w:rFonts w:hint="eastAsia"/>
                <w:color w:val="auto"/>
                <w:sz w:val="21"/>
                <w:szCs w:val="21"/>
                <w:vertAlign w:val="baseline"/>
              </w:rPr>
            </w:pPr>
          </w:p>
        </w:tc>
        <w:tc>
          <w:tcPr>
            <w:tcW w:w="548" w:type="pct"/>
            <w:noWrap w:val="0"/>
            <w:vAlign w:val="top"/>
          </w:tcPr>
          <w:p>
            <w:pPr>
              <w:adjustRightInd w:val="0"/>
              <w:snapToGrid w:val="0"/>
              <w:rPr>
                <w:rFonts w:hint="eastAsia"/>
                <w:color w:val="auto"/>
                <w:sz w:val="21"/>
                <w:szCs w:val="21"/>
                <w:vertAlign w:val="baseline"/>
              </w:rPr>
            </w:pPr>
          </w:p>
        </w:tc>
        <w:tc>
          <w:tcPr>
            <w:tcW w:w="486" w:type="pct"/>
            <w:noWrap w:val="0"/>
            <w:vAlign w:val="top"/>
          </w:tcPr>
          <w:p>
            <w:pPr>
              <w:adjustRightInd w:val="0"/>
              <w:snapToGrid w:val="0"/>
              <w:rPr>
                <w:rFonts w:hint="eastAsia"/>
                <w:color w:val="auto"/>
                <w:sz w:val="21"/>
                <w:szCs w:val="21"/>
                <w:vertAlign w:val="baseline"/>
              </w:rPr>
            </w:pPr>
          </w:p>
        </w:tc>
        <w:tc>
          <w:tcPr>
            <w:tcW w:w="458" w:type="pct"/>
            <w:noWrap w:val="0"/>
            <w:vAlign w:val="top"/>
          </w:tcPr>
          <w:p>
            <w:pPr>
              <w:adjustRightInd w:val="0"/>
              <w:snapToGrid w:val="0"/>
              <w:rPr>
                <w:rFonts w:hint="eastAsia"/>
                <w:color w:val="auto"/>
                <w:sz w:val="21"/>
                <w:szCs w:val="21"/>
                <w:vertAlign w:val="baseline"/>
              </w:rPr>
            </w:pPr>
          </w:p>
        </w:tc>
        <w:tc>
          <w:tcPr>
            <w:tcW w:w="707" w:type="pct"/>
            <w:noWrap w:val="0"/>
            <w:vAlign w:val="top"/>
          </w:tcPr>
          <w:p>
            <w:pPr>
              <w:adjustRightInd w:val="0"/>
              <w:snapToGrid w:val="0"/>
              <w:rPr>
                <w:rFonts w:hint="eastAsia"/>
                <w:color w:val="auto"/>
                <w:sz w:val="21"/>
                <w:szCs w:val="21"/>
                <w:vertAlign w:val="baseline"/>
              </w:rPr>
            </w:pPr>
          </w:p>
        </w:tc>
        <w:tc>
          <w:tcPr>
            <w:tcW w:w="485" w:type="pct"/>
            <w:noWrap w:val="0"/>
            <w:vAlign w:val="top"/>
          </w:tcPr>
          <w:p>
            <w:pPr>
              <w:adjustRightInd w:val="0"/>
              <w:snapToGrid w:val="0"/>
              <w:rPr>
                <w:rFonts w:hint="eastAsia"/>
                <w:color w:val="auto"/>
                <w:sz w:val="21"/>
                <w:szCs w:val="21"/>
                <w:vertAlign w:val="baseline"/>
              </w:rPr>
            </w:pPr>
          </w:p>
        </w:tc>
        <w:tc>
          <w:tcPr>
            <w:tcW w:w="613" w:type="pct"/>
            <w:noWrap w:val="0"/>
            <w:vAlign w:val="top"/>
          </w:tcPr>
          <w:p>
            <w:pPr>
              <w:adjustRightInd w:val="0"/>
              <w:snapToGrid w:val="0"/>
              <w:rPr>
                <w:rFonts w:hint="eastAsia"/>
                <w:color w:val="auto"/>
                <w:sz w:val="21"/>
                <w:szCs w:val="21"/>
                <w:vertAlign w:val="baseline"/>
              </w:rPr>
            </w:pPr>
          </w:p>
        </w:tc>
        <w:tc>
          <w:tcPr>
            <w:tcW w:w="518" w:type="pct"/>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noWrap w:val="0"/>
            <w:vAlign w:val="top"/>
          </w:tcPr>
          <w:p>
            <w:pPr>
              <w:adjustRightInd w:val="0"/>
              <w:snapToGrid w:val="0"/>
              <w:rPr>
                <w:rFonts w:hint="eastAsia"/>
                <w:color w:val="auto"/>
                <w:sz w:val="21"/>
                <w:szCs w:val="21"/>
                <w:vertAlign w:val="baseline"/>
              </w:rPr>
            </w:pPr>
          </w:p>
        </w:tc>
        <w:tc>
          <w:tcPr>
            <w:tcW w:w="298" w:type="pct"/>
            <w:noWrap w:val="0"/>
            <w:vAlign w:val="top"/>
          </w:tcPr>
          <w:p>
            <w:pPr>
              <w:adjustRightInd w:val="0"/>
              <w:snapToGrid w:val="0"/>
              <w:rPr>
                <w:rFonts w:hint="eastAsia"/>
                <w:color w:val="auto"/>
                <w:sz w:val="21"/>
                <w:szCs w:val="21"/>
                <w:vertAlign w:val="baseline"/>
              </w:rPr>
            </w:pPr>
          </w:p>
        </w:tc>
        <w:tc>
          <w:tcPr>
            <w:tcW w:w="423" w:type="pct"/>
            <w:noWrap w:val="0"/>
            <w:vAlign w:val="top"/>
          </w:tcPr>
          <w:p>
            <w:pPr>
              <w:adjustRightInd w:val="0"/>
              <w:snapToGrid w:val="0"/>
              <w:rPr>
                <w:rFonts w:hint="eastAsia"/>
                <w:color w:val="auto"/>
                <w:sz w:val="21"/>
                <w:szCs w:val="21"/>
                <w:vertAlign w:val="baseline"/>
              </w:rPr>
            </w:pPr>
          </w:p>
        </w:tc>
        <w:tc>
          <w:tcPr>
            <w:tcW w:w="548" w:type="pct"/>
            <w:noWrap w:val="0"/>
            <w:vAlign w:val="top"/>
          </w:tcPr>
          <w:p>
            <w:pPr>
              <w:adjustRightInd w:val="0"/>
              <w:snapToGrid w:val="0"/>
              <w:rPr>
                <w:rFonts w:hint="eastAsia"/>
                <w:color w:val="auto"/>
                <w:sz w:val="21"/>
                <w:szCs w:val="21"/>
                <w:vertAlign w:val="baseline"/>
              </w:rPr>
            </w:pPr>
          </w:p>
        </w:tc>
        <w:tc>
          <w:tcPr>
            <w:tcW w:w="486" w:type="pct"/>
            <w:noWrap w:val="0"/>
            <w:vAlign w:val="top"/>
          </w:tcPr>
          <w:p>
            <w:pPr>
              <w:adjustRightInd w:val="0"/>
              <w:snapToGrid w:val="0"/>
              <w:rPr>
                <w:rFonts w:hint="eastAsia"/>
                <w:color w:val="auto"/>
                <w:sz w:val="21"/>
                <w:szCs w:val="21"/>
                <w:vertAlign w:val="baseline"/>
              </w:rPr>
            </w:pPr>
          </w:p>
        </w:tc>
        <w:tc>
          <w:tcPr>
            <w:tcW w:w="458" w:type="pct"/>
            <w:noWrap w:val="0"/>
            <w:vAlign w:val="top"/>
          </w:tcPr>
          <w:p>
            <w:pPr>
              <w:adjustRightInd w:val="0"/>
              <w:snapToGrid w:val="0"/>
              <w:rPr>
                <w:rFonts w:hint="eastAsia"/>
                <w:color w:val="auto"/>
                <w:sz w:val="21"/>
                <w:szCs w:val="21"/>
                <w:vertAlign w:val="baseline"/>
              </w:rPr>
            </w:pPr>
          </w:p>
        </w:tc>
        <w:tc>
          <w:tcPr>
            <w:tcW w:w="707" w:type="pct"/>
            <w:noWrap w:val="0"/>
            <w:vAlign w:val="top"/>
          </w:tcPr>
          <w:p>
            <w:pPr>
              <w:adjustRightInd w:val="0"/>
              <w:snapToGrid w:val="0"/>
              <w:rPr>
                <w:rFonts w:hint="eastAsia"/>
                <w:color w:val="auto"/>
                <w:sz w:val="21"/>
                <w:szCs w:val="21"/>
                <w:vertAlign w:val="baseline"/>
              </w:rPr>
            </w:pPr>
          </w:p>
        </w:tc>
        <w:tc>
          <w:tcPr>
            <w:tcW w:w="485" w:type="pct"/>
            <w:noWrap w:val="0"/>
            <w:vAlign w:val="top"/>
          </w:tcPr>
          <w:p>
            <w:pPr>
              <w:adjustRightInd w:val="0"/>
              <w:snapToGrid w:val="0"/>
              <w:rPr>
                <w:rFonts w:hint="eastAsia"/>
                <w:color w:val="auto"/>
                <w:sz w:val="21"/>
                <w:szCs w:val="21"/>
                <w:vertAlign w:val="baseline"/>
              </w:rPr>
            </w:pPr>
          </w:p>
        </w:tc>
        <w:tc>
          <w:tcPr>
            <w:tcW w:w="613" w:type="pct"/>
            <w:noWrap w:val="0"/>
            <w:vAlign w:val="top"/>
          </w:tcPr>
          <w:p>
            <w:pPr>
              <w:adjustRightInd w:val="0"/>
              <w:snapToGrid w:val="0"/>
              <w:rPr>
                <w:rFonts w:hint="eastAsia"/>
                <w:color w:val="auto"/>
                <w:sz w:val="21"/>
                <w:szCs w:val="21"/>
                <w:vertAlign w:val="baseline"/>
              </w:rPr>
            </w:pPr>
          </w:p>
        </w:tc>
        <w:tc>
          <w:tcPr>
            <w:tcW w:w="518" w:type="pct"/>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noWrap w:val="0"/>
            <w:vAlign w:val="top"/>
          </w:tcPr>
          <w:p>
            <w:pPr>
              <w:adjustRightInd w:val="0"/>
              <w:snapToGrid w:val="0"/>
              <w:rPr>
                <w:rFonts w:hint="eastAsia"/>
                <w:color w:val="auto"/>
                <w:sz w:val="21"/>
                <w:szCs w:val="21"/>
                <w:vertAlign w:val="baseline"/>
              </w:rPr>
            </w:pPr>
          </w:p>
        </w:tc>
        <w:tc>
          <w:tcPr>
            <w:tcW w:w="298" w:type="pct"/>
            <w:noWrap w:val="0"/>
            <w:vAlign w:val="top"/>
          </w:tcPr>
          <w:p>
            <w:pPr>
              <w:adjustRightInd w:val="0"/>
              <w:snapToGrid w:val="0"/>
              <w:rPr>
                <w:rFonts w:hint="eastAsia"/>
                <w:color w:val="auto"/>
                <w:sz w:val="21"/>
                <w:szCs w:val="21"/>
                <w:vertAlign w:val="baseline"/>
              </w:rPr>
            </w:pPr>
          </w:p>
        </w:tc>
        <w:tc>
          <w:tcPr>
            <w:tcW w:w="423" w:type="pct"/>
            <w:noWrap w:val="0"/>
            <w:vAlign w:val="top"/>
          </w:tcPr>
          <w:p>
            <w:pPr>
              <w:adjustRightInd w:val="0"/>
              <w:snapToGrid w:val="0"/>
              <w:rPr>
                <w:rFonts w:hint="eastAsia"/>
                <w:color w:val="auto"/>
                <w:sz w:val="21"/>
                <w:szCs w:val="21"/>
                <w:vertAlign w:val="baseline"/>
              </w:rPr>
            </w:pPr>
          </w:p>
        </w:tc>
        <w:tc>
          <w:tcPr>
            <w:tcW w:w="548" w:type="pct"/>
            <w:noWrap w:val="0"/>
            <w:vAlign w:val="top"/>
          </w:tcPr>
          <w:p>
            <w:pPr>
              <w:adjustRightInd w:val="0"/>
              <w:snapToGrid w:val="0"/>
              <w:rPr>
                <w:rFonts w:hint="eastAsia"/>
                <w:color w:val="auto"/>
                <w:sz w:val="21"/>
                <w:szCs w:val="21"/>
                <w:vertAlign w:val="baseline"/>
              </w:rPr>
            </w:pPr>
          </w:p>
        </w:tc>
        <w:tc>
          <w:tcPr>
            <w:tcW w:w="486" w:type="pct"/>
            <w:noWrap w:val="0"/>
            <w:vAlign w:val="top"/>
          </w:tcPr>
          <w:p>
            <w:pPr>
              <w:adjustRightInd w:val="0"/>
              <w:snapToGrid w:val="0"/>
              <w:rPr>
                <w:rFonts w:hint="eastAsia"/>
                <w:color w:val="auto"/>
                <w:sz w:val="21"/>
                <w:szCs w:val="21"/>
                <w:vertAlign w:val="baseline"/>
              </w:rPr>
            </w:pPr>
          </w:p>
        </w:tc>
        <w:tc>
          <w:tcPr>
            <w:tcW w:w="458" w:type="pct"/>
            <w:noWrap w:val="0"/>
            <w:vAlign w:val="top"/>
          </w:tcPr>
          <w:p>
            <w:pPr>
              <w:adjustRightInd w:val="0"/>
              <w:snapToGrid w:val="0"/>
              <w:rPr>
                <w:rFonts w:hint="eastAsia"/>
                <w:color w:val="auto"/>
                <w:sz w:val="21"/>
                <w:szCs w:val="21"/>
                <w:vertAlign w:val="baseline"/>
              </w:rPr>
            </w:pPr>
          </w:p>
        </w:tc>
        <w:tc>
          <w:tcPr>
            <w:tcW w:w="707" w:type="pct"/>
            <w:noWrap w:val="0"/>
            <w:vAlign w:val="top"/>
          </w:tcPr>
          <w:p>
            <w:pPr>
              <w:adjustRightInd w:val="0"/>
              <w:snapToGrid w:val="0"/>
              <w:rPr>
                <w:rFonts w:hint="eastAsia"/>
                <w:color w:val="auto"/>
                <w:sz w:val="21"/>
                <w:szCs w:val="21"/>
                <w:vertAlign w:val="baseline"/>
              </w:rPr>
            </w:pPr>
          </w:p>
        </w:tc>
        <w:tc>
          <w:tcPr>
            <w:tcW w:w="485" w:type="pct"/>
            <w:noWrap w:val="0"/>
            <w:vAlign w:val="top"/>
          </w:tcPr>
          <w:p>
            <w:pPr>
              <w:adjustRightInd w:val="0"/>
              <w:snapToGrid w:val="0"/>
              <w:rPr>
                <w:rFonts w:hint="eastAsia"/>
                <w:color w:val="auto"/>
                <w:sz w:val="21"/>
                <w:szCs w:val="21"/>
                <w:vertAlign w:val="baseline"/>
              </w:rPr>
            </w:pPr>
          </w:p>
        </w:tc>
        <w:tc>
          <w:tcPr>
            <w:tcW w:w="613" w:type="pct"/>
            <w:noWrap w:val="0"/>
            <w:vAlign w:val="top"/>
          </w:tcPr>
          <w:p>
            <w:pPr>
              <w:adjustRightInd w:val="0"/>
              <w:snapToGrid w:val="0"/>
              <w:rPr>
                <w:rFonts w:hint="eastAsia"/>
                <w:color w:val="auto"/>
                <w:sz w:val="21"/>
                <w:szCs w:val="21"/>
                <w:vertAlign w:val="baseline"/>
              </w:rPr>
            </w:pPr>
          </w:p>
        </w:tc>
        <w:tc>
          <w:tcPr>
            <w:tcW w:w="518" w:type="pct"/>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noWrap w:val="0"/>
            <w:vAlign w:val="top"/>
          </w:tcPr>
          <w:p>
            <w:pPr>
              <w:adjustRightInd w:val="0"/>
              <w:snapToGrid w:val="0"/>
              <w:rPr>
                <w:rFonts w:hint="eastAsia"/>
                <w:color w:val="auto"/>
                <w:sz w:val="21"/>
                <w:szCs w:val="21"/>
                <w:vertAlign w:val="baseline"/>
              </w:rPr>
            </w:pPr>
          </w:p>
        </w:tc>
        <w:tc>
          <w:tcPr>
            <w:tcW w:w="298" w:type="pct"/>
            <w:noWrap w:val="0"/>
            <w:vAlign w:val="top"/>
          </w:tcPr>
          <w:p>
            <w:pPr>
              <w:adjustRightInd w:val="0"/>
              <w:snapToGrid w:val="0"/>
              <w:rPr>
                <w:rFonts w:hint="eastAsia"/>
                <w:color w:val="auto"/>
                <w:sz w:val="21"/>
                <w:szCs w:val="21"/>
                <w:vertAlign w:val="baseline"/>
              </w:rPr>
            </w:pPr>
          </w:p>
        </w:tc>
        <w:tc>
          <w:tcPr>
            <w:tcW w:w="423" w:type="pct"/>
            <w:noWrap w:val="0"/>
            <w:vAlign w:val="top"/>
          </w:tcPr>
          <w:p>
            <w:pPr>
              <w:adjustRightInd w:val="0"/>
              <w:snapToGrid w:val="0"/>
              <w:rPr>
                <w:rFonts w:hint="eastAsia"/>
                <w:color w:val="auto"/>
                <w:sz w:val="21"/>
                <w:szCs w:val="21"/>
                <w:vertAlign w:val="baseline"/>
              </w:rPr>
            </w:pPr>
          </w:p>
        </w:tc>
        <w:tc>
          <w:tcPr>
            <w:tcW w:w="548" w:type="pct"/>
            <w:noWrap w:val="0"/>
            <w:vAlign w:val="top"/>
          </w:tcPr>
          <w:p>
            <w:pPr>
              <w:adjustRightInd w:val="0"/>
              <w:snapToGrid w:val="0"/>
              <w:rPr>
                <w:rFonts w:hint="eastAsia"/>
                <w:color w:val="auto"/>
                <w:sz w:val="21"/>
                <w:szCs w:val="21"/>
                <w:vertAlign w:val="baseline"/>
              </w:rPr>
            </w:pPr>
          </w:p>
        </w:tc>
        <w:tc>
          <w:tcPr>
            <w:tcW w:w="486" w:type="pct"/>
            <w:noWrap w:val="0"/>
            <w:vAlign w:val="top"/>
          </w:tcPr>
          <w:p>
            <w:pPr>
              <w:adjustRightInd w:val="0"/>
              <w:snapToGrid w:val="0"/>
              <w:rPr>
                <w:rFonts w:hint="eastAsia"/>
                <w:color w:val="auto"/>
                <w:sz w:val="21"/>
                <w:szCs w:val="21"/>
                <w:vertAlign w:val="baseline"/>
              </w:rPr>
            </w:pPr>
          </w:p>
        </w:tc>
        <w:tc>
          <w:tcPr>
            <w:tcW w:w="458" w:type="pct"/>
            <w:noWrap w:val="0"/>
            <w:vAlign w:val="top"/>
          </w:tcPr>
          <w:p>
            <w:pPr>
              <w:adjustRightInd w:val="0"/>
              <w:snapToGrid w:val="0"/>
              <w:rPr>
                <w:rFonts w:hint="eastAsia"/>
                <w:color w:val="auto"/>
                <w:sz w:val="21"/>
                <w:szCs w:val="21"/>
                <w:vertAlign w:val="baseline"/>
              </w:rPr>
            </w:pPr>
          </w:p>
        </w:tc>
        <w:tc>
          <w:tcPr>
            <w:tcW w:w="707" w:type="pct"/>
            <w:noWrap w:val="0"/>
            <w:vAlign w:val="top"/>
          </w:tcPr>
          <w:p>
            <w:pPr>
              <w:adjustRightInd w:val="0"/>
              <w:snapToGrid w:val="0"/>
              <w:rPr>
                <w:rFonts w:hint="eastAsia"/>
                <w:color w:val="auto"/>
                <w:sz w:val="21"/>
                <w:szCs w:val="21"/>
                <w:vertAlign w:val="baseline"/>
              </w:rPr>
            </w:pPr>
          </w:p>
        </w:tc>
        <w:tc>
          <w:tcPr>
            <w:tcW w:w="485" w:type="pct"/>
            <w:noWrap w:val="0"/>
            <w:vAlign w:val="top"/>
          </w:tcPr>
          <w:p>
            <w:pPr>
              <w:adjustRightInd w:val="0"/>
              <w:snapToGrid w:val="0"/>
              <w:rPr>
                <w:rFonts w:hint="eastAsia"/>
                <w:color w:val="auto"/>
                <w:sz w:val="21"/>
                <w:szCs w:val="21"/>
                <w:vertAlign w:val="baseline"/>
              </w:rPr>
            </w:pPr>
          </w:p>
        </w:tc>
        <w:tc>
          <w:tcPr>
            <w:tcW w:w="613" w:type="pct"/>
            <w:noWrap w:val="0"/>
            <w:vAlign w:val="top"/>
          </w:tcPr>
          <w:p>
            <w:pPr>
              <w:adjustRightInd w:val="0"/>
              <w:snapToGrid w:val="0"/>
              <w:rPr>
                <w:rFonts w:hint="eastAsia"/>
                <w:color w:val="auto"/>
                <w:sz w:val="21"/>
                <w:szCs w:val="21"/>
                <w:vertAlign w:val="baseline"/>
              </w:rPr>
            </w:pPr>
          </w:p>
        </w:tc>
        <w:tc>
          <w:tcPr>
            <w:tcW w:w="518" w:type="pct"/>
            <w:noWrap w:val="0"/>
            <w:vAlign w:val="top"/>
          </w:tcPr>
          <w:p>
            <w:pPr>
              <w:adjustRightInd w:val="0"/>
              <w:snapToGrid w:val="0"/>
              <w:rPr>
                <w:rFonts w:hint="eastAsia"/>
                <w:color w:val="auto"/>
                <w:sz w:val="21"/>
                <w:szCs w:val="21"/>
                <w:vertAlign w:val="baseline"/>
              </w:rPr>
            </w:pPr>
          </w:p>
        </w:tc>
      </w:tr>
    </w:tbl>
    <w:p>
      <w:pPr>
        <w:pStyle w:val="6"/>
        <w:ind w:left="0" w:leftChars="0" w:firstLine="0" w:firstLineChars="0"/>
        <w:rPr>
          <w:rFonts w:hint="eastAsia" w:ascii="仿宋_GB2312" w:hAnsi="仿宋_GB2312" w:eastAsia="仿宋_GB2312" w:cs="仿宋_GB2312"/>
          <w:color w:val="auto"/>
          <w:kern w:val="0"/>
          <w:sz w:val="32"/>
          <w:szCs w:val="32"/>
          <w:highlight w:val="none"/>
          <w:lang w:val="en-US" w:eastAsia="zh-CN"/>
        </w:rPr>
      </w:pPr>
    </w:p>
    <w:p>
      <w:pPr>
        <w:pStyle w:val="6"/>
        <w:ind w:left="0" w:leftChars="0" w:firstLine="0" w:firstLineChars="0"/>
        <w:rPr>
          <w:rFonts w:hint="eastAsia" w:ascii="仿宋_GB2312" w:hAnsi="仿宋_GB2312" w:eastAsia="仿宋_GB2312" w:cs="仿宋_GB2312"/>
          <w:color w:val="auto"/>
          <w:kern w:val="0"/>
          <w:sz w:val="32"/>
          <w:szCs w:val="32"/>
          <w:highlight w:val="none"/>
          <w:lang w:val="en-US" w:eastAsia="zh-CN"/>
        </w:rPr>
        <w:sectPr>
          <w:footerReference r:id="rId3" w:type="default"/>
          <w:pgSz w:w="16838" w:h="11906" w:orient="landscape"/>
          <w:pgMar w:top="1531" w:right="1871" w:bottom="1531" w:left="1871" w:header="851" w:footer="1417" w:gutter="0"/>
          <w:pgNumType w:fmt="decimal"/>
          <w:cols w:space="72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val="0"/>
        <w:snapToGrid w:val="0"/>
        <w:spacing w:afterLines="0" w:line="590" w:lineRule="exact"/>
        <w:jc w:val="both"/>
        <w:textAlignment w:val="auto"/>
        <w:outlineLvl w:val="9"/>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eastAsia="zh-CN"/>
        </w:rPr>
        <w:t>附件</w:t>
      </w:r>
      <w:r>
        <w:rPr>
          <w:rFonts w:hint="eastAsia" w:ascii="黑体" w:hAnsi="黑体" w:eastAsia="黑体" w:cs="黑体"/>
          <w:snapToGrid w:val="0"/>
          <w:color w:val="auto"/>
          <w:w w:val="100"/>
          <w:kern w:val="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afterLines="0" w:line="590" w:lineRule="exact"/>
        <w:jc w:val="both"/>
        <w:textAlignment w:val="auto"/>
        <w:outlineLvl w:val="9"/>
        <w:rPr>
          <w:rFonts w:hint="eastAsia" w:ascii="Times New Roman" w:hAnsi="Times New Roman" w:eastAsia="华文中宋" w:cs="Times New Roman"/>
          <w:snapToGrid w:val="0"/>
          <w:color w:val="auto"/>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jc w:val="center"/>
        <w:textAlignment w:val="auto"/>
        <w:outlineLvl w:val="9"/>
        <w:rPr>
          <w:rFonts w:hint="eastAsia" w:ascii="方正小标宋简体" w:hAnsi="方正小标宋简体" w:eastAsia="方正小标宋简体" w:cs="方正小标宋简体"/>
          <w:b w:val="0"/>
          <w:bCs w:val="0"/>
          <w:snapToGrid w:val="0"/>
          <w:color w:val="auto"/>
          <w:kern w:val="0"/>
          <w:sz w:val="44"/>
          <w:szCs w:val="44"/>
          <w:lang w:val="en-US" w:eastAsia="zh-CN"/>
        </w:rPr>
      </w:pPr>
      <w:r>
        <w:rPr>
          <w:rFonts w:hint="eastAsia" w:ascii="方正小标宋简体" w:hAnsi="方正小标宋简体" w:eastAsia="方正小标宋简体" w:cs="方正小标宋简体"/>
          <w:b w:val="0"/>
          <w:bCs w:val="0"/>
          <w:snapToGrid w:val="0"/>
          <w:color w:val="auto"/>
          <w:kern w:val="0"/>
          <w:sz w:val="44"/>
          <w:szCs w:val="44"/>
          <w:highlight w:val="none"/>
          <w:lang w:val="en-US" w:eastAsia="zh-CN"/>
        </w:rPr>
        <w:t>×××</w:t>
      </w:r>
      <w:r>
        <w:rPr>
          <w:rFonts w:hint="eastAsia" w:ascii="方正小标宋简体" w:hAnsi="方正小标宋简体" w:eastAsia="方正小标宋简体" w:cs="方正小标宋简体"/>
          <w:b w:val="0"/>
          <w:bCs w:val="0"/>
          <w:snapToGrid w:val="0"/>
          <w:color w:val="auto"/>
          <w:kern w:val="0"/>
          <w:sz w:val="44"/>
          <w:szCs w:val="44"/>
          <w:lang w:val="en-US" w:eastAsia="zh-CN"/>
        </w:rPr>
        <w:t>项目所提供材料真实性承诺函</w:t>
      </w:r>
    </w:p>
    <w:p>
      <w:pPr>
        <w:adjustRightInd w:val="0"/>
        <w:snapToGrid w:val="0"/>
        <w:spacing w:afterLines="0" w:line="590" w:lineRule="exact"/>
        <w:jc w:val="both"/>
        <w:outlineLvl w:val="9"/>
        <w:rPr>
          <w:rFonts w:hint="eastAsia" w:ascii="Times New Roman" w:hAnsi="Times New Roman" w:eastAsia="华文中宋" w:cs="Times New Roman"/>
          <w:snapToGrid w:val="0"/>
          <w:color w:val="auto"/>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zh-CN"/>
        </w:rPr>
        <w:t>广东省农业农村厅:</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zh-CN"/>
        </w:rPr>
        <w:t>根据《</w:t>
      </w:r>
      <w:r>
        <w:rPr>
          <w:rFonts w:hint="eastAsia" w:ascii="仿宋_GB2312" w:hAnsi="仿宋_GB2312" w:eastAsia="仿宋_GB2312" w:cs="仿宋_GB2312"/>
          <w:snapToGrid w:val="0"/>
          <w:color w:val="auto"/>
          <w:kern w:val="0"/>
          <w:sz w:val="32"/>
          <w:szCs w:val="32"/>
          <w:lang w:val="en-US" w:eastAsia="zh-CN"/>
        </w:rPr>
        <w:t>关于印发〈2024年省级种业振兴行动和科技兴农专项资金项目入库申报指南〉的通知</w:t>
      </w:r>
      <w:r>
        <w:rPr>
          <w:rFonts w:hint="eastAsia" w:ascii="仿宋_GB2312" w:hAnsi="仿宋_GB2312" w:eastAsia="仿宋_GB2312" w:cs="仿宋_GB2312"/>
          <w:snapToGrid w:val="0"/>
          <w:color w:val="auto"/>
          <w:kern w:val="0"/>
          <w:sz w:val="32"/>
          <w:szCs w:val="32"/>
          <w:lang w:val="zh-CN"/>
        </w:rPr>
        <w:t>》，我单位拟申报“</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项目</w:t>
      </w:r>
      <w:r>
        <w:rPr>
          <w:rFonts w:hint="eastAsia" w:ascii="仿宋_GB2312" w:hAnsi="仿宋_GB2312" w:eastAsia="仿宋_GB2312" w:cs="仿宋_GB2312"/>
          <w:snapToGrid w:val="0"/>
          <w:color w:val="auto"/>
          <w:kern w:val="0"/>
          <w:sz w:val="32"/>
          <w:szCs w:val="32"/>
          <w:lang w:val="zh-CN"/>
        </w:rPr>
        <w:t>”，该项目</w:t>
      </w:r>
      <w:r>
        <w:rPr>
          <w:rFonts w:hint="eastAsia" w:ascii="仿宋_GB2312" w:hAnsi="仿宋_GB2312" w:eastAsia="仿宋_GB2312" w:cs="仿宋_GB2312"/>
          <w:snapToGrid w:val="0"/>
          <w:color w:val="auto"/>
          <w:kern w:val="0"/>
          <w:sz w:val="32"/>
          <w:szCs w:val="32"/>
          <w:lang w:val="en-US" w:eastAsia="zh-CN"/>
        </w:rPr>
        <w:t>不重复申请财政资金，研究成果不套用，所提供的佐证材料真实有效。</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zh-CN"/>
        </w:rPr>
        <w:t>特此承诺。</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Times New Roman" w:hAnsi="Times New Roman" w:eastAsia="仿宋_GB2312"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Times New Roman" w:hAnsi="Times New Roman" w:eastAsia="仿宋_GB2312"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Times New Roman" w:hAnsi="Times New Roman" w:eastAsia="仿宋_GB2312"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5760" w:firstLineChars="180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申报单位</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5120" w:firstLineChars="16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lang w:val="en-US" w:eastAsia="zh-CN"/>
        </w:rPr>
        <w:t xml:space="preserve">   年  </w:t>
      </w:r>
      <w:r>
        <w:rPr>
          <w:rFonts w:hint="eastAsia" w:ascii="仿宋_GB2312" w:hAnsi="仿宋_GB2312" w:eastAsia="仿宋_GB2312" w:cs="仿宋_GB2312"/>
          <w:snapToGrid w:val="0"/>
          <w:color w:val="auto"/>
          <w:kern w:val="0"/>
          <w:sz w:val="32"/>
          <w:szCs w:val="32"/>
          <w:lang w:val="zh-CN"/>
        </w:rPr>
        <w:t>月</w:t>
      </w:r>
      <w:r>
        <w:rPr>
          <w:rFonts w:hint="eastAsia" w:ascii="Arial" w:hAnsi="Arial" w:eastAsia="汉仪细圆B5" w:cs="Arial"/>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lang w:val="zh-CN" w:eastAsia="zh-CN"/>
        </w:rPr>
        <w:t>日</w:t>
      </w:r>
    </w:p>
    <w:p>
      <w:pPr>
        <w:pStyle w:val="6"/>
        <w:adjustRightInd w:val="0"/>
        <w:snapToGrid w:val="0"/>
        <w:spacing w:after="0" w:line="590" w:lineRule="exact"/>
        <w:ind w:left="0" w:leftChars="0" w:firstLine="0" w:firstLineChars="0"/>
        <w:rPr>
          <w:rFonts w:hint="eastAsia" w:ascii="仿宋_GB2312" w:hAnsi="仿宋_GB2312" w:eastAsia="仿宋_GB2312" w:cs="仿宋_GB2312"/>
          <w:color w:val="auto"/>
          <w:kern w:val="0"/>
          <w:sz w:val="32"/>
          <w:szCs w:val="32"/>
          <w:highlight w:val="none"/>
          <w:lang w:val="en-US" w:eastAsia="zh-CN"/>
        </w:rPr>
      </w:pPr>
    </w:p>
    <w:p>
      <w:pPr>
        <w:pStyle w:val="6"/>
        <w:adjustRightInd w:val="0"/>
        <w:snapToGrid w:val="0"/>
        <w:spacing w:after="0" w:line="590" w:lineRule="exact"/>
        <w:ind w:left="0" w:leftChars="0" w:firstLine="0" w:firstLineChars="0"/>
        <w:rPr>
          <w:rFonts w:hint="eastAsia" w:ascii="仿宋_GB2312" w:hAnsi="仿宋_GB2312" w:eastAsia="仿宋_GB2312" w:cs="仿宋_GB2312"/>
          <w:color w:val="auto"/>
          <w:kern w:val="0"/>
          <w:sz w:val="32"/>
          <w:szCs w:val="32"/>
          <w:highlight w:val="none"/>
          <w:lang w:val="en-US" w:eastAsia="zh-CN"/>
        </w:rPr>
        <w:sectPr>
          <w:footerReference r:id="rId4" w:type="default"/>
          <w:pgSz w:w="11906" w:h="16838"/>
          <w:pgMar w:top="1871" w:right="1531" w:bottom="1871" w:left="1531" w:header="850" w:footer="1417" w:gutter="0"/>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afterLines="0" w:line="590" w:lineRule="exact"/>
        <w:jc w:val="both"/>
        <w:textAlignment w:val="auto"/>
        <w:outlineLvl w:val="9"/>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eastAsia="zh-CN"/>
        </w:rPr>
        <w:t>附件</w:t>
      </w:r>
      <w:r>
        <w:rPr>
          <w:rFonts w:hint="eastAsia" w:ascii="黑体" w:hAnsi="黑体" w:eastAsia="黑体" w:cs="黑体"/>
          <w:snapToGrid w:val="0"/>
          <w:color w:val="auto"/>
          <w:w w:val="100"/>
          <w:kern w:val="0"/>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afterLines="0" w:line="590" w:lineRule="exact"/>
        <w:jc w:val="both"/>
        <w:textAlignment w:val="auto"/>
        <w:outlineLvl w:val="9"/>
        <w:rPr>
          <w:rFonts w:hint="eastAsia" w:ascii="Times New Roman" w:hAnsi="Times New Roman" w:eastAsia="华文中宋" w:cs="Times New Roman"/>
          <w:snapToGrid w:val="0"/>
          <w:color w:val="auto"/>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jc w:val="center"/>
        <w:textAlignment w:val="auto"/>
        <w:outlineLvl w:val="9"/>
        <w:rPr>
          <w:rFonts w:hint="eastAsia" w:ascii="方正小标宋简体" w:hAnsi="方正小标宋简体" w:eastAsia="方正小标宋简体" w:cs="方正小标宋简体"/>
          <w:b w:val="0"/>
          <w:bCs w:val="0"/>
          <w:snapToGrid w:val="0"/>
          <w:color w:val="auto"/>
          <w:kern w:val="0"/>
          <w:sz w:val="44"/>
          <w:szCs w:val="44"/>
          <w:lang w:val="en-US" w:eastAsia="zh-CN"/>
        </w:rPr>
      </w:pPr>
      <w:r>
        <w:rPr>
          <w:rFonts w:hint="eastAsia" w:ascii="方正小标宋简体" w:hAnsi="方正小标宋简体" w:eastAsia="方正小标宋简体" w:cs="方正小标宋简体"/>
          <w:b w:val="0"/>
          <w:bCs w:val="0"/>
          <w:snapToGrid w:val="0"/>
          <w:color w:val="auto"/>
          <w:kern w:val="0"/>
          <w:sz w:val="44"/>
          <w:szCs w:val="44"/>
          <w:lang w:val="en-US" w:eastAsia="zh-CN"/>
        </w:rPr>
        <w:t>×××项目配套资金承诺函</w:t>
      </w:r>
    </w:p>
    <w:p>
      <w:pPr>
        <w:adjustRightInd w:val="0"/>
        <w:snapToGrid w:val="0"/>
        <w:spacing w:afterLines="0" w:line="590" w:lineRule="exact"/>
        <w:jc w:val="both"/>
        <w:outlineLvl w:val="9"/>
        <w:rPr>
          <w:rFonts w:hint="eastAsia" w:ascii="Times New Roman" w:hAnsi="Times New Roman" w:eastAsia="华文中宋" w:cs="Times New Roman"/>
          <w:snapToGrid w:val="0"/>
          <w:color w:val="auto"/>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zh-CN"/>
        </w:rPr>
        <w:t>广东省农业农村厅:</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zh-CN"/>
        </w:rPr>
        <w:t>根据《</w:t>
      </w:r>
      <w:r>
        <w:rPr>
          <w:rFonts w:hint="eastAsia" w:ascii="仿宋_GB2312" w:hAnsi="仿宋_GB2312" w:eastAsia="仿宋_GB2312" w:cs="仿宋_GB2312"/>
          <w:snapToGrid w:val="0"/>
          <w:color w:val="auto"/>
          <w:kern w:val="0"/>
          <w:sz w:val="32"/>
          <w:szCs w:val="32"/>
          <w:lang w:val="en-US" w:eastAsia="zh-CN"/>
        </w:rPr>
        <w:t>关于印发〈2024年省级种业振兴行动和科技兴农专项资金项目入库申报指南〉的通知</w:t>
      </w:r>
      <w:r>
        <w:rPr>
          <w:rFonts w:hint="eastAsia" w:ascii="仿宋_GB2312" w:hAnsi="仿宋_GB2312" w:eastAsia="仿宋_GB2312" w:cs="仿宋_GB2312"/>
          <w:snapToGrid w:val="0"/>
          <w:color w:val="auto"/>
          <w:kern w:val="0"/>
          <w:sz w:val="32"/>
          <w:szCs w:val="32"/>
          <w:lang w:val="zh-CN"/>
        </w:rPr>
        <w:t>》，我单位拟申报“</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项目</w:t>
      </w:r>
      <w:r>
        <w:rPr>
          <w:rFonts w:hint="eastAsia" w:ascii="仿宋_GB2312" w:hAnsi="仿宋_GB2312" w:eastAsia="仿宋_GB2312" w:cs="仿宋_GB2312"/>
          <w:snapToGrid w:val="0"/>
          <w:color w:val="auto"/>
          <w:kern w:val="0"/>
          <w:sz w:val="32"/>
          <w:szCs w:val="32"/>
          <w:lang w:val="zh-CN"/>
        </w:rPr>
        <w:t>”，总计投资</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万元，其中申请财政资金</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万元，单位（企业）自筹配套</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万元，项目不涉及地方财政，不会造成地方财政隐形债务。</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根据有关要求，我单位（企业）承诺：配套资金</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万元由本单位（企业）承担，并保证配套资金按项目实施计划按时到位。</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zh-CN"/>
        </w:rPr>
        <w:t>特此承诺。</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080" w:firstLineChars="190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申报单位</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5440" w:firstLineChars="1700"/>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en-US" w:eastAsia="zh-CN"/>
        </w:rPr>
        <w:t xml:space="preserve">    年  </w:t>
      </w:r>
      <w:r>
        <w:rPr>
          <w:rFonts w:hint="eastAsia" w:ascii="仿宋_GB2312" w:hAnsi="仿宋_GB2312" w:eastAsia="仿宋_GB2312" w:cs="仿宋_GB2312"/>
          <w:snapToGrid w:val="0"/>
          <w:color w:val="auto"/>
          <w:kern w:val="0"/>
          <w:sz w:val="32"/>
          <w:szCs w:val="32"/>
          <w:lang w:val="zh-CN"/>
        </w:rPr>
        <w:t>月</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lang w:val="zh-CN" w:eastAsia="zh-CN"/>
        </w:rPr>
        <w:t>日</w:t>
      </w:r>
    </w:p>
    <w:p>
      <w:pPr>
        <w:adjustRightInd w:val="0"/>
        <w:snapToGrid w:val="0"/>
        <w:spacing w:afterLines="0" w:line="590" w:lineRule="exact"/>
        <w:rPr>
          <w:rFonts w:hint="eastAsia" w:ascii="黑体" w:hAnsi="黑体" w:eastAsia="黑体" w:cs="黑体"/>
          <w:b w:val="0"/>
          <w:bCs w:val="0"/>
          <w:snapToGrid w:val="0"/>
          <w:color w:val="auto"/>
          <w:kern w:val="0"/>
          <w:sz w:val="32"/>
          <w:szCs w:val="32"/>
          <w:lang w:val="en-US" w:eastAsia="zh-CN"/>
        </w:rPr>
      </w:pPr>
    </w:p>
    <w:p>
      <w:pPr>
        <w:adjustRightInd w:val="0"/>
        <w:snapToGrid w:val="0"/>
        <w:spacing w:afterLines="0" w:line="590" w:lineRule="exact"/>
        <w:rPr>
          <w:rFonts w:hint="eastAsia" w:ascii="黑体" w:hAnsi="黑体" w:eastAsia="黑体" w:cs="黑体"/>
          <w:b w:val="0"/>
          <w:bCs w:val="0"/>
          <w:snapToGrid w:val="0"/>
          <w:color w:val="auto"/>
          <w:kern w:val="0"/>
          <w:sz w:val="32"/>
          <w:szCs w:val="32"/>
          <w:lang w:val="en-US" w:eastAsia="zh-CN"/>
        </w:rPr>
      </w:pPr>
    </w:p>
    <w:p>
      <w:pPr>
        <w:adjustRightInd w:val="0"/>
        <w:snapToGrid w:val="0"/>
        <w:spacing w:line="590" w:lineRule="exact"/>
        <w:rPr>
          <w:rFonts w:hint="eastAsia" w:ascii="黑体" w:hAnsi="黑体" w:eastAsia="黑体" w:cs="黑体"/>
          <w:b w:val="0"/>
          <w:bCs w:val="0"/>
          <w:snapToGrid w:val="0"/>
          <w:color w:val="auto"/>
          <w:kern w:val="0"/>
          <w:sz w:val="32"/>
          <w:szCs w:val="32"/>
          <w:lang w:val="en-US" w:eastAsia="zh-CN"/>
        </w:rPr>
      </w:pPr>
    </w:p>
    <w:p>
      <w:pPr>
        <w:pStyle w:val="6"/>
        <w:ind w:left="0" w:leftChars="0" w:firstLine="0" w:firstLineChars="0"/>
        <w:rPr>
          <w:rFonts w:hint="default" w:ascii="黑体" w:hAnsi="黑体" w:eastAsia="黑体" w:cs="黑体"/>
          <w:b w:val="0"/>
          <w:bCs w:val="0"/>
          <w:snapToGrid w:val="0"/>
          <w:color w:val="auto"/>
          <w:kern w:val="0"/>
          <w:sz w:val="32"/>
          <w:szCs w:val="32"/>
          <w:lang w:val="en-US" w:eastAsia="zh-CN"/>
        </w:rPr>
      </w:pPr>
      <w:r>
        <w:rPr>
          <w:rFonts w:hint="eastAsia"/>
          <w:color w:val="auto"/>
          <w:lang w:val="en-US" w:eastAsia="zh-CN"/>
        </w:rPr>
        <w:br w:type="page"/>
      </w:r>
      <w:r>
        <w:rPr>
          <w:rFonts w:hint="eastAsia" w:ascii="黑体" w:hAnsi="黑体" w:eastAsia="黑体" w:cs="黑体"/>
          <w:b w:val="0"/>
          <w:bCs w:val="0"/>
          <w:snapToGrid w:val="0"/>
          <w:color w:val="auto"/>
          <w:kern w:val="0"/>
          <w:sz w:val="32"/>
          <w:szCs w:val="32"/>
          <w:lang w:val="en-US" w:eastAsia="zh-CN"/>
        </w:rPr>
        <w:t>附件5</w:t>
      </w:r>
    </w:p>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方正小标宋简体" w:hAnsi="方正小标宋简体" w:eastAsia="方正小标宋简体" w:cs="方正小标宋简体"/>
          <w:b/>
          <w:bCs/>
          <w:snapToGrid w:val="0"/>
          <w:color w:val="auto"/>
          <w:kern w:val="0"/>
          <w:sz w:val="44"/>
          <w:szCs w:val="44"/>
          <w:lang w:val="en-US" w:eastAsia="zh-CN"/>
        </w:rPr>
      </w:pPr>
    </w:p>
    <w:p>
      <w:pPr>
        <w:bidi w:val="0"/>
        <w:adjustRightInd w:val="0"/>
        <w:snapToGrid w:val="0"/>
        <w:spacing w:line="700" w:lineRule="exact"/>
        <w:jc w:val="center"/>
        <w:outlineLvl w:val="9"/>
        <w:rPr>
          <w:rFonts w:hint="eastAsia" w:ascii="方正小标宋简体" w:hAnsi="方正小标宋简体" w:eastAsia="方正小标宋简体" w:cs="方正小标宋简体"/>
          <w:snapToGrid w:val="0"/>
          <w:color w:val="auto"/>
          <w:spacing w:val="0"/>
          <w:kern w:val="0"/>
          <w:sz w:val="48"/>
          <w:szCs w:val="48"/>
          <w:lang w:val="en-US" w:eastAsia="zh-CN"/>
        </w:rPr>
      </w:pPr>
      <w:r>
        <w:rPr>
          <w:rFonts w:hint="eastAsia" w:ascii="方正小标宋简体" w:hAnsi="方正小标宋简体" w:eastAsia="方正小标宋简体" w:cs="方正小标宋简体"/>
          <w:snapToGrid w:val="0"/>
          <w:color w:val="auto"/>
          <w:spacing w:val="0"/>
          <w:kern w:val="0"/>
          <w:sz w:val="48"/>
          <w:szCs w:val="48"/>
          <w:lang w:val="en-US" w:eastAsia="zh-CN"/>
        </w:rPr>
        <w:t>广东省农业农村厅种业振兴行动和科技兴农项目申报书模板</w:t>
      </w:r>
    </w:p>
    <w:p>
      <w:pPr>
        <w:keepNext w:val="0"/>
        <w:keepLines w:val="0"/>
        <w:pageBreakBefore w:val="0"/>
        <w:kinsoku/>
        <w:wordWrap/>
        <w:topLinePunct w:val="0"/>
        <w:bidi w:val="0"/>
        <w:adjustRightInd w:val="0"/>
        <w:snapToGrid w:val="0"/>
        <w:spacing w:line="700" w:lineRule="exact"/>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adjustRightInd w:val="0"/>
        <w:snapToGrid w:val="0"/>
        <w:spacing w:line="590" w:lineRule="exact"/>
        <w:outlineLvl w:val="9"/>
        <w:rPr>
          <w:snapToGrid w:val="0"/>
          <w:color w:val="auto"/>
          <w:kern w:val="0"/>
        </w:rPr>
      </w:pPr>
    </w:p>
    <w:tbl>
      <w:tblPr>
        <w:tblStyle w:val="7"/>
        <w:tblW w:w="0" w:type="auto"/>
        <w:jc w:val="center"/>
        <w:tblLayout w:type="fixed"/>
        <w:tblCellMar>
          <w:top w:w="0" w:type="dxa"/>
          <w:left w:w="108" w:type="dxa"/>
          <w:bottom w:w="0" w:type="dxa"/>
          <w:right w:w="108" w:type="dxa"/>
        </w:tblCellMar>
      </w:tblPr>
      <w:tblGrid>
        <w:gridCol w:w="2239"/>
        <w:gridCol w:w="5840"/>
      </w:tblGrid>
      <w:tr>
        <w:tblPrEx>
          <w:tblCellMar>
            <w:top w:w="0" w:type="dxa"/>
            <w:left w:w="108" w:type="dxa"/>
            <w:bottom w:w="0" w:type="dxa"/>
            <w:right w:w="108" w:type="dxa"/>
          </w:tblCellMar>
        </w:tblPrEx>
        <w:trPr>
          <w:jc w:val="center"/>
        </w:trPr>
        <w:tc>
          <w:tcPr>
            <w:tcW w:w="2239" w:type="dxa"/>
            <w:noWrap w:val="0"/>
            <w:vAlign w:val="center"/>
          </w:tcPr>
          <w:p>
            <w:pPr>
              <w:keepNext w:val="0"/>
              <w:keepLines w:val="0"/>
              <w:pageBreakBefore w:val="0"/>
              <w:kinsoku/>
              <w:wordWrap/>
              <w:topLinePunct w:val="0"/>
              <w:bidi w:val="0"/>
              <w:adjustRightInd w:val="0"/>
              <w:snapToGrid w:val="0"/>
              <w:spacing w:line="590" w:lineRule="exact"/>
              <w:jc w:val="distribut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项目名称：</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jc w:val="both"/>
              <w:rPr>
                <w:rFonts w:hint="eastAsia" w:ascii="仿宋_GB2312" w:hAnsi="仿宋_GB2312" w:eastAsia="仿宋_GB2312" w:cs="仿宋_GB2312"/>
                <w:snapToGrid w:val="0"/>
                <w:color w:val="auto"/>
                <w:kern w:val="0"/>
                <w:sz w:val="32"/>
                <w:szCs w:val="32"/>
              </w:rPr>
            </w:pPr>
          </w:p>
        </w:tc>
      </w:tr>
      <w:tr>
        <w:tblPrEx>
          <w:tblCellMar>
            <w:top w:w="0" w:type="dxa"/>
            <w:left w:w="108" w:type="dxa"/>
            <w:bottom w:w="0" w:type="dxa"/>
            <w:right w:w="108" w:type="dxa"/>
          </w:tblCellMar>
        </w:tblPrEx>
        <w:trPr>
          <w:jc w:val="center"/>
        </w:trPr>
        <w:tc>
          <w:tcPr>
            <w:tcW w:w="2239" w:type="dxa"/>
            <w:noWrap w:val="0"/>
            <w:vAlign w:val="center"/>
          </w:tcPr>
          <w:p>
            <w:pPr>
              <w:keepNext w:val="0"/>
              <w:keepLines w:val="0"/>
              <w:pageBreakBefore w:val="0"/>
              <w:kinsoku/>
              <w:wordWrap/>
              <w:topLinePunct w:val="0"/>
              <w:bidi w:val="0"/>
              <w:adjustRightInd w:val="0"/>
              <w:snapToGrid w:val="0"/>
              <w:spacing w:line="590" w:lineRule="exact"/>
              <w:jc w:val="distribut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申报单位：</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rPr>
                <w:rFonts w:hint="eastAsia" w:ascii="仿宋_GB2312" w:hAnsi="仿宋_GB2312" w:eastAsia="仿宋_GB2312" w:cs="仿宋_GB2312"/>
                <w:snapToGrid w:val="0"/>
                <w:color w:val="auto"/>
                <w:kern w:val="0"/>
                <w:sz w:val="32"/>
                <w:szCs w:val="32"/>
              </w:rPr>
            </w:pPr>
          </w:p>
        </w:tc>
      </w:tr>
      <w:tr>
        <w:tblPrEx>
          <w:tblCellMar>
            <w:top w:w="0" w:type="dxa"/>
            <w:left w:w="108" w:type="dxa"/>
            <w:bottom w:w="0" w:type="dxa"/>
            <w:right w:w="108" w:type="dxa"/>
          </w:tblCellMar>
        </w:tblPrEx>
        <w:trPr>
          <w:jc w:val="center"/>
        </w:trPr>
        <w:tc>
          <w:tcPr>
            <w:tcW w:w="2239" w:type="dxa"/>
            <w:noWrap w:val="0"/>
            <w:vAlign w:val="center"/>
          </w:tcPr>
          <w:p>
            <w:pPr>
              <w:keepNext w:val="0"/>
              <w:keepLines w:val="0"/>
              <w:pageBreakBefore w:val="0"/>
              <w:kinsoku/>
              <w:wordWrap/>
              <w:topLinePunct w:val="0"/>
              <w:bidi w:val="0"/>
              <w:adjustRightInd w:val="0"/>
              <w:snapToGrid w:val="0"/>
              <w:spacing w:line="590" w:lineRule="exact"/>
              <w:jc w:val="distribut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项目</w:t>
            </w:r>
            <w:r>
              <w:rPr>
                <w:rFonts w:hint="eastAsia" w:ascii="仿宋_GB2312" w:hAnsi="仿宋_GB2312" w:eastAsia="仿宋_GB2312" w:cs="仿宋_GB2312"/>
                <w:snapToGrid w:val="0"/>
                <w:color w:val="auto"/>
                <w:kern w:val="0"/>
                <w:sz w:val="32"/>
                <w:szCs w:val="32"/>
              </w:rPr>
              <w:t>负责人：</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rPr>
                <w:rFonts w:hint="eastAsia" w:ascii="仿宋_GB2312" w:hAnsi="仿宋_GB2312" w:eastAsia="仿宋_GB2312" w:cs="仿宋_GB2312"/>
                <w:snapToGrid w:val="0"/>
                <w:color w:val="auto"/>
                <w:kern w:val="0"/>
                <w:sz w:val="32"/>
                <w:szCs w:val="32"/>
              </w:rPr>
            </w:pPr>
          </w:p>
        </w:tc>
      </w:tr>
      <w:tr>
        <w:tblPrEx>
          <w:tblCellMar>
            <w:top w:w="0" w:type="dxa"/>
            <w:left w:w="108" w:type="dxa"/>
            <w:bottom w:w="0" w:type="dxa"/>
            <w:right w:w="108" w:type="dxa"/>
          </w:tblCellMar>
        </w:tblPrEx>
        <w:trPr>
          <w:jc w:val="center"/>
        </w:trPr>
        <w:tc>
          <w:tcPr>
            <w:tcW w:w="2239" w:type="dxa"/>
            <w:noWrap w:val="0"/>
            <w:vAlign w:val="center"/>
          </w:tcPr>
          <w:p>
            <w:pPr>
              <w:keepNext w:val="0"/>
              <w:keepLines w:val="0"/>
              <w:pageBreakBefore w:val="0"/>
              <w:kinsoku/>
              <w:wordWrap/>
              <w:topLinePunct w:val="0"/>
              <w:bidi w:val="0"/>
              <w:adjustRightInd w:val="0"/>
              <w:snapToGrid w:val="0"/>
              <w:spacing w:line="590" w:lineRule="exact"/>
              <w:jc w:val="distribut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主管单位</w:t>
            </w:r>
            <w:r>
              <w:rPr>
                <w:rFonts w:hint="eastAsia" w:ascii="仿宋_GB2312" w:hAnsi="仿宋_GB2312" w:eastAsia="仿宋_GB2312" w:cs="仿宋_GB2312"/>
                <w:snapToGrid w:val="0"/>
                <w:color w:val="auto"/>
                <w:kern w:val="0"/>
                <w:sz w:val="32"/>
                <w:szCs w:val="32"/>
              </w:rPr>
              <w:t>：</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firstLineChars="0"/>
              <w:rPr>
                <w:rFonts w:hint="eastAsia" w:ascii="仿宋_GB2312" w:hAnsi="仿宋_GB2312" w:eastAsia="仿宋_GB2312" w:cs="仿宋_GB2312"/>
                <w:snapToGrid w:val="0"/>
                <w:color w:val="auto"/>
                <w:kern w:val="0"/>
                <w:sz w:val="32"/>
                <w:szCs w:val="32"/>
                <w:u w:val="single"/>
              </w:rPr>
            </w:pPr>
          </w:p>
        </w:tc>
      </w:tr>
      <w:tr>
        <w:tblPrEx>
          <w:tblCellMar>
            <w:top w:w="0" w:type="dxa"/>
            <w:left w:w="108" w:type="dxa"/>
            <w:bottom w:w="0" w:type="dxa"/>
            <w:right w:w="108" w:type="dxa"/>
          </w:tblCellMar>
        </w:tblPrEx>
        <w:trPr>
          <w:jc w:val="center"/>
        </w:trPr>
        <w:tc>
          <w:tcPr>
            <w:tcW w:w="2239" w:type="dxa"/>
            <w:noWrap w:val="0"/>
            <w:vAlign w:val="center"/>
          </w:tcPr>
          <w:p>
            <w:pPr>
              <w:keepNext w:val="0"/>
              <w:keepLines w:val="0"/>
              <w:pageBreakBefore w:val="0"/>
              <w:kinsoku/>
              <w:wordWrap/>
              <w:topLinePunct w:val="0"/>
              <w:bidi w:val="0"/>
              <w:adjustRightInd w:val="0"/>
              <w:snapToGrid w:val="0"/>
              <w:spacing w:line="590" w:lineRule="exact"/>
              <w:jc w:val="distribut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申报日期：</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firstLineChars="0"/>
              <w:rPr>
                <w:rFonts w:hint="eastAsia" w:ascii="仿宋_GB2312" w:hAnsi="仿宋_GB2312" w:eastAsia="仿宋_GB2312" w:cs="仿宋_GB2312"/>
                <w:snapToGrid w:val="0"/>
                <w:color w:val="auto"/>
                <w:kern w:val="0"/>
                <w:sz w:val="32"/>
                <w:szCs w:val="32"/>
                <w:u w:val="single"/>
              </w:rPr>
            </w:pPr>
          </w:p>
        </w:tc>
      </w:tr>
    </w:tbl>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outlineLvl w:val="9"/>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0" w:firstLineChars="0"/>
        <w:jc w:val="center"/>
        <w:rPr>
          <w:rFonts w:hint="eastAsia" w:ascii="楷体_GB2312" w:hAnsi="楷体_GB2312" w:eastAsia="楷体_GB2312" w:cs="楷体_GB2312"/>
          <w:b w:val="0"/>
          <w:bCs/>
          <w:snapToGrid w:val="0"/>
          <w:color w:val="auto"/>
          <w:kern w:val="0"/>
          <w:sz w:val="32"/>
          <w:szCs w:val="32"/>
        </w:rPr>
      </w:pPr>
      <w:r>
        <w:rPr>
          <w:rFonts w:hint="eastAsia" w:ascii="楷体_GB2312" w:hAnsi="楷体_GB2312" w:eastAsia="楷体_GB2312" w:cs="楷体_GB2312"/>
          <w:b w:val="0"/>
          <w:bCs/>
          <w:snapToGrid w:val="0"/>
          <w:color w:val="auto"/>
          <w:kern w:val="0"/>
          <w:sz w:val="32"/>
          <w:szCs w:val="32"/>
        </w:rPr>
        <w:t>广东省农业农村厅制</w:t>
      </w:r>
    </w:p>
    <w:p>
      <w:pPr>
        <w:keepNext w:val="0"/>
        <w:keepLines w:val="0"/>
        <w:pageBreakBefore w:val="0"/>
        <w:kinsoku/>
        <w:wordWrap/>
        <w:topLinePunct w:val="0"/>
        <w:bidi w:val="0"/>
        <w:adjustRightInd w:val="0"/>
        <w:snapToGrid w:val="0"/>
        <w:spacing w:line="590" w:lineRule="exact"/>
        <w:jc w:val="center"/>
        <w:rPr>
          <w:rFonts w:hint="eastAsia" w:ascii="楷体_GB2312" w:hAnsi="楷体_GB2312" w:eastAsia="楷体_GB2312" w:cs="楷体_GB2312"/>
          <w:b w:val="0"/>
          <w:bCs/>
          <w:snapToGrid w:val="0"/>
          <w:color w:val="auto"/>
          <w:kern w:val="0"/>
          <w:sz w:val="32"/>
          <w:szCs w:val="32"/>
        </w:rPr>
      </w:pPr>
      <w:r>
        <w:rPr>
          <w:rFonts w:hint="eastAsia" w:ascii="楷体_GB2312" w:hAnsi="楷体_GB2312" w:eastAsia="楷体_GB2312" w:cs="楷体_GB2312"/>
          <w:b w:val="0"/>
          <w:bCs/>
          <w:snapToGrid w:val="0"/>
          <w:color w:val="auto"/>
          <w:kern w:val="0"/>
          <w:sz w:val="32"/>
          <w:szCs w:val="32"/>
        </w:rPr>
        <w:t>二Ο二   年   月</w:t>
      </w:r>
    </w:p>
    <w:p>
      <w:pPr>
        <w:keepNext w:val="0"/>
        <w:keepLines w:val="0"/>
        <w:pageBreakBefore w:val="0"/>
        <w:kinsoku/>
        <w:wordWrap/>
        <w:topLinePunct w:val="0"/>
        <w:bidi w:val="0"/>
        <w:adjustRightInd w:val="0"/>
        <w:snapToGrid w:val="0"/>
        <w:spacing w:line="590" w:lineRule="exact"/>
        <w:jc w:val="center"/>
        <w:rPr>
          <w:rFonts w:hint="eastAsia" w:ascii="楷体_GB2312" w:hAnsi="楷体_GB2312" w:eastAsia="楷体_GB2312" w:cs="楷体_GB2312"/>
          <w:b w:val="0"/>
          <w:bCs/>
          <w:snapToGrid w:val="0"/>
          <w:color w:val="auto"/>
          <w:kern w:val="0"/>
          <w:sz w:val="32"/>
          <w:szCs w:val="32"/>
        </w:rPr>
        <w:sectPr>
          <w:footerReference r:id="rId5"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kinsoku/>
        <w:wordWrap/>
        <w:topLinePunct w:val="0"/>
        <w:bidi w:val="0"/>
        <w:adjustRightInd w:val="0"/>
        <w:snapToGrid w:val="0"/>
        <w:spacing w:line="460" w:lineRule="exact"/>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诚信承诺书</w:t>
      </w:r>
    </w:p>
    <w:p>
      <w:pPr>
        <w:keepNext w:val="0"/>
        <w:keepLines w:val="0"/>
        <w:pageBreakBefore w:val="0"/>
        <w:kinsoku/>
        <w:wordWrap/>
        <w:topLinePunct w:val="0"/>
        <w:bidi w:val="0"/>
        <w:adjustRightInd w:val="0"/>
        <w:snapToGrid w:val="0"/>
        <w:spacing w:line="460" w:lineRule="exact"/>
        <w:ind w:firstLine="608" w:firstLineChars="190"/>
        <w:rPr>
          <w:rFonts w:hint="eastAsia" w:ascii="仿宋_GB2312" w:hAnsi="仿宋_GB2312" w:eastAsia="仿宋_GB2312" w:cs="仿宋_GB2312"/>
          <w:color w:val="auto"/>
          <w:kern w:val="0"/>
          <w:sz w:val="32"/>
          <w:szCs w:val="32"/>
        </w:rPr>
      </w:pPr>
    </w:p>
    <w:p>
      <w:pPr>
        <w:keepNext w:val="0"/>
        <w:keepLines w:val="0"/>
        <w:pageBreakBefore w:val="0"/>
        <w:kinsoku/>
        <w:wordWrap/>
        <w:topLinePunct w:val="0"/>
        <w:bidi w:val="0"/>
        <w:adjustRightInd w:val="0"/>
        <w:snapToGrid w:val="0"/>
        <w:spacing w:line="46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本人根据</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立项指南的要求，自愿提交立项申请书，在此郑重承诺：所申报材料和相关内容真实有效，不存在以下违背科研诚信要求的行为。</w:t>
      </w:r>
    </w:p>
    <w:p>
      <w:pPr>
        <w:keepNext w:val="0"/>
        <w:keepLines w:val="0"/>
        <w:pageBreakBefore w:val="0"/>
        <w:kinsoku/>
        <w:wordWrap/>
        <w:topLinePunct w:val="0"/>
        <w:bidi w:val="0"/>
        <w:adjustRightInd w:val="0"/>
        <w:snapToGrid w:val="0"/>
        <w:spacing w:line="46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（一）抄袭、剽窃、侵占他人成果；</w:t>
      </w:r>
    </w:p>
    <w:p>
      <w:pPr>
        <w:keepNext w:val="0"/>
        <w:keepLines w:val="0"/>
        <w:pageBreakBefore w:val="0"/>
        <w:kinsoku/>
        <w:wordWrap/>
        <w:topLinePunct w:val="0"/>
        <w:bidi w:val="0"/>
        <w:adjustRightInd w:val="0"/>
        <w:snapToGrid w:val="0"/>
        <w:spacing w:line="460" w:lineRule="exact"/>
        <w:ind w:firstLine="604" w:firstLineChars="18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（二）编制工作过程，伪造、篡改数据、图表、结论；</w:t>
      </w:r>
    </w:p>
    <w:p>
      <w:pPr>
        <w:keepNext w:val="0"/>
        <w:keepLines w:val="0"/>
        <w:pageBreakBefore w:val="0"/>
        <w:kinsoku/>
        <w:wordWrap/>
        <w:topLinePunct w:val="0"/>
        <w:bidi w:val="0"/>
        <w:adjustRightInd w:val="0"/>
        <w:snapToGrid w:val="0"/>
        <w:spacing w:line="46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（三）购买、代写论文或课题申请书，虚构同行评议专家及评议意见；</w:t>
      </w:r>
    </w:p>
    <w:p>
      <w:pPr>
        <w:keepNext w:val="0"/>
        <w:keepLines w:val="0"/>
        <w:pageBreakBefore w:val="0"/>
        <w:kinsoku/>
        <w:wordWrap/>
        <w:topLinePunct w:val="0"/>
        <w:bidi w:val="0"/>
        <w:adjustRightInd w:val="0"/>
        <w:snapToGrid w:val="0"/>
        <w:spacing w:line="46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（四）以故意提供虚假信息等弄虚作假的方式或采取贿赂、利益交换等不正当手段获取科研项目（课题）、科研资金、奖励、荣誉、职务职称等；</w:t>
      </w:r>
    </w:p>
    <w:p>
      <w:pPr>
        <w:keepNext w:val="0"/>
        <w:keepLines w:val="0"/>
        <w:pageBreakBefore w:val="0"/>
        <w:kinsoku/>
        <w:wordWrap/>
        <w:topLinePunct w:val="0"/>
        <w:bidi w:val="0"/>
        <w:adjustRightInd w:val="0"/>
        <w:snapToGrid w:val="0"/>
        <w:spacing w:line="460" w:lineRule="exact"/>
        <w:ind w:firstLine="608" w:firstLineChars="190"/>
        <w:rPr>
          <w:rFonts w:hint="eastAsia" w:ascii="仿宋_GB2312" w:hAnsi="仿宋_GB2312" w:eastAsia="仿宋_GB2312" w:cs="仿宋_GB2312"/>
          <w:color w:val="auto"/>
          <w:spacing w:val="-9"/>
          <w:kern w:val="0"/>
          <w:sz w:val="32"/>
          <w:szCs w:val="32"/>
        </w:rPr>
      </w:pP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spacing w:val="-9"/>
          <w:kern w:val="0"/>
          <w:sz w:val="32"/>
          <w:szCs w:val="32"/>
        </w:rPr>
        <w:t>违反涉及人类生命健康、实验动物保护等科研伦理规范；</w:t>
      </w:r>
    </w:p>
    <w:p>
      <w:pPr>
        <w:keepNext w:val="0"/>
        <w:keepLines w:val="0"/>
        <w:pageBreakBefore w:val="0"/>
        <w:kinsoku/>
        <w:wordWrap/>
        <w:topLinePunct w:val="0"/>
        <w:bidi w:val="0"/>
        <w:adjustRightInd w:val="0"/>
        <w:snapToGrid w:val="0"/>
        <w:spacing w:line="46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（六）违反研究成果署名、论文发表规范；</w:t>
      </w:r>
    </w:p>
    <w:p>
      <w:pPr>
        <w:keepNext w:val="0"/>
        <w:keepLines w:val="0"/>
        <w:pageBreakBefore w:val="0"/>
        <w:kinsoku/>
        <w:wordWrap/>
        <w:topLinePunct w:val="0"/>
        <w:bidi w:val="0"/>
        <w:adjustRightInd w:val="0"/>
        <w:snapToGrid w:val="0"/>
        <w:spacing w:line="46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w:t>
      </w:r>
      <w:r>
        <w:rPr>
          <w:rFonts w:hint="eastAsia" w:ascii="仿宋_GB2312" w:hAnsi="仿宋_GB2312" w:eastAsia="仿宋_GB2312" w:cs="仿宋_GB2312"/>
          <w:color w:val="auto"/>
          <w:kern w:val="0"/>
          <w:sz w:val="32"/>
          <w:szCs w:val="32"/>
          <w:lang w:eastAsia="zh-CN"/>
        </w:rPr>
        <w:t>本课题的</w:t>
      </w:r>
      <w:r>
        <w:rPr>
          <w:rFonts w:hint="eastAsia" w:ascii="仿宋_GB2312" w:hAnsi="仿宋_GB2312" w:eastAsia="仿宋_GB2312" w:cs="仿宋_GB2312"/>
          <w:snapToGrid/>
          <w:color w:val="auto"/>
          <w:kern w:val="0"/>
          <w:sz w:val="32"/>
          <w:szCs w:val="32"/>
          <w:lang w:eastAsia="zh-CN"/>
        </w:rPr>
        <w:t>科研成果具有专用性、知识产权的专属性，不存在“一稿多投”、“以旧顶新”，以及借用项目单位原有研究成果套取、骗取科研项目资金的行为。</w:t>
      </w:r>
    </w:p>
    <w:p>
      <w:pPr>
        <w:keepNext w:val="0"/>
        <w:keepLines w:val="0"/>
        <w:pageBreakBefore w:val="0"/>
        <w:kinsoku/>
        <w:wordWrap/>
        <w:topLinePunct w:val="0"/>
        <w:bidi w:val="0"/>
        <w:adjustRightInd w:val="0"/>
        <w:snapToGrid w:val="0"/>
        <w:spacing w:line="46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（八）</w:t>
      </w:r>
      <w:r>
        <w:rPr>
          <w:rFonts w:hint="eastAsia" w:ascii="仿宋_GB2312" w:hAnsi="仿宋_GB2312" w:eastAsia="仿宋_GB2312" w:cs="仿宋_GB2312"/>
          <w:color w:val="auto"/>
          <w:kern w:val="0"/>
          <w:sz w:val="32"/>
          <w:szCs w:val="32"/>
        </w:rPr>
        <w:t>其他失信行为。</w:t>
      </w:r>
    </w:p>
    <w:p>
      <w:pPr>
        <w:keepNext w:val="0"/>
        <w:keepLines w:val="0"/>
        <w:pageBreakBefore w:val="0"/>
        <w:kinsoku/>
        <w:wordWrap/>
        <w:topLinePunct w:val="0"/>
        <w:bidi w:val="0"/>
        <w:adjustRightInd w:val="0"/>
        <w:snapToGrid w:val="0"/>
        <w:spacing w:line="46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如有违反，本人/本单位愿接受</w:t>
      </w:r>
      <w:r>
        <w:rPr>
          <w:rFonts w:hint="eastAsia" w:ascii="仿宋_GB2312" w:hAnsi="仿宋_GB2312" w:eastAsia="仿宋_GB2312" w:cs="仿宋_GB2312"/>
          <w:color w:val="auto"/>
          <w:kern w:val="0"/>
          <w:sz w:val="32"/>
          <w:szCs w:val="32"/>
          <w:lang w:eastAsia="zh-Hans"/>
        </w:rPr>
        <w:t>广东省农业农村厅</w:t>
      </w:r>
      <w:r>
        <w:rPr>
          <w:rFonts w:hint="eastAsia" w:ascii="仿宋_GB2312" w:hAnsi="仿宋_GB2312" w:eastAsia="仿宋_GB2312" w:cs="仿宋_GB2312"/>
          <w:color w:val="auto"/>
          <w:kern w:val="0"/>
          <w:sz w:val="32"/>
          <w:szCs w:val="32"/>
        </w:rPr>
        <w:t>做出的各项处理决定，包括但不限于停拨或核减资金，追回</w:t>
      </w:r>
      <w:r>
        <w:rPr>
          <w:rFonts w:hint="eastAsia" w:ascii="仿宋_GB2312" w:hAnsi="仿宋_GB2312" w:eastAsia="仿宋_GB2312" w:cs="仿宋_GB2312"/>
          <w:color w:val="auto"/>
          <w:kern w:val="0"/>
          <w:sz w:val="32"/>
          <w:szCs w:val="32"/>
          <w:lang w:eastAsia="zh-Hans"/>
        </w:rPr>
        <w:t>项目（课题）</w:t>
      </w:r>
      <w:r>
        <w:rPr>
          <w:rFonts w:hint="eastAsia" w:ascii="仿宋_GB2312" w:hAnsi="仿宋_GB2312" w:eastAsia="仿宋_GB2312" w:cs="仿宋_GB2312"/>
          <w:color w:val="auto"/>
          <w:kern w:val="0"/>
          <w:sz w:val="32"/>
          <w:szCs w:val="32"/>
        </w:rPr>
        <w:t>资金，取消一定期限</w:t>
      </w:r>
      <w:r>
        <w:rPr>
          <w:rFonts w:hint="eastAsia" w:ascii="仿宋_GB2312" w:hAnsi="仿宋_GB2312" w:eastAsia="仿宋_GB2312" w:cs="仿宋_GB2312"/>
          <w:color w:val="auto"/>
          <w:kern w:val="0"/>
          <w:sz w:val="32"/>
          <w:szCs w:val="32"/>
          <w:lang w:eastAsia="zh-Hans"/>
        </w:rPr>
        <w:t>广东省农业农村厅</w:t>
      </w:r>
      <w:r>
        <w:rPr>
          <w:rFonts w:hint="eastAsia" w:ascii="仿宋_GB2312" w:hAnsi="仿宋_GB2312" w:eastAsia="仿宋_GB2312" w:cs="仿宋_GB2312"/>
          <w:color w:val="auto"/>
          <w:kern w:val="0"/>
          <w:sz w:val="32"/>
          <w:szCs w:val="32"/>
        </w:rPr>
        <w:t>项目申报资格，记入</w:t>
      </w:r>
      <w:r>
        <w:rPr>
          <w:rFonts w:hint="eastAsia" w:ascii="仿宋_GB2312" w:hAnsi="仿宋_GB2312" w:eastAsia="仿宋_GB2312" w:cs="仿宋_GB2312"/>
          <w:color w:val="auto"/>
          <w:kern w:val="0"/>
          <w:sz w:val="32"/>
          <w:szCs w:val="32"/>
          <w:lang w:eastAsia="zh-Hans"/>
        </w:rPr>
        <w:t>广东省农业农村厅</w:t>
      </w:r>
      <w:r>
        <w:rPr>
          <w:rFonts w:hint="eastAsia" w:ascii="仿宋_GB2312" w:hAnsi="仿宋_GB2312" w:eastAsia="仿宋_GB2312" w:cs="仿宋_GB2312"/>
          <w:color w:val="auto"/>
          <w:kern w:val="0"/>
          <w:sz w:val="32"/>
          <w:szCs w:val="32"/>
        </w:rPr>
        <w:t>诚信异常名录等。</w:t>
      </w:r>
    </w:p>
    <w:p>
      <w:pPr>
        <w:adjustRightInd w:val="0"/>
        <w:snapToGrid w:val="0"/>
        <w:spacing w:line="460" w:lineRule="exact"/>
        <w:outlineLvl w:val="9"/>
        <w:rPr>
          <w:rFonts w:hint="eastAsia" w:ascii="仿宋_GB2312" w:hAnsi="仿宋_GB2312" w:eastAsia="仿宋_GB2312" w:cs="仿宋_GB2312"/>
          <w:color w:val="auto"/>
          <w:kern w:val="0"/>
          <w:sz w:val="32"/>
          <w:szCs w:val="32"/>
        </w:rPr>
      </w:pPr>
    </w:p>
    <w:p>
      <w:pPr>
        <w:adjustRightInd w:val="0"/>
        <w:snapToGrid w:val="0"/>
        <w:spacing w:line="460" w:lineRule="exact"/>
        <w:outlineLvl w:val="9"/>
        <w:rPr>
          <w:rFonts w:hint="eastAsia" w:ascii="仿宋_GB2312" w:hAnsi="仿宋_GB2312" w:eastAsia="仿宋_GB2312" w:cs="仿宋_GB2312"/>
          <w:color w:val="auto"/>
          <w:kern w:val="0"/>
          <w:sz w:val="32"/>
          <w:szCs w:val="32"/>
        </w:rPr>
      </w:pPr>
    </w:p>
    <w:p>
      <w:pPr>
        <w:adjustRightInd w:val="0"/>
        <w:snapToGrid w:val="0"/>
        <w:spacing w:line="460" w:lineRule="exact"/>
        <w:outlineLvl w:val="9"/>
        <w:rPr>
          <w:rFonts w:hint="eastAsia" w:ascii="仿宋_GB2312" w:hAnsi="仿宋_GB2312" w:eastAsia="仿宋_GB2312" w:cs="仿宋_GB2312"/>
          <w:color w:val="auto"/>
          <w:kern w:val="0"/>
          <w:sz w:val="32"/>
          <w:szCs w:val="32"/>
        </w:rPr>
      </w:pPr>
    </w:p>
    <w:p>
      <w:pPr>
        <w:keepNext w:val="0"/>
        <w:keepLines w:val="0"/>
        <w:pageBreakBefore w:val="0"/>
        <w:kinsoku/>
        <w:wordWrap/>
        <w:topLinePunct w:val="0"/>
        <w:bidi w:val="0"/>
        <w:adjustRightInd w:val="0"/>
        <w:snapToGrid w:val="0"/>
        <w:spacing w:line="4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申报单位法定代表人或授权代表人（签名）：</w:t>
      </w:r>
    </w:p>
    <w:p>
      <w:pPr>
        <w:keepNext w:val="0"/>
        <w:keepLines w:val="0"/>
        <w:pageBreakBefore w:val="0"/>
        <w:kinsoku/>
        <w:wordWrap/>
        <w:topLinePunct w:val="0"/>
        <w:bidi w:val="0"/>
        <w:adjustRightInd w:val="0"/>
        <w:snapToGrid w:val="0"/>
        <w:spacing w:line="4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负责人（签名）：</w:t>
      </w:r>
    </w:p>
    <w:p>
      <w:pPr>
        <w:keepNext w:val="0"/>
        <w:keepLines w:val="0"/>
        <w:pageBreakBefore w:val="0"/>
        <w:kinsoku/>
        <w:wordWrap/>
        <w:topLinePunct w:val="0"/>
        <w:bidi w:val="0"/>
        <w:adjustRightInd w:val="0"/>
        <w:snapToGrid w:val="0"/>
        <w:spacing w:line="460" w:lineRule="exact"/>
        <w:ind w:firstLine="2880" w:firstLineChars="9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年  月  日</w:t>
      </w:r>
    </w:p>
    <w:p>
      <w:pPr>
        <w:keepNext w:val="0"/>
        <w:keepLines w:val="0"/>
        <w:pageBreakBefore w:val="0"/>
        <w:kinsoku/>
        <w:wordWrap/>
        <w:topLinePunct w:val="0"/>
        <w:bidi w:val="0"/>
        <w:adjustRightInd w:val="0"/>
        <w:snapToGrid w:val="0"/>
        <w:spacing w:line="590" w:lineRule="exact"/>
        <w:jc w:val="center"/>
        <w:rPr>
          <w:rFonts w:hint="eastAsia" w:ascii="方正小标宋简体" w:hAnsi="方正小标宋简体" w:eastAsia="方正小标宋简体" w:cs="方正小标宋简体"/>
          <w:snapToGrid w:val="0"/>
          <w:color w:val="auto"/>
          <w:kern w:val="0"/>
          <w:sz w:val="44"/>
          <w:szCs w:val="44"/>
        </w:rPr>
      </w:pPr>
      <w:r>
        <w:rPr>
          <w:rFonts w:hint="eastAsia" w:ascii="仿宋_GB2312" w:hAnsi="仿宋_GB2312" w:eastAsia="仿宋_GB2312" w:cs="仿宋_GB2312"/>
          <w:color w:val="auto"/>
          <w:kern w:val="0"/>
          <w:sz w:val="32"/>
          <w:szCs w:val="32"/>
        </w:rPr>
        <w:br w:type="page"/>
      </w:r>
      <w:r>
        <w:rPr>
          <w:rFonts w:hint="eastAsia" w:ascii="方正小标宋简体" w:hAnsi="方正小标宋简体" w:eastAsia="方正小标宋简体" w:cs="方正小标宋简体"/>
          <w:snapToGrid w:val="0"/>
          <w:color w:val="auto"/>
          <w:kern w:val="0"/>
          <w:sz w:val="44"/>
          <w:szCs w:val="44"/>
        </w:rPr>
        <w:t>知识产权合规性声明</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本人根据</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（一）提供虚假知识产权申请材料；</w:t>
      </w:r>
    </w:p>
    <w:p>
      <w:pPr>
        <w:keepNext w:val="0"/>
        <w:keepLines w:val="0"/>
        <w:pageBreakBefore w:val="0"/>
        <w:kinsoku/>
        <w:wordWrap/>
        <w:topLinePunct w:val="0"/>
        <w:bidi w:val="0"/>
        <w:adjustRightInd w:val="0"/>
        <w:snapToGrid w:val="0"/>
        <w:spacing w:line="568" w:lineRule="exact"/>
        <w:ind w:firstLine="616" w:firstLineChars="200"/>
        <w:rPr>
          <w:rFonts w:hint="eastAsia" w:ascii="仿宋_GB2312" w:hAnsi="仿宋_GB2312" w:eastAsia="仿宋_GB2312" w:cs="仿宋_GB2312"/>
          <w:snapToGrid w:val="0"/>
          <w:color w:val="auto"/>
          <w:spacing w:val="-6"/>
          <w:kern w:val="0"/>
          <w:sz w:val="32"/>
          <w:szCs w:val="32"/>
        </w:rPr>
      </w:pPr>
      <w:r>
        <w:rPr>
          <w:rFonts w:hint="eastAsia" w:ascii="仿宋_GB2312" w:hAnsi="仿宋_GB2312" w:eastAsia="仿宋_GB2312" w:cs="仿宋_GB2312"/>
          <w:snapToGrid w:val="0"/>
          <w:color w:val="auto"/>
          <w:spacing w:val="-6"/>
          <w:kern w:val="0"/>
          <w:sz w:val="32"/>
          <w:szCs w:val="32"/>
        </w:rPr>
        <w:t>（二）拒不执行生效的知识产权行政处理决定或者司法裁判；</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（三）侵犯他人知识产权构成犯罪；</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（四）有其他侵犯他人知识产权的行为造成重大社会影响。</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（五）项目拟研究的成果与本单位已有或即将产生的项目成果重合，产生知识产权冲突。</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如有违反，本人/本单位愿接受</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做出的各项处理决定，包括但不限于停拨或核减资金，追回</w:t>
      </w:r>
      <w:r>
        <w:rPr>
          <w:rFonts w:hint="eastAsia" w:ascii="仿宋_GB2312" w:hAnsi="仿宋_GB2312" w:eastAsia="仿宋_GB2312" w:cs="仿宋_GB2312"/>
          <w:snapToGrid w:val="0"/>
          <w:color w:val="auto"/>
          <w:kern w:val="0"/>
          <w:sz w:val="32"/>
          <w:szCs w:val="32"/>
          <w:lang w:eastAsia="zh-Hans"/>
        </w:rPr>
        <w:t>项目（课题）</w:t>
      </w:r>
      <w:r>
        <w:rPr>
          <w:rFonts w:hint="eastAsia" w:ascii="仿宋_GB2312" w:hAnsi="仿宋_GB2312" w:eastAsia="仿宋_GB2312" w:cs="仿宋_GB2312"/>
          <w:snapToGrid w:val="0"/>
          <w:color w:val="auto"/>
          <w:kern w:val="0"/>
          <w:sz w:val="32"/>
          <w:szCs w:val="32"/>
        </w:rPr>
        <w:t>资金，取消一定期限</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项目申报资格，记入</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诚信异常名录等。</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p>
    <w:p>
      <w:pPr>
        <w:adjustRightInd w:val="0"/>
        <w:snapToGrid w:val="0"/>
        <w:spacing w:line="568" w:lineRule="exact"/>
        <w:outlineLvl w:val="9"/>
        <w:rPr>
          <w:rFonts w:hint="eastAsia" w:ascii="仿宋_GB2312" w:hAnsi="仿宋_GB2312" w:eastAsia="仿宋_GB2312" w:cs="仿宋_GB2312"/>
          <w:snapToGrid w:val="0"/>
          <w:color w:val="auto"/>
          <w:kern w:val="0"/>
          <w:sz w:val="32"/>
          <w:szCs w:val="32"/>
        </w:rPr>
      </w:pP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申报单位法定代表人或授权代表人（签名）：</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负责人（签名）：</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 xml:space="preserve">           年  月  日</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bCs/>
          <w:snapToGrid w:val="0"/>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kinsoku/>
        <w:wordWrap/>
        <w:topLinePunct w:val="0"/>
        <w:bidi w:val="0"/>
        <w:adjustRightInd w:val="0"/>
        <w:snapToGrid w:val="0"/>
        <w:spacing w:line="568"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一、项目（课题）单位概况</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（一）包含单位性质、隶属关系、相关职能业务范围。</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二）人员状况，包括项目（课题）的负责人及骨干人员情况和职责，从事过的相关研究和承担的同类科研任务、发明专利及获奖其概况，在国内外主要刊物上发表的与本项目（课题）相关的成果情况，人员情况应增加列表说明。</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（三）单位财务收支和资产负债简况</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（申请单位为企业必须填写，申请单位为高校、科研院所等事业单位无需填写此项）。</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（四）单位现有平台、基础设施和配套仪器设备、专业技术水平和组织管理能力等现有条件基础等内容，以及能够满足项目（课题）开展所需条件的说明。</w:t>
      </w:r>
    </w:p>
    <w:p>
      <w:pPr>
        <w:keepNext w:val="0"/>
        <w:keepLines w:val="0"/>
        <w:pageBreakBefore w:val="0"/>
        <w:kinsoku/>
        <w:wordWrap/>
        <w:topLinePunct w:val="0"/>
        <w:bidi w:val="0"/>
        <w:adjustRightInd w:val="0"/>
        <w:snapToGrid w:val="0"/>
        <w:spacing w:line="568" w:lineRule="exact"/>
        <w:ind w:firstLine="0"/>
        <w:jc w:val="center"/>
        <w:rPr>
          <w:rFonts w:hint="eastAsia" w:ascii="方正小标宋简体" w:hAnsi="方正小标宋简体" w:eastAsia="方正小标宋简体" w:cs="方正小标宋简体"/>
          <w:color w:val="auto"/>
          <w:sz w:val="32"/>
          <w:szCs w:val="32"/>
        </w:rPr>
      </w:pPr>
      <w:r>
        <w:rPr>
          <w:rFonts w:hint="eastAsia" w:ascii="仿宋_GB2312" w:hAnsi="仿宋_GB2312" w:eastAsia="仿宋_GB2312" w:cs="仿宋_GB2312"/>
          <w:bCs/>
          <w:color w:val="auto"/>
          <w:kern w:val="0"/>
          <w:sz w:val="32"/>
          <w:szCs w:val="32"/>
        </w:rPr>
        <w:br w:type="page"/>
      </w:r>
      <w:r>
        <w:rPr>
          <w:rFonts w:hint="eastAsia" w:ascii="方正小标宋简体" w:hAnsi="方正小标宋简体" w:eastAsia="方正小标宋简体" w:cs="方正小标宋简体"/>
          <w:b w:val="0"/>
          <w:bCs/>
          <w:color w:val="auto"/>
          <w:sz w:val="44"/>
          <w:szCs w:val="44"/>
        </w:rPr>
        <w:t>项目（课题）牵头承担单位基本情况表</w:t>
      </w:r>
    </w:p>
    <w:p>
      <w:pPr>
        <w:keepNext w:val="0"/>
        <w:keepLines w:val="0"/>
        <w:pageBreakBefore w:val="0"/>
        <w:kinsoku/>
        <w:wordWrap/>
        <w:topLinePunct w:val="0"/>
        <w:autoSpaceDE w:val="0"/>
        <w:autoSpaceDN w:val="0"/>
        <w:bidi w:val="0"/>
        <w:adjustRightInd w:val="0"/>
        <w:snapToGrid w:val="0"/>
        <w:spacing w:line="420" w:lineRule="exact"/>
        <w:ind w:firstLine="376"/>
        <w:rPr>
          <w:rFonts w:ascii="黑体" w:hAnsi="黑体" w:eastAsia="黑体" w:cs="黑体"/>
          <w:b w:val="0"/>
          <w:bCs w:val="0"/>
          <w:color w:val="auto"/>
          <w:sz w:val="20"/>
        </w:rPr>
      </w:pPr>
      <w:r>
        <w:rPr>
          <w:rFonts w:hint="eastAsia" w:ascii="黑体" w:hAnsi="黑体" w:eastAsia="黑体" w:cs="黑体"/>
          <w:b w:val="0"/>
          <w:bCs w:val="0"/>
          <w:color w:val="auto"/>
          <w:sz w:val="20"/>
        </w:rPr>
        <w:t>表A1</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126"/>
        <w:gridCol w:w="1339"/>
        <w:gridCol w:w="816"/>
        <w:gridCol w:w="957"/>
        <w:gridCol w:w="848"/>
        <w:gridCol w:w="308"/>
        <w:gridCol w:w="309"/>
        <w:gridCol w:w="515"/>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blHeader/>
          <w:jc w:val="center"/>
        </w:trPr>
        <w:tc>
          <w:tcPr>
            <w:tcW w:w="9000" w:type="dxa"/>
            <w:gridSpan w:val="10"/>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 xml:space="preserve">填表说明：1.组织机构代码指企事业单位国家标准代码，单位若已三证合一请填写单位社会信用代码,            无组织机构代码的单位填写“000000000”； </w:t>
            </w:r>
          </w:p>
          <w:p>
            <w:pPr>
              <w:autoSpaceDE w:val="0"/>
              <w:autoSpaceDN w:val="0"/>
              <w:adjustRightInd w:val="0"/>
              <w:snapToGrid w:val="0"/>
              <w:spacing w:before="65" w:beforeLines="15" w:line="264" w:lineRule="auto"/>
              <w:ind w:left="1314" w:hanging="1400" w:hangingChars="700"/>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 xml:space="preserve">          2.单位公章名称必须与单位名称一致；</w:t>
            </w:r>
          </w:p>
          <w:p>
            <w:pPr>
              <w:autoSpaceDE w:val="0"/>
              <w:autoSpaceDN w:val="0"/>
              <w:adjustRightInd w:val="0"/>
              <w:snapToGrid w:val="0"/>
              <w:spacing w:before="65" w:beforeLines="15" w:line="264" w:lineRule="auto"/>
              <w:ind w:left="1314" w:hanging="1400" w:hangingChars="70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rPr>
              <w:t xml:space="preserve">          3.单位开户名称应与单位名称一致，如有开户名称不一致等特殊情况，必须提供证明文件。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牵头承担单位</w:t>
            </w: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08" w:type="dxa"/>
            <w:gridSpan w:val="8"/>
            <w:noWrap w:val="0"/>
            <w:vAlign w:val="center"/>
          </w:tcPr>
          <w:p>
            <w:pPr>
              <w:tabs>
                <w:tab w:val="left" w:pos="360"/>
              </w:tabs>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0" w:type="dxa"/>
            <w:gridSpan w:val="4"/>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132"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单位开户名称</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开户银行（全称）</w:t>
            </w:r>
          </w:p>
        </w:tc>
        <w:tc>
          <w:tcPr>
            <w:tcW w:w="2155"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3"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汇入地点</w:t>
            </w:r>
          </w:p>
        </w:tc>
        <w:tc>
          <w:tcPr>
            <w:tcW w:w="2140"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 xml:space="preserve">省   </w:t>
            </w:r>
            <w:r>
              <w:rPr>
                <w:rFonts w:hint="eastAsia" w:ascii="仿宋_GB2312" w:hAnsi="仿宋_GB2312" w:eastAsia="仿宋_GB2312" w:cs="仿宋_GB2312"/>
                <w:b/>
                <w:bCs/>
                <w:color w:val="auto"/>
                <w:sz w:val="20"/>
                <w:lang w:val="en-US" w:eastAsia="zh-CN"/>
              </w:rPr>
              <w:t xml:space="preserve"> </w:t>
            </w:r>
            <w:r>
              <w:rPr>
                <w:rFonts w:hint="eastAsia" w:ascii="仿宋_GB2312" w:hAnsi="仿宋_GB2312" w:eastAsia="仿宋_GB2312" w:cs="仿宋_GB2312"/>
                <w:b/>
                <w:bCs/>
                <w:color w:val="auto"/>
                <w:sz w:val="20"/>
              </w:rPr>
              <w:t xml:space="preserve">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银行账号</w:t>
            </w:r>
          </w:p>
        </w:tc>
        <w:tc>
          <w:tcPr>
            <w:tcW w:w="2155"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3"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银行机构代码</w:t>
            </w:r>
          </w:p>
        </w:tc>
        <w:tc>
          <w:tcPr>
            <w:tcW w:w="2140"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5"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5" w:type="dxa"/>
            <w:gridSpan w:val="2"/>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8" w:type="dxa"/>
            <w:gridSpan w:val="4"/>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2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项目（课题）负责人</w:t>
            </w: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项目（课题）联系人</w:t>
            </w: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blHeader/>
          <w:jc w:val="center"/>
        </w:trPr>
        <w:tc>
          <w:tcPr>
            <w:tcW w:w="466" w:type="dxa"/>
            <w:vMerge w:val="continue"/>
            <w:noWrap w:val="0"/>
            <w:vAlign w:val="center"/>
          </w:tcPr>
          <w:p>
            <w:pPr>
              <w:autoSpaceDE w:val="0"/>
              <w:autoSpaceDN w:val="0"/>
              <w:adjustRightInd w:val="0"/>
              <w:snapToGrid w:val="0"/>
              <w:spacing w:line="276" w:lineRule="auto"/>
              <w:rPr>
                <w:rFonts w:hint="eastAsia" w:ascii="仿宋_GB2312" w:hAnsi="仿宋_GB2312" w:eastAsia="仿宋_GB2312" w:cs="仿宋_GB2312"/>
                <w:color w:val="auto"/>
                <w:sz w:val="20"/>
              </w:rPr>
            </w:pPr>
          </w:p>
        </w:tc>
        <w:tc>
          <w:tcPr>
            <w:tcW w:w="2126" w:type="dxa"/>
            <w:vMerge w:val="continue"/>
            <w:noWrap w:val="0"/>
            <w:vAlign w:val="center"/>
          </w:tcPr>
          <w:p>
            <w:pPr>
              <w:autoSpaceDE w:val="0"/>
              <w:autoSpaceDN w:val="0"/>
              <w:adjustRightInd w:val="0"/>
              <w:snapToGrid w:val="0"/>
              <w:spacing w:line="276" w:lineRule="auto"/>
              <w:rPr>
                <w:rFonts w:hint="eastAsia" w:ascii="仿宋_GB2312" w:hAnsi="仿宋_GB2312" w:eastAsia="仿宋_GB2312" w:cs="仿宋_GB2312"/>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69" w:type="dxa"/>
            <w:gridSpan w:val="7"/>
            <w:noWrap w:val="0"/>
            <w:vAlign w:val="center"/>
          </w:tcPr>
          <w:p>
            <w:pPr>
              <w:autoSpaceDE w:val="0"/>
              <w:autoSpaceDN w:val="0"/>
              <w:adjustRightInd w:val="0"/>
              <w:snapToGrid w:val="0"/>
              <w:spacing w:line="276" w:lineRule="auto"/>
              <w:rPr>
                <w:rFonts w:hint="eastAsia" w:ascii="仿宋_GB2312" w:hAnsi="仿宋_GB2312" w:eastAsia="仿宋_GB2312" w:cs="仿宋_GB2312"/>
                <w:color w:val="auto"/>
                <w:sz w:val="20"/>
              </w:rPr>
            </w:pPr>
          </w:p>
        </w:tc>
      </w:tr>
    </w:tbl>
    <w:p>
      <w:pPr>
        <w:snapToGrid w:val="0"/>
        <w:spacing w:line="300" w:lineRule="auto"/>
        <w:rPr>
          <w:rFonts w:ascii="长城小标宋体" w:hAnsi="长城小标宋体" w:eastAsia="长城小标宋体"/>
          <w:color w:val="auto"/>
          <w:sz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项目（课题）参与单位基本情况表</w:t>
      </w:r>
    </w:p>
    <w:p>
      <w:pPr>
        <w:autoSpaceDE w:val="0"/>
        <w:autoSpaceDN w:val="0"/>
        <w:adjustRightInd w:val="0"/>
        <w:snapToGrid w:val="0"/>
        <w:rPr>
          <w:rFonts w:ascii="黑体" w:hAnsi="黑体" w:eastAsia="黑体" w:cs="黑体"/>
          <w:b w:val="0"/>
          <w:bCs w:val="0"/>
          <w:color w:val="auto"/>
          <w:sz w:val="20"/>
        </w:rPr>
      </w:pPr>
      <w:r>
        <w:rPr>
          <w:rFonts w:hint="eastAsia" w:ascii="黑体" w:hAnsi="黑体" w:eastAsia="黑体" w:cs="黑体"/>
          <w:b w:val="0"/>
          <w:bCs w:val="0"/>
          <w:color w:val="auto"/>
          <w:sz w:val="20"/>
        </w:rPr>
        <w:t>表B1</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blHeader/>
          <w:jc w:val="center"/>
        </w:trPr>
        <w:tc>
          <w:tcPr>
            <w:tcW w:w="9010" w:type="dxa"/>
            <w:gridSpan w:val="9"/>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w:t>
            </w:r>
            <w:r>
              <w:rPr>
                <w:rFonts w:hint="eastAsia" w:ascii="仿宋_GB2312" w:hAnsi="仿宋_GB2312" w:eastAsia="仿宋_GB2312" w:cs="仿宋_GB2312"/>
                <w:color w:val="auto"/>
                <w:sz w:val="20"/>
              </w:rPr>
              <w:t>组织机构代码指企事业单位国家标准代码，</w:t>
            </w:r>
            <w:r>
              <w:rPr>
                <w:rFonts w:hint="eastAsia" w:ascii="仿宋_GB2312" w:hAnsi="仿宋_GB2312" w:eastAsia="仿宋_GB2312" w:cs="仿宋_GB2312"/>
                <w:color w:val="auto"/>
                <w:sz w:val="20"/>
                <w:szCs w:val="20"/>
              </w:rPr>
              <w:t>单位若已三证合一请填写单位社会信用代码，</w:t>
            </w:r>
            <w:r>
              <w:rPr>
                <w:rFonts w:hint="eastAsia" w:ascii="仿宋_GB2312" w:hAnsi="仿宋_GB2312" w:eastAsia="仿宋_GB2312" w:cs="仿宋_GB2312"/>
                <w:color w:val="auto"/>
                <w:sz w:val="20"/>
              </w:rPr>
              <w:t xml:space="preserve">            无组织机构代码的单位填写“000000000”</w:t>
            </w:r>
            <w:r>
              <w:rPr>
                <w:rFonts w:hint="eastAsia" w:ascii="仿宋_GB2312" w:hAnsi="仿宋_GB2312" w:eastAsia="仿宋_GB2312" w:cs="仿宋_GB2312"/>
                <w:color w:val="auto"/>
                <w:sz w:val="20"/>
                <w:szCs w:val="20"/>
              </w:rPr>
              <w:t>；</w:t>
            </w:r>
          </w:p>
          <w:p>
            <w:pPr>
              <w:autoSpaceDE w:val="0"/>
              <w:autoSpaceDN w:val="0"/>
              <w:adjustRightInd w:val="0"/>
              <w:snapToGrid w:val="0"/>
              <w:spacing w:before="65" w:beforeLines="15" w:line="264"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2.单位公章名称必须与单位名称一致。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w:t>
            </w: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12" w:type="dxa"/>
            <w:gridSpan w:val="7"/>
            <w:noWrap w:val="0"/>
            <w:vAlign w:val="center"/>
          </w:tcPr>
          <w:p>
            <w:pPr>
              <w:tabs>
                <w:tab w:val="left" w:pos="360"/>
                <w:tab w:val="left" w:pos="1260"/>
              </w:tabs>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4" w:type="dxa"/>
            <w:gridSpan w:val="4"/>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135"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3"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8"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6" w:type="dxa"/>
            <w:gridSpan w:val="2"/>
            <w:noWrap w:val="0"/>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8" w:type="dxa"/>
            <w:gridSpan w:val="3"/>
            <w:noWrap w:val="0"/>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30"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参与单位负责人</w:t>
            </w: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参与单位联系人</w:t>
            </w: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szCs w:val="20"/>
              </w:rPr>
            </w:pPr>
          </w:p>
        </w:tc>
      </w:tr>
    </w:tbl>
    <w:p>
      <w:pPr>
        <w:autoSpaceDE w:val="0"/>
        <w:autoSpaceDN w:val="0"/>
        <w:adjustRightInd w:val="0"/>
        <w:snapToGrid w:val="0"/>
        <w:spacing w:line="560" w:lineRule="exact"/>
        <w:ind w:firstLine="0"/>
        <w:jc w:val="center"/>
        <w:rPr>
          <w:rFonts w:hint="eastAsia" w:ascii="方正小标宋简体" w:hAnsi="方正小标宋简体" w:eastAsia="方正小标宋简体" w:cs="方正小标宋简体"/>
          <w:color w:val="auto"/>
          <w:sz w:val="32"/>
          <w:szCs w:val="32"/>
        </w:rPr>
      </w:pPr>
      <w:r>
        <w:rPr>
          <w:rFonts w:ascii="宋体" w:hAnsi="宋体"/>
          <w:color w:val="auto"/>
          <w:sz w:val="20"/>
        </w:rPr>
        <w:br w:type="page"/>
      </w:r>
      <w:r>
        <w:rPr>
          <w:rFonts w:hint="eastAsia" w:ascii="方正小标宋简体" w:hAnsi="方正小标宋简体" w:eastAsia="方正小标宋简体" w:cs="方正小标宋简体"/>
          <w:b w:val="0"/>
          <w:bCs w:val="0"/>
          <w:color w:val="auto"/>
          <w:sz w:val="44"/>
          <w:szCs w:val="44"/>
        </w:rPr>
        <w:t>项目（课题）成员基本情况表</w:t>
      </w:r>
    </w:p>
    <w:p>
      <w:pPr>
        <w:autoSpaceDE w:val="0"/>
        <w:autoSpaceDN w:val="0"/>
        <w:adjustRightInd w:val="0"/>
        <w:snapToGrid w:val="0"/>
        <w:spacing w:line="560" w:lineRule="exact"/>
        <w:rPr>
          <w:b w:val="0"/>
          <w:bCs w:val="0"/>
          <w:color w:val="auto"/>
          <w:sz w:val="20"/>
        </w:rPr>
      </w:pPr>
      <w:r>
        <w:rPr>
          <w:rFonts w:hint="eastAsia" w:ascii="黑体" w:hAnsi="黑体" w:eastAsia="黑体" w:cs="黑体"/>
          <w:b w:val="0"/>
          <w:bCs w:val="0"/>
          <w:color w:val="auto"/>
          <w:sz w:val="20"/>
        </w:rPr>
        <w:t>表B2</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项目（课题）编号：</w:t>
      </w:r>
      <w:r>
        <w:rPr>
          <w:rFonts w:hint="eastAsia" w:ascii="仿宋_GB2312" w:hAnsi="仿宋_GB2312" w:eastAsia="仿宋_GB2312" w:cs="仿宋_GB2312"/>
          <w:b w:val="0"/>
          <w:bCs w:val="0"/>
          <w:color w:val="auto"/>
          <w:sz w:val="20"/>
        </w:rPr>
        <w:tab/>
      </w:r>
      <w:r>
        <w:rPr>
          <w:rFonts w:hint="eastAsia" w:ascii="仿宋_GB2312" w:hAnsi="仿宋_GB2312" w:eastAsia="仿宋_GB2312" w:cs="仿宋_GB2312"/>
          <w:b w:val="0"/>
          <w:bCs w:val="0"/>
          <w:color w:val="auto"/>
          <w:sz w:val="20"/>
        </w:rPr>
        <w:tab/>
      </w:r>
      <w:r>
        <w:rPr>
          <w:rFonts w:hint="eastAsia" w:ascii="仿宋_GB2312" w:hAnsi="仿宋_GB2312" w:eastAsia="仿宋_GB2312" w:cs="仿宋_GB2312"/>
          <w:b w:val="0"/>
          <w:bCs w:val="0"/>
          <w:color w:val="auto"/>
          <w:sz w:val="20"/>
        </w:rPr>
        <w:t xml:space="preserve">   　 　          项目（课题）名称： </w:t>
      </w:r>
    </w:p>
    <w:tbl>
      <w:tblPr>
        <w:tblStyle w:val="7"/>
        <w:tblW w:w="0" w:type="auto"/>
        <w:jc w:val="center"/>
        <w:tblLayout w:type="fixed"/>
        <w:tblCellMar>
          <w:top w:w="0" w:type="dxa"/>
          <w:left w:w="0" w:type="dxa"/>
          <w:bottom w:w="0" w:type="dxa"/>
          <w:right w:w="0" w:type="dxa"/>
        </w:tblCellMar>
      </w:tblPr>
      <w:tblGrid>
        <w:gridCol w:w="366"/>
        <w:gridCol w:w="563"/>
        <w:gridCol w:w="1565"/>
        <w:gridCol w:w="4189"/>
        <w:gridCol w:w="931"/>
        <w:gridCol w:w="980"/>
        <w:gridCol w:w="550"/>
      </w:tblGrid>
      <w:tr>
        <w:tblPrEx>
          <w:tblCellMar>
            <w:top w:w="0" w:type="dxa"/>
            <w:left w:w="0" w:type="dxa"/>
            <w:bottom w:w="0" w:type="dxa"/>
            <w:right w:w="0" w:type="dxa"/>
          </w:tblCellMar>
        </w:tblPrEx>
        <w:trPr>
          <w:cantSplit/>
          <w:trHeight w:val="1128" w:hRule="atLeast"/>
          <w:jc w:val="center"/>
        </w:trPr>
        <w:tc>
          <w:tcPr>
            <w:tcW w:w="91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adjustRightInd w:val="0"/>
              <w:snapToGrid w:val="0"/>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 xml:space="preserve">填表说明：1.人员分类：负责人、骨干、其他人员； </w:t>
            </w:r>
          </w:p>
          <w:p>
            <w:pPr>
              <w:autoSpaceDE w:val="0"/>
              <w:autoSpaceDN w:val="0"/>
              <w:adjustRightInd w:val="0"/>
              <w:snapToGrid w:val="0"/>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 xml:space="preserve">          2.职称分类：正高级、副高级、中级、初级、其他；</w:t>
            </w:r>
          </w:p>
          <w:p>
            <w:pPr>
              <w:autoSpaceDE w:val="0"/>
              <w:autoSpaceDN w:val="0"/>
              <w:adjustRightInd w:val="0"/>
              <w:snapToGrid w:val="0"/>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 xml:space="preserve">          3.固定人员需填写人员明细。</w:t>
            </w:r>
          </w:p>
        </w:tc>
      </w:tr>
      <w:tr>
        <w:tblPrEx>
          <w:tblCellMar>
            <w:top w:w="0" w:type="dxa"/>
            <w:left w:w="0" w:type="dxa"/>
            <w:bottom w:w="0" w:type="dxa"/>
            <w:right w:w="0" w:type="dxa"/>
          </w:tblCellMar>
        </w:tblPrEx>
        <w:trPr>
          <w:cantSplit/>
          <w:trHeight w:val="1450" w:hRule="atLeast"/>
          <w:jc w:val="center"/>
        </w:trPr>
        <w:tc>
          <w:tcPr>
            <w:tcW w:w="3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序号</w:t>
            </w:r>
          </w:p>
        </w:tc>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姓名</w:t>
            </w:r>
          </w:p>
        </w:tc>
        <w:tc>
          <w:tcPr>
            <w:tcW w:w="156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身份证号码</w:t>
            </w:r>
          </w:p>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（士官证、护照）</w:t>
            </w:r>
          </w:p>
        </w:tc>
        <w:tc>
          <w:tcPr>
            <w:tcW w:w="41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工作单位</w:t>
            </w:r>
          </w:p>
          <w:p>
            <w:pPr>
              <w:adjustRightInd w:val="0"/>
              <w:snapToGrid w:val="0"/>
              <w:jc w:val="center"/>
              <w:rPr>
                <w:rFonts w:hint="eastAsia" w:ascii="仿宋_GB2312" w:hAnsi="仿宋_GB2312" w:eastAsia="仿宋_GB2312" w:cs="仿宋_GB2312"/>
                <w:color w:val="auto"/>
                <w:sz w:val="20"/>
                <w:szCs w:val="20"/>
              </w:rPr>
            </w:pPr>
          </w:p>
        </w:tc>
        <w:tc>
          <w:tcPr>
            <w:tcW w:w="9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技术职称</w:t>
            </w:r>
          </w:p>
          <w:p>
            <w:pPr>
              <w:adjustRightInd w:val="0"/>
              <w:snapToGrid w:val="0"/>
              <w:jc w:val="center"/>
              <w:rPr>
                <w:rFonts w:hint="eastAsia" w:ascii="仿宋_GB2312" w:hAnsi="仿宋_GB2312" w:eastAsia="仿宋_GB2312" w:cs="仿宋_GB2312"/>
                <w:color w:val="auto"/>
                <w:sz w:val="20"/>
                <w:szCs w:val="20"/>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投入本项目</w:t>
            </w:r>
            <w:r>
              <w:rPr>
                <w:rFonts w:hint="eastAsia" w:ascii="仿宋_GB2312" w:hAnsi="仿宋_GB2312" w:eastAsia="仿宋_GB2312" w:cs="仿宋_GB2312"/>
                <w:color w:val="auto"/>
                <w:sz w:val="20"/>
              </w:rPr>
              <w:t>（课题）</w:t>
            </w:r>
            <w:r>
              <w:rPr>
                <w:rFonts w:hint="eastAsia" w:ascii="仿宋_GB2312" w:hAnsi="仿宋_GB2312" w:eastAsia="仿宋_GB2312" w:cs="仿宋_GB2312"/>
                <w:color w:val="auto"/>
                <w:sz w:val="20"/>
                <w:szCs w:val="20"/>
              </w:rPr>
              <w:t>的全时工作时间</w:t>
            </w:r>
          </w:p>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（人月）</w:t>
            </w:r>
          </w:p>
        </w:tc>
        <w:tc>
          <w:tcPr>
            <w:tcW w:w="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人员</w:t>
            </w:r>
          </w:p>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分类</w:t>
            </w:r>
          </w:p>
        </w:tc>
      </w:tr>
      <w:tr>
        <w:tblPrEx>
          <w:tblCellMar>
            <w:top w:w="0" w:type="dxa"/>
            <w:left w:w="0" w:type="dxa"/>
            <w:bottom w:w="0" w:type="dxa"/>
            <w:right w:w="0" w:type="dxa"/>
          </w:tblCellMar>
        </w:tblPrEx>
        <w:trPr>
          <w:cantSplit/>
          <w:trHeight w:val="397" w:hRule="atLeast"/>
          <w:jc w:val="center"/>
        </w:trPr>
        <w:tc>
          <w:tcPr>
            <w:tcW w:w="36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固定人员合计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流动人员或临时聘用人员合计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累计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numPr>
          <w:ilvl w:val="2"/>
          <w:numId w:val="0"/>
        </w:numPr>
        <w:rPr>
          <w:color w:val="auto"/>
        </w:rPr>
      </w:pPr>
    </w:p>
    <w:p>
      <w:pPr>
        <w:rPr>
          <w:color w:val="auto"/>
        </w:rPr>
      </w:pPr>
    </w:p>
    <w:p>
      <w:pPr>
        <w:adjustRightInd w:val="0"/>
        <w:snapToGrid w:val="0"/>
        <w:spacing w:line="590" w:lineRule="exact"/>
        <w:rPr>
          <w:rFonts w:ascii="黑体" w:hAnsi="黑体" w:eastAsia="黑体" w:cs="黑体"/>
          <w:bCs/>
          <w:color w:val="auto"/>
          <w:kern w:val="0"/>
          <w:sz w:val="32"/>
          <w:szCs w:val="32"/>
        </w:rPr>
      </w:pPr>
    </w:p>
    <w:p>
      <w:pPr>
        <w:adjustRightInd w:val="0"/>
        <w:snapToGrid w:val="0"/>
        <w:spacing w:line="590" w:lineRule="exact"/>
        <w:ind w:firstLine="640" w:firstLineChars="200"/>
        <w:rPr>
          <w:rFonts w:ascii="黑体" w:hAnsi="黑体" w:eastAsia="黑体" w:cs="黑体"/>
          <w:bCs/>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二、项目（课题）的立项必要性分析</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简要介绍研究/推广示范的背景意义、国内外相关的情况；预期解决的重大问题；概述项目（课题）与广东省农业领域相关规划级战略、学科发展的相关性；所面向的广东省经济社会发展需求；预期解决的重大或关键科学问题）</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（技术推广示范类项目介绍技术特点，如已经推广示范，需要介绍推广示范情况）</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三、项目（课题）内容</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w:t>
      </w:r>
      <w:r>
        <w:rPr>
          <w:rFonts w:hint="eastAsia" w:ascii="仿宋_GB2312" w:hAnsi="仿宋_GB2312" w:eastAsia="仿宋_GB2312" w:cs="仿宋_GB2312"/>
          <w:i w:val="0"/>
          <w:iCs w:val="0"/>
          <w:snapToGrid w:val="0"/>
          <w:color w:val="auto"/>
          <w:kern w:val="0"/>
          <w:sz w:val="32"/>
          <w:szCs w:val="32"/>
          <w:lang w:eastAsia="zh-Hans"/>
        </w:rPr>
        <w:t>分别按项目（课题）牵头承担单位和项目（课题）参与单位</w:t>
      </w:r>
      <w:r>
        <w:rPr>
          <w:rFonts w:hint="eastAsia" w:ascii="仿宋_GB2312" w:hAnsi="仿宋_GB2312" w:eastAsia="仿宋_GB2312" w:cs="仿宋_GB2312"/>
          <w:i w:val="0"/>
          <w:iCs w:val="0"/>
          <w:snapToGrid w:val="0"/>
          <w:color w:val="auto"/>
          <w:kern w:val="0"/>
          <w:sz w:val="32"/>
          <w:szCs w:val="32"/>
        </w:rPr>
        <w:t>详述项目（课题）计划开展的研究开发内容或推广内容，其中推广示范项目应对其核心技术及其配套技术进行重点描述，明确技术要点。）</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（一）关联关系说明</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（应如实主动说明项目（课题）承担单位之间有无关联关系，或项目（课题）负责人与参与单位之间有无关联关系。格式自拟。）</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（二）项目（课题）牵头承担单位</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.单位名称：</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项目（课题）负责人：</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（三）项目（课题）参与单位</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1.单位名称：</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四、项目（课题）立项的目标（绩效目标）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（简要介绍项目（课题）的预计实现的整体目标，并对目标进行必要的分解，明确具体的目标和目标的考核指标，并提出明确的考核指标值；对预计产生的绩效效益逐项进行说明）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（一）总体目标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（二）总体考核指标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（三）各任务目标及考核指标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（技术推广示范项目详述推广示范的范围、受益对象和受益程度，重点对推广示范过程中节约成本、提升品质、增加效益、保护耕地与生态环境进行阐述）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五、项目（课题）技术方案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（简要介绍项目（课题）的技术方案，并按照任务的分解方式，对每个任务的技术路线进行说明）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（一）技术路线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1.技术方案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2.主要技术指标和参数分析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3.可行性分析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4.优点和积极效果分析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5.所要解决的关键问题分析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（二）主要创新点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1.创新的主要性质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（包含首创性、价值性、实效性、系统性等）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2.创新的类型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（包含原始创新、自主创新、合作创新等）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3.创新的价值</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（三）知识产权和技术标准分析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rPr>
        <w:t>1</w:t>
      </w:r>
      <w:r>
        <w:rPr>
          <w:rFonts w:hint="eastAsia" w:ascii="仿宋_GB2312" w:hAnsi="仿宋_GB2312" w:eastAsia="仿宋_GB2312" w:cs="仿宋_GB2312"/>
          <w:snapToGrid w:val="0"/>
          <w:color w:val="auto"/>
          <w:kern w:val="0"/>
          <w:sz w:val="32"/>
          <w:szCs w:val="32"/>
          <w:lang w:eastAsia="zh-Hans"/>
        </w:rPr>
        <w:t>.知识产权分析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lang w:eastAsia="zh-Hans"/>
        </w:rPr>
        <w:t>（1）知识产权专利布局分析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lang w:eastAsia="zh-Hans"/>
        </w:rPr>
        <w:t>（2）现有知识产权侵权与创新性分析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rPr>
        <w:t>（3）</w:t>
      </w:r>
      <w:r>
        <w:rPr>
          <w:rFonts w:hint="eastAsia" w:ascii="仿宋_GB2312" w:hAnsi="仿宋_GB2312" w:eastAsia="仿宋_GB2312" w:cs="仿宋_GB2312"/>
          <w:snapToGrid w:val="0"/>
          <w:color w:val="auto"/>
          <w:kern w:val="0"/>
          <w:sz w:val="32"/>
          <w:szCs w:val="32"/>
          <w:lang w:eastAsia="zh-Hans"/>
        </w:rPr>
        <w:t>项目（课题）实施许可分析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（主要分析项目（课题）形成的知识产权价值和实施许可可能性和方式等。）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w:t>
      </w:r>
      <w:r>
        <w:rPr>
          <w:rFonts w:hint="eastAsia" w:ascii="仿宋_GB2312" w:hAnsi="仿宋_GB2312" w:eastAsia="仿宋_GB2312" w:cs="仿宋_GB2312"/>
          <w:snapToGrid w:val="0"/>
          <w:color w:val="auto"/>
          <w:kern w:val="0"/>
          <w:sz w:val="32"/>
          <w:szCs w:val="32"/>
          <w:lang w:eastAsia="zh-Hans"/>
        </w:rPr>
        <w:t>.技术标准分析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（从知识产权与技术标准的推动关系分析，制定技术标准）。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w:t>
      </w:r>
      <w:r>
        <w:rPr>
          <w:rFonts w:hint="eastAsia" w:ascii="楷体_GB2312" w:hAnsi="楷体_GB2312" w:eastAsia="楷体_GB2312" w:cs="楷体_GB2312"/>
          <w:i w:val="0"/>
          <w:iCs w:val="0"/>
          <w:snapToGrid w:val="0"/>
          <w:color w:val="auto"/>
          <w:kern w:val="0"/>
          <w:sz w:val="32"/>
          <w:szCs w:val="32"/>
          <w:lang w:val="en-US" w:eastAsia="zh-Hans"/>
        </w:rPr>
        <w:t>四</w:t>
      </w:r>
      <w:r>
        <w:rPr>
          <w:rFonts w:hint="eastAsia" w:ascii="楷体_GB2312" w:hAnsi="楷体_GB2312" w:eastAsia="楷体_GB2312" w:cs="楷体_GB2312"/>
          <w:i w:val="0"/>
          <w:iCs w:val="0"/>
          <w:snapToGrid w:val="0"/>
          <w:color w:val="auto"/>
          <w:kern w:val="0"/>
          <w:sz w:val="32"/>
          <w:szCs w:val="32"/>
          <w:lang w:eastAsia="zh-Hans"/>
        </w:rPr>
        <w:t>）预期的技术成果应用和价值</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技术成果的形式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技术成果的预期价值（成果转移转化）</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技术应用前景及潜在交易市场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六、基础条件和优势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（一）承担单位团队基本情况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（与课题相关的实力和基础、以往业绩等）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（二）承担单位与同类机构的比较分析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（完成预期目标的技术、人才、机制、设施设备优势等）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（三）负责人及主要骨干人员的情况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（从事过的主要相关研究及所负责任和作用；相关研究和产业化成果、发明专利和获奖情况，在国内外主要刊物上发表的于本项目（课题）相关的研究成果情况）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lang w:val="en-US" w:eastAsia="zh-CN"/>
        </w:rPr>
        <w:t>七</w:t>
      </w:r>
      <w:r>
        <w:rPr>
          <w:rFonts w:hint="eastAsia" w:ascii="黑体" w:hAnsi="黑体" w:eastAsia="黑体" w:cs="黑体"/>
          <w:bCs/>
          <w:snapToGrid w:val="0"/>
          <w:color w:val="auto"/>
          <w:kern w:val="0"/>
          <w:sz w:val="32"/>
          <w:szCs w:val="32"/>
        </w:rPr>
        <w:t>、组织方式和管理机制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（组织方式和机制、产学研结合、创新人才队伍的凝聚和培养等）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lang w:val="en-US" w:eastAsia="zh-CN"/>
        </w:rPr>
      </w:pPr>
      <w:r>
        <w:rPr>
          <w:rFonts w:hint="eastAsia" w:ascii="黑体" w:hAnsi="黑体" w:eastAsia="黑体" w:cs="黑体"/>
          <w:bCs/>
          <w:snapToGrid w:val="0"/>
          <w:color w:val="auto"/>
          <w:kern w:val="0"/>
          <w:sz w:val="32"/>
          <w:szCs w:val="32"/>
          <w:lang w:val="en-US" w:eastAsia="zh-CN"/>
        </w:rPr>
        <w:t>八、项目（课题）进度安排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（对项目（课题）的整体进度进行明确，对项目（课题）的进度进行必要的细化，明确每个阶段需完成的任务及目标）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lang w:val="en-US" w:eastAsia="zh-CN"/>
        </w:rPr>
      </w:pPr>
      <w:r>
        <w:rPr>
          <w:rFonts w:hint="eastAsia" w:ascii="黑体" w:hAnsi="黑体" w:eastAsia="黑体" w:cs="黑体"/>
          <w:bCs/>
          <w:snapToGrid w:val="0"/>
          <w:color w:val="auto"/>
          <w:kern w:val="0"/>
          <w:sz w:val="32"/>
          <w:szCs w:val="32"/>
          <w:lang w:val="en-US" w:eastAsia="zh-CN"/>
        </w:rPr>
        <w:t>九、</w:t>
      </w:r>
      <w:r>
        <w:rPr>
          <w:rFonts w:hint="eastAsia" w:ascii="黑体" w:hAnsi="黑体" w:eastAsia="黑体" w:cs="黑体"/>
          <w:bCs/>
          <w:snapToGrid w:val="0"/>
          <w:color w:val="auto"/>
          <w:kern w:val="0"/>
          <w:sz w:val="32"/>
          <w:szCs w:val="32"/>
          <w:lang w:val="en-US" w:eastAsia="zh-Hans"/>
        </w:rPr>
        <w:t>项目（课题）</w:t>
      </w:r>
      <w:r>
        <w:rPr>
          <w:rFonts w:hint="eastAsia" w:ascii="黑体" w:hAnsi="黑体" w:eastAsia="黑体" w:cs="黑体"/>
          <w:bCs/>
          <w:snapToGrid w:val="0"/>
          <w:color w:val="auto"/>
          <w:kern w:val="0"/>
          <w:sz w:val="32"/>
          <w:szCs w:val="32"/>
          <w:lang w:val="en-US" w:eastAsia="zh-CN"/>
        </w:rPr>
        <w:t>预算</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表B3：项目（课题）预算汇总表；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表B4-19：支出科目预算明细表；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表B20：项目（课题）承担单位资金分配预算明细表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（项目（课题）研究中如包含推广示范工作内容，推广示范工作预算需单独披露。项目（课题）整体为推广示范任务，则全部记入推广示范资金）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p>
    <w:p>
      <w:pPr>
        <w:autoSpaceDE/>
        <w:autoSpaceDN/>
        <w:adjustRightInd w:val="0"/>
        <w:snapToGrid w:val="0"/>
        <w:spacing w:line="590" w:lineRule="exact"/>
        <w:ind w:firstLine="640" w:firstLineChars="200"/>
        <w:jc w:val="both"/>
        <w:rPr>
          <w:rFonts w:hint="eastAsia" w:ascii="仿宋_GB2312" w:hAnsi="仿宋_GB2312" w:eastAsia="仿宋_GB2312" w:cs="仿宋_GB2312"/>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项目（课题）预算汇总表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snapToGrid w:val="0"/>
          <w:color w:val="auto"/>
          <w:kern w:val="0"/>
          <w:sz w:val="44"/>
          <w:szCs w:val="44"/>
        </w:rPr>
      </w:pPr>
    </w:p>
    <w:p>
      <w:pPr>
        <w:autoSpaceDE w:val="0"/>
        <w:autoSpaceDN w:val="0"/>
        <w:adjustRightInd w:val="0"/>
        <w:snapToGrid w:val="0"/>
        <w:spacing w:line="560" w:lineRule="exact"/>
        <w:jc w:val="right"/>
        <w:rPr>
          <w:rFonts w:hint="eastAsia" w:ascii="黑体" w:hAnsi="黑体" w:eastAsia="黑体" w:cs="黑体"/>
          <w:b w:val="0"/>
          <w:bCs w:val="0"/>
          <w:snapToGrid w:val="0"/>
          <w:color w:val="auto"/>
          <w:kern w:val="0"/>
          <w:sz w:val="20"/>
        </w:rPr>
      </w:pPr>
      <w:r>
        <w:rPr>
          <w:rFonts w:hint="eastAsia" w:ascii="黑体" w:hAnsi="黑体" w:eastAsia="黑体" w:cs="黑体"/>
          <w:b w:val="0"/>
          <w:bCs w:val="0"/>
          <w:snapToGrid w:val="0"/>
          <w:color w:val="auto"/>
          <w:kern w:val="0"/>
          <w:sz w:val="20"/>
        </w:rPr>
        <w:t xml:space="preserve">表B3    </w:t>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 xml:space="preserve">                                                   </w:t>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 xml:space="preserve"> </w:t>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 xml:space="preserve"> 　　                                   </w:t>
      </w:r>
      <w:r>
        <w:rPr>
          <w:rFonts w:hint="eastAsia" w:ascii="仿宋_GB2312" w:hAnsi="仿宋_GB2312" w:eastAsia="仿宋_GB2312" w:cs="仿宋_GB2312"/>
          <w:b w:val="0"/>
          <w:bCs w:val="0"/>
          <w:snapToGrid w:val="0"/>
          <w:color w:val="auto"/>
          <w:kern w:val="0"/>
          <w:sz w:val="20"/>
        </w:rPr>
        <w:t xml:space="preserve">    金额单位：万元</w:t>
      </w:r>
    </w:p>
    <w:tbl>
      <w:tblPr>
        <w:tblStyle w:val="7"/>
        <w:tblW w:w="13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6"/>
        <w:gridCol w:w="3605"/>
        <w:gridCol w:w="1185"/>
        <w:gridCol w:w="1875"/>
        <w:gridCol w:w="1315"/>
        <w:gridCol w:w="1940"/>
        <w:gridCol w:w="1446"/>
        <w:gridCol w:w="1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restart"/>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605" w:type="dxa"/>
            <w:vMerge w:val="restart"/>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预算科目名称</w:t>
            </w:r>
          </w:p>
        </w:tc>
        <w:tc>
          <w:tcPr>
            <w:tcW w:w="3060" w:type="dxa"/>
            <w:gridSpan w:val="2"/>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3255" w:type="dxa"/>
            <w:gridSpan w:val="2"/>
            <w:tcBorders>
              <w:lef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3248" w:type="dxa"/>
            <w:gridSpan w:val="2"/>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continue"/>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3605" w:type="dxa"/>
            <w:vMerge w:val="continue"/>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一、资金支出</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（一）直接费用</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1.设备费</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2.材料费</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3.测试化验加工费</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4.燃料动力费</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5.出版/文献/信息传播/知识产权事务费</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6.会议/差旅/国际合作交流费</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7.培训费</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8.劳务费</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1</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10.专家咨询费</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2</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r>
              <w:rPr>
                <w:rFonts w:hint="eastAsia" w:ascii="仿宋_GB2312" w:hAnsi="仿宋_GB2312" w:eastAsia="仿宋_GB2312" w:cs="仿宋_GB2312"/>
                <w:color w:val="auto"/>
                <w:sz w:val="20"/>
                <w:szCs w:val="20"/>
                <w:lang w:eastAsia="zh-Hans"/>
              </w:rPr>
              <w:t>.基本建设费</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3</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Hans"/>
              </w:rPr>
              <w:t>房屋建筑物构建</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4</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eastAsia="zh-Hans"/>
              </w:rPr>
              <w:t>专用设备购置</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5</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r>
              <w:rPr>
                <w:rFonts w:hint="eastAsia" w:ascii="仿宋_GB2312" w:hAnsi="仿宋_GB2312" w:eastAsia="仿宋_GB2312" w:cs="仿宋_GB2312"/>
                <w:color w:val="auto"/>
                <w:sz w:val="20"/>
                <w:szCs w:val="20"/>
                <w:lang w:eastAsia="zh-Hans"/>
              </w:rPr>
              <w:t>基础设施建设</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6</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r>
              <w:rPr>
                <w:rFonts w:hint="eastAsia" w:ascii="仿宋_GB2312" w:hAnsi="仿宋_GB2312" w:eastAsia="仿宋_GB2312" w:cs="仿宋_GB2312"/>
                <w:color w:val="auto"/>
                <w:sz w:val="20"/>
                <w:szCs w:val="20"/>
                <w:lang w:eastAsia="zh-Hans"/>
              </w:rPr>
              <w:t>大型修缮</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7</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r>
              <w:rPr>
                <w:rFonts w:hint="eastAsia" w:ascii="仿宋_GB2312" w:hAnsi="仿宋_GB2312" w:eastAsia="仿宋_GB2312" w:cs="仿宋_GB2312"/>
                <w:color w:val="auto"/>
                <w:sz w:val="20"/>
                <w:szCs w:val="20"/>
                <w:lang w:eastAsia="zh-Hans"/>
              </w:rPr>
              <w:t>信息网络建设</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8</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r>
              <w:rPr>
                <w:rFonts w:hint="eastAsia" w:ascii="仿宋_GB2312" w:hAnsi="仿宋_GB2312" w:eastAsia="仿宋_GB2312" w:cs="仿宋_GB2312"/>
                <w:color w:val="auto"/>
                <w:sz w:val="20"/>
                <w:szCs w:val="20"/>
                <w:lang w:eastAsia="zh-Hans"/>
              </w:rPr>
              <w:t>其他基本建设支出</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19</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12.其他</w:t>
            </w:r>
            <w:r>
              <w:rPr>
                <w:rFonts w:hint="eastAsia" w:ascii="仿宋_GB2312" w:hAnsi="仿宋_GB2312" w:eastAsia="仿宋_GB2312" w:cs="仿宋_GB2312"/>
                <w:color w:val="auto"/>
                <w:sz w:val="20"/>
                <w:szCs w:val="20"/>
                <w:lang w:eastAsia="zh-Hans"/>
              </w:rPr>
              <w:t>费用</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0</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（二）间接费用</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1</w:t>
            </w:r>
          </w:p>
        </w:tc>
        <w:tc>
          <w:tcPr>
            <w:tcW w:w="13168" w:type="dxa"/>
            <w:gridSpan w:val="7"/>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二、项目（课题）资金来源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2</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（一）省级财政专项资金</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3</w:t>
            </w:r>
          </w:p>
        </w:tc>
        <w:tc>
          <w:tcPr>
            <w:tcW w:w="3605"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（二）其他渠道资金</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4</w:t>
            </w:r>
          </w:p>
        </w:tc>
        <w:tc>
          <w:tcPr>
            <w:tcW w:w="3605" w:type="dxa"/>
            <w:noWrap w:val="0"/>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1.单位自筹资金</w:t>
            </w:r>
          </w:p>
        </w:tc>
        <w:tc>
          <w:tcPr>
            <w:tcW w:w="118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tcBorders>
              <w:bottom w:val="single" w:color="auto" w:sz="6"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5</w:t>
            </w:r>
          </w:p>
        </w:tc>
        <w:tc>
          <w:tcPr>
            <w:tcW w:w="3605" w:type="dxa"/>
            <w:tcBorders>
              <w:bottom w:val="single" w:color="auto" w:sz="6"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2.其他资金</w:t>
            </w:r>
          </w:p>
        </w:tc>
        <w:tc>
          <w:tcPr>
            <w:tcW w:w="1185"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tcBorders>
              <w:bottom w:val="single" w:color="auto" w:sz="6"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bl>
    <w:p>
      <w:pPr>
        <w:keepNext w:val="0"/>
        <w:keepLines w:val="0"/>
        <w:pageBreakBefore w:val="0"/>
        <w:widowControl w:val="0"/>
        <w:kinsoku/>
        <w:wordWrap/>
        <w:overflowPunct/>
        <w:topLinePunct/>
        <w:bidi w:val="0"/>
        <w:adjustRightInd w:val="0"/>
        <w:snapToGrid w:val="0"/>
        <w:spacing w:line="240" w:lineRule="auto"/>
        <w:ind w:firstLine="360" w:firstLineChars="200"/>
        <w:textAlignment w:val="auto"/>
        <w:rPr>
          <w:rFonts w:hint="eastAsia" w:ascii="仿宋_GB2312" w:hAnsi="仿宋_GB2312" w:eastAsia="仿宋_GB2312" w:cs="仿宋_GB2312"/>
          <w:color w:val="auto"/>
          <w:sz w:val="18"/>
        </w:rPr>
      </w:pPr>
    </w:p>
    <w:p>
      <w:pPr>
        <w:keepNext w:val="0"/>
        <w:keepLines w:val="0"/>
        <w:pageBreakBefore w:val="0"/>
        <w:widowControl w:val="0"/>
        <w:kinsoku/>
        <w:wordWrap/>
        <w:overflowPunct/>
        <w:topLinePunct/>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rPr>
      </w:pPr>
      <w:r>
        <w:rPr>
          <w:rFonts w:hint="eastAsia" w:ascii="黑体" w:hAnsi="黑体" w:eastAsia="黑体" w:cs="黑体"/>
          <w:color w:val="auto"/>
          <w:sz w:val="21"/>
          <w:szCs w:val="21"/>
        </w:rPr>
        <w:t>注：</w:t>
      </w:r>
      <w:r>
        <w:rPr>
          <w:rFonts w:hint="eastAsia" w:ascii="仿宋_GB2312" w:hAnsi="仿宋_GB2312" w:eastAsia="仿宋_GB2312" w:cs="仿宋_GB2312"/>
          <w:color w:val="auto"/>
          <w:sz w:val="21"/>
          <w:szCs w:val="21"/>
        </w:rPr>
        <w:t>1、请提供表B4-B19；</w:t>
      </w:r>
    </w:p>
    <w:p>
      <w:pPr>
        <w:keepNext w:val="0"/>
        <w:keepLines w:val="0"/>
        <w:pageBreakBefore w:val="0"/>
        <w:widowControl w:val="0"/>
        <w:kinsoku/>
        <w:wordWrap/>
        <w:overflowPunct/>
        <w:topLinePunct/>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0" w:lineRule="exact"/>
        <w:ind w:left="0" w:firstLine="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设备费——购置/试制设备预算明细表</w:t>
      </w:r>
    </w:p>
    <w:p>
      <w:pPr>
        <w:autoSpaceDE w:val="0"/>
        <w:autoSpaceDN w:val="0"/>
        <w:adjustRightInd w:val="0"/>
        <w:snapToGrid w:val="0"/>
        <w:spacing w:line="400" w:lineRule="exact"/>
        <w:ind w:left="0" w:firstLine="0"/>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0" w:lineRule="exact"/>
        <w:ind w:firstLine="200" w:firstLineChars="100"/>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 xml:space="preserve">表B4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仿宋_GB2312" w:hAnsi="仿宋_GB2312" w:eastAsia="仿宋_GB2312" w:cs="仿宋_GB2312"/>
          <w:b w:val="0"/>
          <w:bCs w:val="0"/>
          <w:color w:val="auto"/>
          <w:sz w:val="20"/>
          <w:lang w:val="en-US" w:eastAsia="zh-CN"/>
        </w:rPr>
        <w:t xml:space="preserve">    </w:t>
      </w:r>
      <w:r>
        <w:rPr>
          <w:rFonts w:hint="eastAsia" w:ascii="仿宋_GB2312" w:hAnsi="仿宋_GB2312" w:eastAsia="仿宋_GB2312" w:cs="仿宋_GB2312"/>
          <w:b w:val="0"/>
          <w:bCs w:val="0"/>
          <w:color w:val="auto"/>
          <w:sz w:val="20"/>
        </w:rPr>
        <w:t xml:space="preserve">  金额单位：万元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45"/>
        <w:gridCol w:w="1013"/>
        <w:gridCol w:w="778"/>
        <w:gridCol w:w="648"/>
        <w:gridCol w:w="695"/>
        <w:gridCol w:w="1085"/>
        <w:gridCol w:w="1143"/>
        <w:gridCol w:w="968"/>
        <w:gridCol w:w="808"/>
        <w:gridCol w:w="110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3829" w:type="dxa"/>
            <w:gridSpan w:val="12"/>
            <w:noWrap w:val="0"/>
            <w:vAlign w:val="center"/>
          </w:tcPr>
          <w:p>
            <w:pPr>
              <w:adjustRightInd w:val="0"/>
              <w:snapToGrid w:val="0"/>
              <w:spacing w:line="276"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填表说明：1.设备分类：购置、试制；</w:t>
            </w:r>
          </w:p>
          <w:p>
            <w:pPr>
              <w:adjustRightInd w:val="0"/>
              <w:snapToGrid w:val="0"/>
              <w:spacing w:line="276" w:lineRule="auto"/>
              <w:ind w:firstLine="1000" w:firstLineChars="50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2.购置设备类型：通用、专用；</w:t>
            </w:r>
          </w:p>
          <w:p>
            <w:pPr>
              <w:adjustRightInd w:val="0"/>
              <w:snapToGrid w:val="0"/>
              <w:spacing w:line="276" w:lineRule="auto"/>
              <w:ind w:firstLine="1000" w:firstLineChars="50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3.资金来源：省级财政专项资金、其他渠道资金；</w:t>
            </w:r>
          </w:p>
          <w:p>
            <w:pPr>
              <w:adjustRightInd w:val="0"/>
              <w:snapToGrid w:val="0"/>
              <w:spacing w:line="276" w:lineRule="auto"/>
              <w:ind w:firstLine="1000" w:firstLineChars="50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4.试制设备不需填列本表（8）列、（9）列、（10）列；</w:t>
            </w:r>
          </w:p>
          <w:p>
            <w:pPr>
              <w:adjustRightInd w:val="0"/>
              <w:snapToGrid w:val="0"/>
              <w:spacing w:line="276" w:lineRule="auto"/>
              <w:ind w:firstLine="1000" w:firstLineChars="5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z w:val="20"/>
                <w:szCs w:val="20"/>
              </w:rPr>
              <w:t>5.设备单价的单位为万元/台套，设备数量的单位为台套；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97" w:type="dxa"/>
            <w:vMerge w:val="restart"/>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24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设备名称</w:t>
            </w:r>
          </w:p>
        </w:tc>
        <w:tc>
          <w:tcPr>
            <w:tcW w:w="101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分类</w:t>
            </w:r>
          </w:p>
        </w:tc>
        <w:tc>
          <w:tcPr>
            <w:tcW w:w="77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tc>
        <w:tc>
          <w:tcPr>
            <w:tcW w:w="64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69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08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14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c>
          <w:tcPr>
            <w:tcW w:w="96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购置或试制单位</w:t>
            </w:r>
          </w:p>
        </w:tc>
        <w:tc>
          <w:tcPr>
            <w:tcW w:w="80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购置设备类型</w:t>
            </w:r>
          </w:p>
        </w:tc>
        <w:tc>
          <w:tcPr>
            <w:tcW w:w="1109"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规格型号</w:t>
            </w:r>
          </w:p>
        </w:tc>
        <w:tc>
          <w:tcPr>
            <w:tcW w:w="1140"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拟开放共享范围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7" w:type="dxa"/>
            <w:vMerge w:val="continue"/>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p>
        </w:tc>
        <w:tc>
          <w:tcPr>
            <w:tcW w:w="324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01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77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64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69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08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14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96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80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c>
          <w:tcPr>
            <w:tcW w:w="1109"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（10）</w:t>
            </w:r>
          </w:p>
        </w:tc>
        <w:tc>
          <w:tcPr>
            <w:tcW w:w="1140"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7"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324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324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324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购置设备合计</w:t>
            </w:r>
          </w:p>
        </w:tc>
        <w:tc>
          <w:tcPr>
            <w:tcW w:w="648"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试制设备合计</w:t>
            </w:r>
          </w:p>
        </w:tc>
        <w:tc>
          <w:tcPr>
            <w:tcW w:w="648"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累计</w:t>
            </w:r>
          </w:p>
        </w:tc>
        <w:tc>
          <w:tcPr>
            <w:tcW w:w="648"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spacing w:line="300" w:lineRule="auto"/>
        <w:rPr>
          <w:rFonts w:ascii="黑体" w:hAnsi="黑体" w:eastAsia="黑体"/>
          <w:color w:val="auto"/>
          <w:sz w:val="28"/>
          <w:szCs w:val="28"/>
        </w:rPr>
      </w:pPr>
    </w:p>
    <w:p>
      <w:pPr>
        <w:autoSpaceDE w:val="0"/>
        <w:autoSpaceDN w:val="0"/>
        <w:spacing w:line="300" w:lineRule="auto"/>
        <w:ind w:left="601" w:firstLine="536"/>
        <w:jc w:val="center"/>
        <w:rPr>
          <w:rFonts w:ascii="黑体" w:hAnsi="黑体" w:eastAsia="黑体" w:cs="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0" w:lineRule="exact"/>
        <w:ind w:left="0" w:firstLine="0"/>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设备费——</w:t>
      </w:r>
      <w:r>
        <w:rPr>
          <w:rFonts w:hint="eastAsia" w:ascii="方正小标宋简体" w:hAnsi="方正小标宋简体" w:eastAsia="方正小标宋简体" w:cs="方正小标宋简体"/>
          <w:snapToGrid w:val="0"/>
          <w:color w:val="auto"/>
          <w:kern w:val="0"/>
          <w:sz w:val="44"/>
          <w:szCs w:val="44"/>
          <w:lang w:eastAsia="zh-Hans"/>
        </w:rPr>
        <w:t>设备租赁</w:t>
      </w:r>
      <w:r>
        <w:rPr>
          <w:rFonts w:hint="eastAsia" w:ascii="方正小标宋简体" w:hAnsi="方正小标宋简体" w:eastAsia="方正小标宋简体" w:cs="方正小标宋简体"/>
          <w:snapToGrid w:val="0"/>
          <w:color w:val="auto"/>
          <w:kern w:val="0"/>
          <w:sz w:val="44"/>
          <w:szCs w:val="44"/>
        </w:rPr>
        <w:t>费预算明细表</w:t>
      </w:r>
    </w:p>
    <w:p>
      <w:pPr>
        <w:autoSpaceDE w:val="0"/>
        <w:autoSpaceDN w:val="0"/>
        <w:adjustRightInd w:val="0"/>
        <w:snapToGrid w:val="0"/>
        <w:spacing w:line="400" w:lineRule="exact"/>
        <w:ind w:left="0" w:firstLine="0"/>
        <w:jc w:val="center"/>
        <w:rPr>
          <w:rFonts w:hint="eastAsia" w:ascii="方正小标宋简体" w:hAnsi="方正小标宋简体" w:eastAsia="方正小标宋简体" w:cs="方正小标宋简体"/>
          <w:snapToGrid w:val="0"/>
          <w:color w:val="auto"/>
          <w:kern w:val="0"/>
          <w:sz w:val="44"/>
          <w:szCs w:val="44"/>
        </w:rPr>
      </w:pPr>
    </w:p>
    <w:p>
      <w:pPr>
        <w:autoSpaceDE w:val="0"/>
        <w:autoSpaceDN w:val="0"/>
        <w:adjustRightInd w:val="0"/>
        <w:snapToGrid w:val="0"/>
        <w:spacing w:line="560" w:lineRule="exact"/>
        <w:ind w:firstLine="200" w:firstLineChars="100"/>
        <w:jc w:val="right"/>
        <w:rPr>
          <w:rFonts w:hint="eastAsia" w:ascii="仿宋_GB2312" w:hAnsi="仿宋_GB2312" w:eastAsia="仿宋_GB2312" w:cs="仿宋_GB2312"/>
          <w:b w:val="0"/>
          <w:bCs w:val="0"/>
          <w:snapToGrid w:val="0"/>
          <w:color w:val="auto"/>
          <w:kern w:val="0"/>
          <w:sz w:val="20"/>
        </w:rPr>
      </w:pPr>
      <w:r>
        <w:rPr>
          <w:rFonts w:hint="eastAsia" w:ascii="黑体" w:hAnsi="黑体" w:eastAsia="黑体" w:cs="黑体"/>
          <w:b w:val="0"/>
          <w:bCs w:val="0"/>
          <w:snapToGrid w:val="0"/>
          <w:color w:val="auto"/>
          <w:kern w:val="0"/>
          <w:sz w:val="20"/>
        </w:rPr>
        <w:t xml:space="preserve">表B5  </w:t>
      </w:r>
      <w:r>
        <w:rPr>
          <w:rFonts w:hint="default" w:ascii="Times New Roman" w:hAnsi="Times New Roman" w:cs="Times New Roman"/>
          <w:b w:val="0"/>
          <w:bCs w:val="0"/>
          <w:snapToGrid w:val="0"/>
          <w:color w:val="auto"/>
          <w:kern w:val="0"/>
          <w:sz w:val="20"/>
        </w:rPr>
        <w:t xml:space="preserve">    </w:t>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 xml:space="preserve">                                                        </w:t>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 xml:space="preserve"> </w:t>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 xml:space="preserve"> 　　                               </w:t>
      </w:r>
      <w:r>
        <w:rPr>
          <w:rFonts w:hint="eastAsia" w:ascii="仿宋_GB2312" w:hAnsi="仿宋_GB2312" w:eastAsia="仿宋_GB2312" w:cs="仿宋_GB2312"/>
          <w:b w:val="0"/>
          <w:bCs w:val="0"/>
          <w:snapToGrid w:val="0"/>
          <w:color w:val="auto"/>
          <w:kern w:val="0"/>
          <w:sz w:val="20"/>
        </w:rPr>
        <w:t>金额单位：万元</w:t>
      </w:r>
    </w:p>
    <w:tbl>
      <w:tblPr>
        <w:tblStyle w:val="7"/>
        <w:tblW w:w="14132" w:type="dxa"/>
        <w:jc w:val="center"/>
        <w:tblLayout w:type="fixed"/>
        <w:tblCellMar>
          <w:top w:w="0" w:type="dxa"/>
          <w:left w:w="108" w:type="dxa"/>
          <w:bottom w:w="0" w:type="dxa"/>
          <w:right w:w="108" w:type="dxa"/>
        </w:tblCellMar>
      </w:tblPr>
      <w:tblGrid>
        <w:gridCol w:w="1027"/>
        <w:gridCol w:w="2079"/>
        <w:gridCol w:w="810"/>
        <w:gridCol w:w="1060"/>
        <w:gridCol w:w="1484"/>
        <w:gridCol w:w="1672"/>
        <w:gridCol w:w="1575"/>
        <w:gridCol w:w="1380"/>
        <w:gridCol w:w="1461"/>
        <w:gridCol w:w="1584"/>
      </w:tblGrid>
      <w:tr>
        <w:tblPrEx>
          <w:tblCellMar>
            <w:top w:w="0" w:type="dxa"/>
            <w:left w:w="108" w:type="dxa"/>
            <w:bottom w:w="0" w:type="dxa"/>
            <w:right w:w="108" w:type="dxa"/>
          </w:tblCellMar>
        </w:tblPrEx>
        <w:trPr>
          <w:trHeight w:val="1117" w:hRule="atLeast"/>
          <w:jc w:val="center"/>
        </w:trPr>
        <w:tc>
          <w:tcPr>
            <w:tcW w:w="1413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填表说明：1.设备租赁费是指实施过程中需要租用承担单位以外其他单位的设备而发生的费用。租赁费主要包括设备的租金、安装调试费、维修保养费及其他相</w:t>
            </w:r>
          </w:p>
          <w:p>
            <w:pPr>
              <w:adjustRightInd w:val="0"/>
              <w:snapToGrid w:val="0"/>
              <w:spacing w:line="276" w:lineRule="auto"/>
              <w:ind w:firstLine="1200" w:firstLineChars="600"/>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rPr>
              <w:t>关费用等。</w:t>
            </w:r>
          </w:p>
          <w:p>
            <w:pPr>
              <w:adjustRightInd w:val="0"/>
              <w:snapToGrid w:val="0"/>
              <w:spacing w:line="276" w:lineRule="auto"/>
              <w:ind w:firstLine="1000" w:firstLineChars="5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z w:val="20"/>
                <w:szCs w:val="20"/>
              </w:rPr>
              <w:t>2.资金来源：省级财政专项资金、其他渠道资金。</w:t>
            </w:r>
          </w:p>
        </w:tc>
      </w:tr>
      <w:tr>
        <w:tblPrEx>
          <w:tblCellMar>
            <w:top w:w="0" w:type="dxa"/>
            <w:left w:w="108" w:type="dxa"/>
            <w:bottom w:w="0" w:type="dxa"/>
            <w:right w:w="108" w:type="dxa"/>
          </w:tblCellMar>
        </w:tblPrEx>
        <w:trPr>
          <w:trHeight w:val="82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年度</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出租单位</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租金单价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（万元/月）</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（台、套）</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租期</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1</w:t>
            </w:r>
          </w:p>
        </w:tc>
        <w:tc>
          <w:tcPr>
            <w:tcW w:w="2079"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81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484"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672"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2</w:t>
            </w:r>
          </w:p>
        </w:tc>
        <w:tc>
          <w:tcPr>
            <w:tcW w:w="2079"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81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484"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672"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567" w:hRule="atLeast"/>
          <w:jc w:val="center"/>
        </w:trPr>
        <w:tc>
          <w:tcPr>
            <w:tcW w:w="646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累计</w:t>
            </w:r>
          </w:p>
        </w:tc>
        <w:tc>
          <w:tcPr>
            <w:tcW w:w="1672"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75"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0"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ind w:firstLine="536"/>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djustRightInd w:val="0"/>
        <w:snapToGrid w:val="0"/>
        <w:spacing w:line="560" w:lineRule="exact"/>
        <w:ind w:firstLine="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材料费预算明细表</w:t>
      </w:r>
    </w:p>
    <w:p>
      <w:pPr>
        <w:adjustRightInd w:val="0"/>
        <w:snapToGrid w:val="0"/>
        <w:spacing w:line="400" w:lineRule="exact"/>
        <w:ind w:firstLine="0"/>
        <w:jc w:val="center"/>
        <w:rPr>
          <w:rFonts w:hint="eastAsia" w:ascii="方正小标宋简体" w:hAnsi="方正小标宋简体" w:eastAsia="方正小标宋简体" w:cs="方正小标宋简体"/>
          <w:b w:val="0"/>
          <w:bCs w:val="0"/>
          <w:color w:val="auto"/>
          <w:sz w:val="44"/>
          <w:szCs w:val="44"/>
        </w:rPr>
      </w:pPr>
    </w:p>
    <w:p>
      <w:pPr>
        <w:autoSpaceDE/>
        <w:autoSpaceDN/>
        <w:adjustRightInd w:val="0"/>
        <w:snapToGrid w:val="0"/>
        <w:spacing w:line="560" w:lineRule="exact"/>
        <w:ind w:firstLine="200" w:firstLineChars="100"/>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 xml:space="preserve">表B6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94"/>
        <w:gridCol w:w="1556"/>
        <w:gridCol w:w="1753"/>
        <w:gridCol w:w="1415"/>
        <w:gridCol w:w="1326"/>
        <w:gridCol w:w="151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11" w:type="dxa"/>
            <w:gridSpan w:val="8"/>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填表说明：1.大宗及贵重材料，即执行过程中消耗数量较多或单位价格较高、总费用在10万元及以上的材料，须填写明细。</w:t>
            </w:r>
          </w:p>
          <w:p>
            <w:pPr>
              <w:keepNext w:val="0"/>
              <w:keepLines w:val="0"/>
              <w:pageBreakBefore w:val="0"/>
              <w:widowControl w:val="0"/>
              <w:kinsoku/>
              <w:wordWrap/>
              <w:overflowPunct/>
              <w:topLinePunct w:val="0"/>
              <w:autoSpaceDE/>
              <w:autoSpaceDN/>
              <w:bidi w:val="0"/>
              <w:adjustRightInd w:val="0"/>
              <w:snapToGrid w:val="0"/>
              <w:spacing w:line="240" w:lineRule="auto"/>
              <w:ind w:firstLine="1000" w:firstLineChars="5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2.资金来源：省级财政专项资金、其他渠道资金。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restart"/>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材料名称</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购置数量</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1</w:t>
            </w:r>
          </w:p>
        </w:tc>
        <w:tc>
          <w:tcPr>
            <w:tcW w:w="3294" w:type="dxa"/>
            <w:noWrap w:val="0"/>
            <w:vAlign w:val="center"/>
          </w:tcPr>
          <w:p>
            <w:pPr>
              <w:pStyle w:val="3"/>
              <w:keepNext w:val="0"/>
              <w:keepLines w:val="0"/>
              <w:pageBreakBefore w:val="0"/>
              <w:widowControl w:val="0"/>
              <w:kinsoku/>
              <w:wordWrap/>
              <w:overflowPunct/>
              <w:topLinePunct w:val="0"/>
              <w:autoSpaceDE/>
              <w:autoSpaceDN/>
              <w:bidi w:val="0"/>
              <w:snapToGrid w:val="0"/>
              <w:spacing w:line="240" w:lineRule="auto"/>
              <w:ind w:left="-80" w:leftChars="-25" w:right="-80" w:rightChars="-25"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2</w:t>
            </w:r>
          </w:p>
        </w:tc>
        <w:tc>
          <w:tcPr>
            <w:tcW w:w="3294" w:type="dxa"/>
            <w:noWrap w:val="0"/>
            <w:vAlign w:val="center"/>
          </w:tcPr>
          <w:p>
            <w:pPr>
              <w:pStyle w:val="3"/>
              <w:keepNext w:val="0"/>
              <w:keepLines w:val="0"/>
              <w:pageBreakBefore w:val="0"/>
              <w:widowControl w:val="0"/>
              <w:kinsoku/>
              <w:wordWrap/>
              <w:overflowPunct/>
              <w:topLinePunct w:val="0"/>
              <w:autoSpaceDE/>
              <w:autoSpaceDN/>
              <w:bidi w:val="0"/>
              <w:snapToGrid w:val="0"/>
              <w:spacing w:line="240" w:lineRule="auto"/>
              <w:ind w:left="-80" w:leftChars="-25" w:right="-80" w:rightChars="-25"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3</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4</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5</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大宗及贵重材料小计</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其他材料费</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累计</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ind w:firstLine="616"/>
        <w:rPr>
          <w:color w:val="auto"/>
        </w:rPr>
      </w:pPr>
    </w:p>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测试化验加工费预算明细表</w:t>
      </w:r>
    </w:p>
    <w:p>
      <w:pPr>
        <w:autoSpaceDE w:val="0"/>
        <w:autoSpaceDN w:val="0"/>
        <w:adjustRightInd w:val="0"/>
        <w:snapToGrid w:val="0"/>
        <w:spacing w:line="400" w:lineRule="exact"/>
        <w:ind w:firstLine="536"/>
        <w:jc w:val="center"/>
        <w:rPr>
          <w:rFonts w:ascii="黑体" w:hAnsi="黑体" w:eastAsia="黑体"/>
          <w:color w:val="auto"/>
          <w:sz w:val="28"/>
          <w:szCs w:val="28"/>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 xml:space="preserve">表B7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28"/>
        <w:gridCol w:w="4198"/>
        <w:gridCol w:w="2734"/>
        <w:gridCol w:w="993"/>
        <w:gridCol w:w="1584"/>
        <w:gridCol w:w="1218"/>
        <w:gridCol w:w="1034"/>
        <w:gridCol w:w="15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75" w:hRule="atLeast"/>
          <w:jc w:val="center"/>
        </w:trPr>
        <w:tc>
          <w:tcPr>
            <w:tcW w:w="13790" w:type="dxa"/>
            <w:gridSpan w:val="8"/>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填表说明：1.量大及价高测试化验，是指实施过程中需测试化验加工的数量较多或单位价格较高、总费用在10万元（含）以上的测试化验加工，需填写明细。</w:t>
            </w:r>
          </w:p>
          <w:p>
            <w:pPr>
              <w:keepNext w:val="0"/>
              <w:keepLines w:val="0"/>
              <w:pageBreakBefore w:val="0"/>
              <w:widowControl w:val="0"/>
              <w:kinsoku/>
              <w:wordWrap/>
              <w:overflowPunct/>
              <w:topLinePunct w:val="0"/>
              <w:bidi w:val="0"/>
              <w:adjustRightInd w:val="0"/>
              <w:snapToGrid w:val="0"/>
              <w:spacing w:line="240" w:lineRule="auto"/>
              <w:ind w:firstLine="1000" w:firstLineChars="50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528" w:type="dxa"/>
            <w:vMerge w:val="restart"/>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4198"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测试化验加工的内容</w:t>
            </w:r>
          </w:p>
        </w:tc>
        <w:tc>
          <w:tcPr>
            <w:tcW w:w="2734"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测试化验加工单位</w:t>
            </w:r>
          </w:p>
        </w:tc>
        <w:tc>
          <w:tcPr>
            <w:tcW w:w="993"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84"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218"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034"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01"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量大及价高测试化验费合计</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其他测试化验费</w:t>
            </w:r>
            <w:r>
              <w:rPr>
                <w:rFonts w:hint="eastAsia" w:ascii="仿宋_GB2312" w:hAnsi="仿宋_GB2312" w:eastAsia="仿宋_GB2312" w:cs="仿宋_GB2312"/>
                <w:b w:val="0"/>
                <w:bCs w:val="0"/>
                <w:color w:val="auto"/>
                <w:kern w:val="0"/>
                <w:sz w:val="20"/>
                <w:szCs w:val="20"/>
              </w:rPr>
              <w:t>合计</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累计</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snapToGrid w:val="0"/>
        <w:spacing w:line="360" w:lineRule="auto"/>
        <w:ind w:firstLine="536"/>
        <w:rPr>
          <w:rFonts w:eastAsia="仿宋_GB2312"/>
          <w:color w:val="auto"/>
          <w:sz w:val="28"/>
        </w:rPr>
      </w:pPr>
    </w:p>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燃料动力费预算明细表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 xml:space="preserve">表B8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仿宋_GB2312" w:hAnsi="仿宋_GB2312" w:eastAsia="仿宋_GB2312" w:cs="仿宋_GB2312"/>
          <w:b w:val="0"/>
          <w:bCs w:val="0"/>
          <w:color w:val="auto"/>
          <w:sz w:val="20"/>
        </w:rPr>
        <w:t>金额单位：万元</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51"/>
        <w:gridCol w:w="2963"/>
        <w:gridCol w:w="1228"/>
        <w:gridCol w:w="1988"/>
        <w:gridCol w:w="1609"/>
        <w:gridCol w:w="1526"/>
        <w:gridCol w:w="1483"/>
        <w:gridCol w:w="15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3266" w:type="dxa"/>
            <w:gridSpan w:val="8"/>
            <w:noWrap w:val="0"/>
            <w:vAlign w:val="top"/>
          </w:tcPr>
          <w:p>
            <w:pPr>
              <w:keepNext w:val="0"/>
              <w:keepLines w:val="0"/>
              <w:pageBreakBefore w:val="0"/>
              <w:widowControl w:val="0"/>
              <w:kinsoku/>
              <w:wordWrap/>
              <w:overflowPunct/>
              <w:topLinePunct w:val="0"/>
              <w:autoSpaceDE/>
              <w:autoSpaceDN/>
              <w:bidi w:val="0"/>
              <w:adjustRightInd w:val="0"/>
              <w:snapToGrid w:val="0"/>
              <w:spacing w:line="276" w:lineRule="auto"/>
              <w:ind w:left="1200" w:leftChars="0" w:hanging="1200" w:hangingChars="6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填表说明：1.量大及价高测试化验，是指实施过程中需测试化验加工的数量较多或单位价格较高、总费用在10万元（含）以上的测试化验加工，需填写明细。 </w:t>
            </w:r>
          </w:p>
          <w:p>
            <w:pPr>
              <w:adjustRightInd w:val="0"/>
              <w:snapToGrid w:val="0"/>
              <w:spacing w:line="276"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w:t>
            </w:r>
            <w:r>
              <w:rPr>
                <w:rFonts w:hint="eastAsia" w:ascii="仿宋_GB2312" w:hAnsi="仿宋_GB2312" w:eastAsia="仿宋_GB2312" w:cs="仿宋_GB2312"/>
                <w:color w:val="auto"/>
                <w:sz w:val="20"/>
                <w:szCs w:val="20"/>
                <w:lang w:val="en-US" w:eastAsia="zh-CN"/>
              </w:rPr>
              <w:t xml:space="preserve"> </w:t>
            </w:r>
            <w:r>
              <w:rPr>
                <w:rFonts w:hint="eastAsia" w:ascii="仿宋_GB2312" w:hAnsi="仿宋_GB2312" w:eastAsia="仿宋_GB2312" w:cs="仿宋_GB2312"/>
                <w:color w:val="auto"/>
                <w:sz w:val="20"/>
                <w:szCs w:val="20"/>
              </w:rPr>
              <w:t xml:space="preserve">     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3" w:hRule="atLeast"/>
          <w:jc w:val="center"/>
        </w:trPr>
        <w:tc>
          <w:tcPr>
            <w:tcW w:w="951" w:type="dxa"/>
            <w:vMerge w:val="restart"/>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63"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燃料动力名称</w:t>
            </w:r>
          </w:p>
        </w:tc>
        <w:tc>
          <w:tcPr>
            <w:tcW w:w="122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98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609"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26"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483"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1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63"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22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98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609"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526"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483"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1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18" w:type="dxa"/>
            <w:noWrap w:val="0"/>
            <w:vAlign w:val="top"/>
          </w:tcPr>
          <w:p>
            <w:pPr>
              <w:autoSpaceDE w:val="0"/>
              <w:autoSpaceDN w:val="0"/>
              <w:adjustRightInd w:val="0"/>
              <w:snapToGrid w:val="0"/>
              <w:jc w:val="center"/>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18" w:type="dxa"/>
            <w:noWrap w:val="0"/>
            <w:vAlign w:val="top"/>
          </w:tcPr>
          <w:p>
            <w:pPr>
              <w:autoSpaceDE w:val="0"/>
              <w:autoSpaceDN w:val="0"/>
              <w:adjustRightInd w:val="0"/>
              <w:snapToGrid w:val="0"/>
              <w:jc w:val="center"/>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18" w:type="dxa"/>
            <w:noWrap w:val="0"/>
            <w:vAlign w:val="top"/>
          </w:tcPr>
          <w:p>
            <w:pPr>
              <w:autoSpaceDE w:val="0"/>
              <w:autoSpaceDN w:val="0"/>
              <w:adjustRightInd w:val="0"/>
              <w:snapToGrid w:val="0"/>
              <w:jc w:val="center"/>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4</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18" w:type="dxa"/>
            <w:noWrap w:val="0"/>
            <w:vAlign w:val="top"/>
          </w:tcPr>
          <w:p>
            <w:pPr>
              <w:autoSpaceDE w:val="0"/>
              <w:autoSpaceDN w:val="0"/>
              <w:adjustRightInd w:val="0"/>
              <w:snapToGrid w:val="0"/>
              <w:jc w:val="center"/>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8739" w:type="dxa"/>
            <w:gridSpan w:val="5"/>
            <w:noWrap w:val="0"/>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累计</w:t>
            </w: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b/>
                <w:bCs/>
                <w:color w:val="auto"/>
                <w:sz w:val="20"/>
                <w:szCs w:val="20"/>
              </w:rPr>
            </w:pPr>
          </w:p>
        </w:tc>
        <w:tc>
          <w:tcPr>
            <w:tcW w:w="1483" w:type="dxa"/>
            <w:noWrap w:val="0"/>
            <w:vAlign w:val="top"/>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518" w:type="dxa"/>
            <w:noWrap w:val="0"/>
            <w:vAlign w:val="top"/>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出版/文献/信息传播/知识产权事务费预算明细表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 xml:space="preserve">表B9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仿宋_GB2312" w:hAnsi="仿宋_GB2312" w:eastAsia="仿宋_GB2312" w:cs="仿宋_GB2312"/>
          <w:b w:val="0"/>
          <w:bCs w:val="0"/>
          <w:color w:val="auto"/>
          <w:sz w:val="20"/>
          <w:lang w:val="en-US" w:eastAsia="zh-CN"/>
        </w:rPr>
        <w:t xml:space="preserve">  </w:t>
      </w:r>
      <w:r>
        <w:rPr>
          <w:rFonts w:hint="eastAsia" w:ascii="仿宋_GB2312" w:hAnsi="仿宋_GB2312" w:eastAsia="仿宋_GB2312" w:cs="仿宋_GB2312"/>
          <w:b w:val="0"/>
          <w:bCs w:val="0"/>
          <w:color w:val="auto"/>
          <w:sz w:val="20"/>
        </w:rPr>
        <w:t xml:space="preserve">  金额单位：万元</w:t>
      </w:r>
    </w:p>
    <w:tbl>
      <w:tblPr>
        <w:tblStyle w:val="7"/>
        <w:tblW w:w="0" w:type="auto"/>
        <w:jc w:val="center"/>
        <w:tblLayout w:type="fixed"/>
        <w:tblCellMar>
          <w:top w:w="0" w:type="dxa"/>
          <w:left w:w="108" w:type="dxa"/>
          <w:bottom w:w="0" w:type="dxa"/>
          <w:right w:w="108" w:type="dxa"/>
        </w:tblCellMar>
      </w:tblPr>
      <w:tblGrid>
        <w:gridCol w:w="778"/>
        <w:gridCol w:w="1950"/>
        <w:gridCol w:w="1060"/>
        <w:gridCol w:w="1595"/>
        <w:gridCol w:w="1575"/>
        <w:gridCol w:w="1380"/>
        <w:gridCol w:w="1265"/>
        <w:gridCol w:w="1119"/>
        <w:gridCol w:w="1584"/>
        <w:gridCol w:w="1584"/>
      </w:tblGrid>
      <w:tr>
        <w:tblPrEx>
          <w:tblCellMar>
            <w:top w:w="0" w:type="dxa"/>
            <w:left w:w="108" w:type="dxa"/>
            <w:bottom w:w="0" w:type="dxa"/>
            <w:right w:w="108" w:type="dxa"/>
          </w:tblCellMar>
        </w:tblPrEx>
        <w:trPr>
          <w:trHeight w:val="697" w:hRule="atLeast"/>
          <w:jc w:val="center"/>
        </w:trPr>
        <w:tc>
          <w:tcPr>
            <w:tcW w:w="13890"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74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序号</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类别</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名称</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国内/国外             　</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单价</w:t>
            </w:r>
          </w:p>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（元/单位）</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计量单位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金额</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仿宋_GB2312" w:hAnsi="仿宋_GB2312" w:eastAsia="仿宋_GB2312" w:cs="仿宋_GB2312"/>
                <w:b w:val="0"/>
                <w:bCs w:val="0"/>
                <w:color w:val="auto"/>
                <w:kern w:val="0"/>
                <w:sz w:val="20"/>
                <w:szCs w:val="20"/>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（6）</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（7）</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（9）</w:t>
            </w:r>
          </w:p>
        </w:tc>
      </w:tr>
      <w:tr>
        <w:tblPrEx>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1</w:t>
            </w:r>
          </w:p>
        </w:tc>
        <w:tc>
          <w:tcPr>
            <w:tcW w:w="195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5"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265"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119"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584"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584"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2</w:t>
            </w:r>
          </w:p>
        </w:tc>
        <w:tc>
          <w:tcPr>
            <w:tcW w:w="195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5"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265"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119"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567" w:hRule="atLeast"/>
          <w:jc w:val="center"/>
        </w:trPr>
        <w:tc>
          <w:tcPr>
            <w:tcW w:w="960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119"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会议/差旅/国际合作交流费-会议费预算明细表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 xml:space="preserve">表B10 </w:t>
      </w:r>
      <w:r>
        <w:rPr>
          <w:rFonts w:hint="default" w:ascii="Times New Roman" w:hAnsi="Times New Roman" w:cs="Times New Roman"/>
          <w:b w:val="0"/>
          <w:bCs w:val="0"/>
          <w:color w:val="auto"/>
          <w:sz w:val="20"/>
        </w:rPr>
        <w:t xml:space="preserve"> </w:t>
      </w:r>
      <w:r>
        <w:rPr>
          <w:rFonts w:hint="eastAsia" w:ascii="Times New Roman" w:hAnsi="Times New Roman" w:cs="Times New Roman"/>
          <w:b w:val="0"/>
          <w:bCs w:val="0"/>
          <w:color w:val="auto"/>
          <w:sz w:val="20"/>
          <w:lang w:val="en-US" w:eastAsia="zh-CN"/>
        </w:rPr>
        <w:t xml:space="preserve">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eastAsia" w:ascii="Times New Roman" w:hAnsi="Times New Roman" w:cs="Times New Roman"/>
          <w:b w:val="0"/>
          <w:bCs w:val="0"/>
          <w:color w:val="auto"/>
          <w:sz w:val="20"/>
          <w:lang w:val="en-US" w:eastAsia="zh-CN"/>
        </w:rPr>
        <w:t xml:space="preserve">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eastAsia" w:ascii="Times New Roman" w:hAnsi="Times New Roman" w:cs="Times New Roman"/>
          <w:b w:val="0"/>
          <w:bCs w:val="0"/>
          <w:color w:val="auto"/>
          <w:sz w:val="20"/>
          <w:lang w:val="en-US" w:eastAsia="zh-CN"/>
        </w:rPr>
        <w:t xml:space="preserve">         </w:t>
      </w:r>
      <w:r>
        <w:rPr>
          <w:rFonts w:hint="eastAsia" w:ascii="仿宋_GB2312" w:hAnsi="仿宋_GB2312" w:eastAsia="仿宋_GB2312" w:cs="仿宋_GB2312"/>
          <w:b w:val="0"/>
          <w:bCs w:val="0"/>
          <w:color w:val="auto"/>
          <w:sz w:val="20"/>
        </w:rPr>
        <w:t xml:space="preserve">    金额单位：万元</w:t>
      </w:r>
    </w:p>
    <w:tbl>
      <w:tblPr>
        <w:tblStyle w:val="7"/>
        <w:tblW w:w="0" w:type="auto"/>
        <w:jc w:val="center"/>
        <w:tblLayout w:type="fixed"/>
        <w:tblCellMar>
          <w:top w:w="0" w:type="dxa"/>
          <w:left w:w="108" w:type="dxa"/>
          <w:bottom w:w="0" w:type="dxa"/>
          <w:right w:w="108" w:type="dxa"/>
        </w:tblCellMar>
      </w:tblPr>
      <w:tblGrid>
        <w:gridCol w:w="778"/>
        <w:gridCol w:w="1436"/>
        <w:gridCol w:w="1595"/>
        <w:gridCol w:w="1560"/>
        <w:gridCol w:w="1575"/>
        <w:gridCol w:w="1380"/>
        <w:gridCol w:w="1264"/>
        <w:gridCol w:w="1111"/>
        <w:gridCol w:w="1387"/>
        <w:gridCol w:w="1585"/>
      </w:tblGrid>
      <w:tr>
        <w:tblPrEx>
          <w:tblCellMar>
            <w:top w:w="0" w:type="dxa"/>
            <w:left w:w="108" w:type="dxa"/>
            <w:bottom w:w="0" w:type="dxa"/>
            <w:right w:w="108" w:type="dxa"/>
          </w:tblCellMar>
        </w:tblPrEx>
        <w:trPr>
          <w:trHeight w:val="697" w:hRule="atLeast"/>
          <w:jc w:val="center"/>
        </w:trPr>
        <w:tc>
          <w:tcPr>
            <w:tcW w:w="13671"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77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会议名称</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召开地点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会期</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403" w:hRule="atLeast"/>
          <w:jc w:val="center"/>
        </w:trPr>
        <w:tc>
          <w:tcPr>
            <w:tcW w:w="536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会议/差旅/国际合作交流费-差旅费预算明细表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jc w:val="both"/>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表B11</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b w:val="0"/>
          <w:bCs w:val="0"/>
          <w:color w:val="auto"/>
          <w:sz w:val="20"/>
          <w:lang w:val="en-US" w:eastAsia="zh-CN"/>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7"/>
        <w:tblW w:w="14263" w:type="dxa"/>
        <w:jc w:val="center"/>
        <w:tblLayout w:type="fixed"/>
        <w:tblCellMar>
          <w:top w:w="0" w:type="dxa"/>
          <w:left w:w="108" w:type="dxa"/>
          <w:bottom w:w="0" w:type="dxa"/>
          <w:right w:w="108" w:type="dxa"/>
        </w:tblCellMar>
      </w:tblPr>
      <w:tblGrid>
        <w:gridCol w:w="544"/>
        <w:gridCol w:w="1268"/>
        <w:gridCol w:w="1146"/>
        <w:gridCol w:w="1290"/>
        <w:gridCol w:w="6"/>
        <w:gridCol w:w="1320"/>
        <w:gridCol w:w="1809"/>
        <w:gridCol w:w="927"/>
        <w:gridCol w:w="1061"/>
        <w:gridCol w:w="1156"/>
        <w:gridCol w:w="970"/>
        <w:gridCol w:w="6"/>
        <w:gridCol w:w="1300"/>
        <w:gridCol w:w="1454"/>
        <w:gridCol w:w="6"/>
      </w:tblGrid>
      <w:tr>
        <w:tblPrEx>
          <w:tblCellMar>
            <w:top w:w="0" w:type="dxa"/>
            <w:left w:w="108" w:type="dxa"/>
            <w:bottom w:w="0" w:type="dxa"/>
            <w:right w:w="108" w:type="dxa"/>
          </w:tblCellMar>
        </w:tblPrEx>
        <w:trPr>
          <w:trHeight w:val="619" w:hRule="atLeast"/>
          <w:jc w:val="center"/>
        </w:trPr>
        <w:tc>
          <w:tcPr>
            <w:tcW w:w="14263"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1117" w:hRule="atLeast"/>
          <w:jc w:val="center"/>
        </w:trPr>
        <w:tc>
          <w:tcPr>
            <w:tcW w:w="54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目的</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出差地点          　</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往返交通费</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住宿费</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伙食、工杂费补助</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9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天数/次</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次数/次</w:t>
            </w: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54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9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（10）</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（11）</w:t>
            </w:r>
          </w:p>
        </w:tc>
      </w:tr>
      <w:tr>
        <w:tblPrEx>
          <w:tblCellMar>
            <w:top w:w="0" w:type="dxa"/>
            <w:left w:w="108" w:type="dxa"/>
            <w:bottom w:w="0" w:type="dxa"/>
            <w:right w:w="108" w:type="dxa"/>
          </w:tblCellMar>
        </w:tblPrEx>
        <w:trPr>
          <w:trHeight w:val="40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gridAfter w:val="1"/>
          <w:wAfter w:w="6" w:type="dxa"/>
          <w:trHeight w:val="375" w:hRule="atLeast"/>
          <w:jc w:val="center"/>
        </w:trPr>
        <w:tc>
          <w:tcPr>
            <w:tcW w:w="425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累计</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会议/差旅/国际合作交流费-国际合作交流费预算明细表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表B12</w:t>
      </w:r>
      <w:r>
        <w:rPr>
          <w:rFonts w:hint="eastAsia"/>
          <w:b w:val="0"/>
          <w:bCs w:val="0"/>
          <w:color w:val="auto"/>
          <w:sz w:val="20"/>
        </w:rPr>
        <w:t xml:space="preserve">  </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rFonts w:hint="eastAsia" w:ascii="仿宋_GB2312" w:hAnsi="仿宋_GB2312" w:eastAsia="仿宋_GB2312" w:cs="仿宋_GB2312"/>
          <w:b/>
          <w:bCs/>
          <w:color w:val="auto"/>
          <w:sz w:val="20"/>
        </w:rPr>
        <w:t xml:space="preserve"> </w:t>
      </w:r>
      <w:r>
        <w:rPr>
          <w:rFonts w:hint="eastAsia" w:ascii="仿宋_GB2312" w:hAnsi="仿宋_GB2312" w:eastAsia="仿宋_GB2312" w:cs="仿宋_GB2312"/>
          <w:b w:val="0"/>
          <w:bCs w:val="0"/>
          <w:color w:val="auto"/>
          <w:sz w:val="20"/>
        </w:rPr>
        <w:t>金额单位：万元</w:t>
      </w:r>
    </w:p>
    <w:tbl>
      <w:tblPr>
        <w:tblStyle w:val="7"/>
        <w:tblW w:w="0" w:type="auto"/>
        <w:jc w:val="center"/>
        <w:tblLayout w:type="fixed"/>
        <w:tblCellMar>
          <w:top w:w="0" w:type="dxa"/>
          <w:left w:w="108" w:type="dxa"/>
          <w:bottom w:w="0" w:type="dxa"/>
          <w:right w:w="108" w:type="dxa"/>
        </w:tblCellMar>
      </w:tblPr>
      <w:tblGrid>
        <w:gridCol w:w="778"/>
        <w:gridCol w:w="1436"/>
        <w:gridCol w:w="1595"/>
        <w:gridCol w:w="1560"/>
        <w:gridCol w:w="1271"/>
        <w:gridCol w:w="1380"/>
        <w:gridCol w:w="1264"/>
        <w:gridCol w:w="1397"/>
        <w:gridCol w:w="1387"/>
        <w:gridCol w:w="1476"/>
      </w:tblGrid>
      <w:tr>
        <w:tblPrEx>
          <w:tblCellMar>
            <w:top w:w="0" w:type="dxa"/>
            <w:left w:w="108" w:type="dxa"/>
            <w:bottom w:w="0" w:type="dxa"/>
            <w:right w:w="108" w:type="dxa"/>
          </w:tblCellMar>
        </w:tblPrEx>
        <w:trPr>
          <w:trHeight w:val="697" w:hRule="atLeast"/>
          <w:jc w:val="center"/>
        </w:trPr>
        <w:tc>
          <w:tcPr>
            <w:tcW w:w="13544"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7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合作交流类型</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国家和地区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接待机构</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时间</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536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培训费预算明细表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3</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7"/>
        <w:tblW w:w="0" w:type="auto"/>
        <w:jc w:val="center"/>
        <w:tblLayout w:type="fixed"/>
        <w:tblCellMar>
          <w:top w:w="0" w:type="dxa"/>
          <w:left w:w="108" w:type="dxa"/>
          <w:bottom w:w="0" w:type="dxa"/>
          <w:right w:w="108" w:type="dxa"/>
        </w:tblCellMar>
      </w:tblPr>
      <w:tblGrid>
        <w:gridCol w:w="778"/>
        <w:gridCol w:w="1436"/>
        <w:gridCol w:w="1316"/>
        <w:gridCol w:w="1500"/>
        <w:gridCol w:w="1567"/>
        <w:gridCol w:w="1428"/>
        <w:gridCol w:w="1260"/>
        <w:gridCol w:w="1484"/>
        <w:gridCol w:w="1207"/>
        <w:gridCol w:w="1578"/>
      </w:tblGrid>
      <w:tr>
        <w:tblPrEx>
          <w:tblCellMar>
            <w:top w:w="0" w:type="dxa"/>
            <w:left w:w="108" w:type="dxa"/>
            <w:bottom w:w="0" w:type="dxa"/>
            <w:right w:w="108" w:type="dxa"/>
          </w:tblCellMar>
        </w:tblPrEx>
        <w:trPr>
          <w:trHeight w:val="697" w:hRule="atLeast"/>
          <w:jc w:val="center"/>
        </w:trPr>
        <w:tc>
          <w:tcPr>
            <w:tcW w:w="13554"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80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培训名称</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召开地点            　</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培训会期</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503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劳务费预算明细表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4</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7"/>
        <w:tblW w:w="0" w:type="auto"/>
        <w:jc w:val="center"/>
        <w:tblLayout w:type="fixed"/>
        <w:tblCellMar>
          <w:top w:w="0" w:type="dxa"/>
          <w:left w:w="108" w:type="dxa"/>
          <w:bottom w:w="0" w:type="dxa"/>
          <w:right w:w="108" w:type="dxa"/>
        </w:tblCellMar>
      </w:tblPr>
      <w:tblGrid>
        <w:gridCol w:w="838"/>
        <w:gridCol w:w="2319"/>
        <w:gridCol w:w="1595"/>
        <w:gridCol w:w="1561"/>
        <w:gridCol w:w="1575"/>
        <w:gridCol w:w="1380"/>
        <w:gridCol w:w="1276"/>
        <w:gridCol w:w="1266"/>
        <w:gridCol w:w="1593"/>
      </w:tblGrid>
      <w:tr>
        <w:tblPrEx>
          <w:tblCellMar>
            <w:top w:w="0" w:type="dxa"/>
            <w:left w:w="108" w:type="dxa"/>
            <w:bottom w:w="0" w:type="dxa"/>
            <w:right w:w="108" w:type="dxa"/>
          </w:tblCellMar>
        </w:tblPrEx>
        <w:trPr>
          <w:trHeight w:val="543" w:hRule="atLeast"/>
          <w:jc w:val="center"/>
        </w:trPr>
        <w:tc>
          <w:tcPr>
            <w:tcW w:w="13403"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822" w:hRule="atLeast"/>
          <w:jc w:val="center"/>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人员类别</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（元/月）           　</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其中：人均社会保险标准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（元/人月）</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工作月数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63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专家咨询费预算明细表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5</w:t>
      </w:r>
      <w:r>
        <w:rPr>
          <w:rFonts w:hint="eastAsia"/>
          <w:b w:val="0"/>
          <w:bCs w:val="0"/>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ascii="仿宋_GB2312" w:hAnsi="仿宋_GB2312" w:eastAsia="仿宋_GB2312" w:cs="仿宋_GB2312"/>
          <w:b/>
          <w:bCs/>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7"/>
        <w:tblW w:w="0" w:type="auto"/>
        <w:jc w:val="center"/>
        <w:tblLayout w:type="fixed"/>
        <w:tblCellMar>
          <w:top w:w="0" w:type="dxa"/>
          <w:left w:w="108" w:type="dxa"/>
          <w:bottom w:w="0" w:type="dxa"/>
          <w:right w:w="108" w:type="dxa"/>
        </w:tblCellMar>
      </w:tblPr>
      <w:tblGrid>
        <w:gridCol w:w="838"/>
        <w:gridCol w:w="1776"/>
        <w:gridCol w:w="1595"/>
        <w:gridCol w:w="1330"/>
        <w:gridCol w:w="1343"/>
        <w:gridCol w:w="1596"/>
        <w:gridCol w:w="1386"/>
        <w:gridCol w:w="1318"/>
        <w:gridCol w:w="1399"/>
        <w:gridCol w:w="1624"/>
      </w:tblGrid>
      <w:tr>
        <w:tblPrEx>
          <w:tblCellMar>
            <w:top w:w="0" w:type="dxa"/>
            <w:left w:w="108" w:type="dxa"/>
            <w:bottom w:w="0" w:type="dxa"/>
            <w:right w:w="108" w:type="dxa"/>
          </w:tblCellMar>
        </w:tblPrEx>
        <w:trPr>
          <w:trHeight w:val="419" w:hRule="atLeast"/>
          <w:jc w:val="center"/>
        </w:trPr>
        <w:tc>
          <w:tcPr>
            <w:tcW w:w="14205"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687" w:hRule="atLeast"/>
          <w:jc w:val="center"/>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人员类别</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咨询类型           　</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天数/次</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553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Hans"/>
        </w:rPr>
        <w:t>基本建设</w:t>
      </w:r>
      <w:r>
        <w:rPr>
          <w:rFonts w:hint="eastAsia" w:ascii="方正小标宋简体" w:hAnsi="方正小标宋简体" w:eastAsia="方正小标宋简体" w:cs="方正小标宋简体"/>
          <w:color w:val="auto"/>
          <w:sz w:val="44"/>
          <w:szCs w:val="44"/>
        </w:rPr>
        <w:t>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6</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金额单位：万元</w:t>
      </w:r>
    </w:p>
    <w:tbl>
      <w:tblPr>
        <w:tblStyle w:val="7"/>
        <w:tblW w:w="13099" w:type="dxa"/>
        <w:jc w:val="center"/>
        <w:tblLayout w:type="fixed"/>
        <w:tblCellMar>
          <w:top w:w="0" w:type="dxa"/>
          <w:left w:w="108" w:type="dxa"/>
          <w:bottom w:w="0" w:type="dxa"/>
          <w:right w:w="108" w:type="dxa"/>
        </w:tblCellMar>
      </w:tblPr>
      <w:tblGrid>
        <w:gridCol w:w="964"/>
        <w:gridCol w:w="2460"/>
        <w:gridCol w:w="2130"/>
        <w:gridCol w:w="2115"/>
        <w:gridCol w:w="2025"/>
        <w:gridCol w:w="1590"/>
        <w:gridCol w:w="1815"/>
      </w:tblGrid>
      <w:tr>
        <w:tblPrEx>
          <w:tblCellMar>
            <w:top w:w="0" w:type="dxa"/>
            <w:left w:w="108" w:type="dxa"/>
            <w:bottom w:w="0" w:type="dxa"/>
            <w:right w:w="108" w:type="dxa"/>
          </w:tblCellMar>
        </w:tblPrEx>
        <w:trPr>
          <w:trHeight w:val="440" w:hRule="atLeast"/>
          <w:jc w:val="center"/>
        </w:trPr>
        <w:tc>
          <w:tcPr>
            <w:tcW w:w="13099"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632" w:hRule="atLeast"/>
          <w:jc w:val="center"/>
        </w:trPr>
        <w:tc>
          <w:tcPr>
            <w:tcW w:w="96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科目</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lang w:eastAsia="zh-Hans"/>
              </w:rPr>
              <w:t>单价（元）</w:t>
            </w:r>
            <w:r>
              <w:rPr>
                <w:rFonts w:hint="eastAsia" w:ascii="黑体" w:hAnsi="黑体" w:eastAsia="黑体" w:cs="黑体"/>
                <w:b w:val="0"/>
                <w:bCs w:val="0"/>
                <w:color w:val="auto"/>
                <w:kern w:val="0"/>
                <w:sz w:val="20"/>
                <w:szCs w:val="20"/>
              </w:rPr>
              <w:t xml:space="preserve">          　</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工程量</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金额</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资金来源</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96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r>
      <w:tr>
        <w:tblPrEx>
          <w:tblCellMar>
            <w:top w:w="0" w:type="dxa"/>
            <w:left w:w="108" w:type="dxa"/>
            <w:bottom w:w="0" w:type="dxa"/>
            <w:right w:w="108" w:type="dxa"/>
          </w:tblCellMar>
        </w:tblPrEx>
        <w:trPr>
          <w:trHeight w:val="405"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bCs/>
                <w:color w:val="auto"/>
                <w:kern w:val="0"/>
                <w:sz w:val="20"/>
                <w:szCs w:val="20"/>
              </w:rPr>
              <w:t>1</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b/>
                <w:bCs/>
                <w:color w:val="auto"/>
                <w:kern w:val="0"/>
                <w:sz w:val="20"/>
                <w:szCs w:val="20"/>
                <w:lang w:eastAsia="zh-Hans"/>
              </w:rPr>
              <w:t>基本建设费合计</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.1</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房屋建筑物构建</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.2</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专用设备购置</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.3</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基础设施建设</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.4</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大型修缮</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.5</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信息网络建设</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其他基本建设支出</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bl>
    <w:p>
      <w:pPr>
        <w:rPr>
          <w:color w:val="auto"/>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其他费用预算明细表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ind w:firstLine="200" w:firstLineChars="100"/>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7</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7"/>
        <w:tblW w:w="0" w:type="auto"/>
        <w:jc w:val="center"/>
        <w:tblLayout w:type="fixed"/>
        <w:tblCellMar>
          <w:top w:w="0" w:type="dxa"/>
          <w:left w:w="108" w:type="dxa"/>
          <w:bottom w:w="0" w:type="dxa"/>
          <w:right w:w="108" w:type="dxa"/>
        </w:tblCellMar>
      </w:tblPr>
      <w:tblGrid>
        <w:gridCol w:w="869"/>
        <w:gridCol w:w="3350"/>
        <w:gridCol w:w="1728"/>
        <w:gridCol w:w="1653"/>
        <w:gridCol w:w="1349"/>
        <w:gridCol w:w="1513"/>
        <w:gridCol w:w="1235"/>
        <w:gridCol w:w="1636"/>
      </w:tblGrid>
      <w:tr>
        <w:tblPrEx>
          <w:tblCellMar>
            <w:top w:w="0" w:type="dxa"/>
            <w:left w:w="108" w:type="dxa"/>
            <w:bottom w:w="0" w:type="dxa"/>
            <w:right w:w="108" w:type="dxa"/>
          </w:tblCellMar>
        </w:tblPrEx>
        <w:trPr>
          <w:trHeight w:val="697" w:hRule="atLeast"/>
          <w:jc w:val="center"/>
        </w:trPr>
        <w:tc>
          <w:tcPr>
            <w:tcW w:w="1333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717" w:hRule="atLeast"/>
          <w:jc w:val="center"/>
        </w:trPr>
        <w:tc>
          <w:tcPr>
            <w:tcW w:w="86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          　</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r>
      <w:tr>
        <w:tblPrEx>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60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间接费用预算明细表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ind w:firstLine="300" w:firstLineChars="150"/>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8</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372"/>
        <w:gridCol w:w="2854"/>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309" w:type="dxa"/>
            <w:gridSpan w:val="4"/>
            <w:noWrap w:val="0"/>
            <w:vAlign w:val="center"/>
          </w:tcPr>
          <w:p>
            <w:pPr>
              <w:adjustRightInd w:val="0"/>
              <w:snapToGrid w:val="0"/>
              <w:spacing w:line="276" w:lineRule="auto"/>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填表说明：1.资金来源：省级财政专项资金、其他渠道资金；</w:t>
            </w:r>
          </w:p>
          <w:p>
            <w:pPr>
              <w:adjustRightInd w:val="0"/>
              <w:snapToGrid w:val="0"/>
              <w:spacing w:line="276" w:lineRule="auto"/>
              <w:ind w:firstLine="1000" w:firstLineChars="500"/>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2.科研项目（课题）如包括技术推广示范内容，应扣减相应资金后再按照间接费用计算方法计算，并提供预算编制说明。技术推广示范类</w:t>
            </w:r>
          </w:p>
          <w:p>
            <w:pPr>
              <w:adjustRightInd w:val="0"/>
              <w:snapToGrid w:val="0"/>
              <w:spacing w:line="276" w:lineRule="auto"/>
              <w:ind w:firstLine="1200" w:firstLineChars="600"/>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项目（课题）不允许列支间接费用。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69" w:type="dxa"/>
            <w:vMerge w:val="restart"/>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5372"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285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421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9" w:type="dxa"/>
            <w:vMerge w:val="continue"/>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5372"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285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421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4214"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4214"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4214"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4214"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4214"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41" w:type="dxa"/>
            <w:gridSpan w:val="2"/>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2854"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4214"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项目（课题）承担单位资金分配预算明细表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w:t>
      </w:r>
      <w:r>
        <w:rPr>
          <w:rFonts w:hint="eastAsia" w:ascii="黑体" w:hAnsi="黑体" w:eastAsia="黑体" w:cs="黑体"/>
          <w:b w:val="0"/>
          <w:bCs w:val="0"/>
          <w:color w:val="auto"/>
          <w:sz w:val="20"/>
          <w:lang w:val="en-US" w:eastAsia="zh-CN"/>
        </w:rPr>
        <w:t>19</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7"/>
        <w:tblW w:w="0" w:type="auto"/>
        <w:jc w:val="center"/>
        <w:tblLayout w:type="fixed"/>
        <w:tblCellMar>
          <w:top w:w="0" w:type="dxa"/>
          <w:left w:w="0" w:type="dxa"/>
          <w:bottom w:w="0" w:type="dxa"/>
          <w:right w:w="0" w:type="dxa"/>
        </w:tblCellMar>
      </w:tblPr>
      <w:tblGrid>
        <w:gridCol w:w="426"/>
        <w:gridCol w:w="2983"/>
        <w:gridCol w:w="888"/>
        <w:gridCol w:w="838"/>
        <w:gridCol w:w="3207"/>
        <w:gridCol w:w="983"/>
        <w:gridCol w:w="9"/>
        <w:gridCol w:w="961"/>
        <w:gridCol w:w="9"/>
        <w:gridCol w:w="890"/>
        <w:gridCol w:w="1077"/>
        <w:gridCol w:w="1092"/>
      </w:tblGrid>
      <w:tr>
        <w:tblPrEx>
          <w:tblCellMar>
            <w:top w:w="0" w:type="dxa"/>
            <w:left w:w="0" w:type="dxa"/>
            <w:bottom w:w="0" w:type="dxa"/>
            <w:right w:w="0" w:type="dxa"/>
          </w:tblCellMar>
        </w:tblPrEx>
        <w:trPr>
          <w:cantSplit/>
          <w:trHeight w:val="965" w:hRule="atLeast"/>
          <w:jc w:val="center"/>
        </w:trPr>
        <w:tc>
          <w:tcPr>
            <w:tcW w:w="13363"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adjustRightInd w:val="0"/>
              <w:snapToGrid w:val="0"/>
              <w:spacing w:line="220" w:lineRule="exact"/>
              <w:ind w:left="0" w:firstLine="0" w:firstLineChars="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填表说明：1.单位类型为牵头承担单位、参与单位；</w:t>
            </w:r>
          </w:p>
          <w:p>
            <w:pPr>
              <w:autoSpaceDE w:val="0"/>
              <w:autoSpaceDN w:val="0"/>
              <w:adjustRightInd w:val="0"/>
              <w:snapToGrid w:val="0"/>
              <w:spacing w:line="220" w:lineRule="exact"/>
              <w:ind w:left="661" w:hanging="704" w:hangingChars="352"/>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2.组织机构代码指企事业单位国家标准代码，单位若已三证合一请填写单位统一社会信用代码, 无组织机构代码的单位填写“000000000”。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426" w:type="dxa"/>
            <w:vMerge w:val="restart"/>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83" w:type="dxa"/>
            <w:vMerge w:val="restart"/>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单位名称</w:t>
            </w:r>
          </w:p>
        </w:tc>
        <w:tc>
          <w:tcPr>
            <w:tcW w:w="888" w:type="dxa"/>
            <w:vMerge w:val="restart"/>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组织机构代码</w:t>
            </w:r>
          </w:p>
        </w:tc>
        <w:tc>
          <w:tcPr>
            <w:tcW w:w="838" w:type="dxa"/>
            <w:vMerge w:val="restart"/>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类型</w:t>
            </w:r>
          </w:p>
        </w:tc>
        <w:tc>
          <w:tcPr>
            <w:tcW w:w="3207" w:type="dxa"/>
            <w:vMerge w:val="restart"/>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任务分工</w:t>
            </w:r>
          </w:p>
        </w:tc>
        <w:tc>
          <w:tcPr>
            <w:tcW w:w="983" w:type="dxa"/>
            <w:vMerge w:val="restart"/>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负责人</w:t>
            </w:r>
          </w:p>
        </w:tc>
        <w:tc>
          <w:tcPr>
            <w:tcW w:w="970" w:type="dxa"/>
            <w:gridSpan w:val="2"/>
            <w:vMerge w:val="restart"/>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1976" w:type="dxa"/>
            <w:gridSpan w:val="3"/>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1092" w:type="dxa"/>
            <w:vMerge w:val="restart"/>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vMerge w:val="continue"/>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88" w:type="dxa"/>
            <w:vMerge w:val="continue"/>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38"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3207"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83" w:type="dxa"/>
            <w:vMerge w:val="continue"/>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70" w:type="dxa"/>
            <w:gridSpan w:val="2"/>
            <w:vMerge w:val="continue"/>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小计</w:t>
            </w: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其中：间接费用 </w:t>
            </w:r>
          </w:p>
        </w:tc>
        <w:tc>
          <w:tcPr>
            <w:tcW w:w="1092" w:type="dxa"/>
            <w:vMerge w:val="continue"/>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888" w:type="dxa"/>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83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3207"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983" w:type="dxa"/>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（8）</w:t>
            </w:r>
          </w:p>
        </w:tc>
        <w:tc>
          <w:tcPr>
            <w:tcW w:w="1092" w:type="dxa"/>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2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88"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38"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3207"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2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88"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38"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3207"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34" w:type="dxa"/>
            <w:gridSpan w:val="7"/>
            <w:tcBorders>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累计</w:t>
            </w: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890"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r>
    </w:tbl>
    <w:p>
      <w:pPr>
        <w:adjustRightInd w:val="0"/>
        <w:snapToGrid w:val="0"/>
        <w:spacing w:line="440" w:lineRule="exact"/>
        <w:rPr>
          <w:rFonts w:hint="eastAsia" w:ascii="仿宋_GB2312" w:hAnsi="仿宋_GB2312" w:eastAsia="仿宋_GB2312" w:cs="仿宋_GB2312"/>
          <w:color w:val="auto"/>
          <w:sz w:val="20"/>
          <w:szCs w:val="20"/>
        </w:rPr>
      </w:pPr>
      <w:r>
        <w:rPr>
          <w:rFonts w:hint="eastAsia" w:ascii="黑体" w:hAnsi="黑体" w:eastAsia="黑体" w:cs="黑体"/>
          <w:color w:val="auto"/>
          <w:sz w:val="20"/>
          <w:szCs w:val="20"/>
        </w:rPr>
        <w:t>注：</w:t>
      </w:r>
      <w:r>
        <w:rPr>
          <w:rFonts w:hint="eastAsia" w:ascii="仿宋_GB2312" w:hAnsi="仿宋_GB2312" w:eastAsia="仿宋_GB2312" w:cs="仿宋_GB2312"/>
          <w:color w:val="auto"/>
          <w:sz w:val="20"/>
          <w:szCs w:val="20"/>
        </w:rPr>
        <w:t>1.任务分工的描述应简洁，不超过300字。</w:t>
      </w:r>
    </w:p>
    <w:p>
      <w:pPr>
        <w:topLinePunct w:val="0"/>
        <w:adjustRightInd w:val="0"/>
        <w:snapToGrid w:val="0"/>
        <w:spacing w:line="440" w:lineRule="exact"/>
        <w:ind w:firstLine="400" w:firstLineChars="20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2.牵头承担单位应当根据实施进度和资金使用情况汇报、监督工作，参与单位不得再向外转拨资金。</w:t>
      </w:r>
    </w:p>
    <w:p>
      <w:pPr>
        <w:ind w:firstLine="450" w:firstLineChars="250"/>
        <w:rPr>
          <w:rFonts w:ascii="宋体" w:hAnsi="宋体" w:cs="宋体"/>
          <w:color w:val="auto"/>
          <w:sz w:val="18"/>
          <w:szCs w:val="18"/>
        </w:rPr>
      </w:pPr>
    </w:p>
    <w:p>
      <w:pPr>
        <w:ind w:firstLine="450" w:firstLineChars="250"/>
        <w:rPr>
          <w:rFonts w:ascii="宋体" w:hAnsi="宋体" w:cs="宋体"/>
          <w:color w:val="auto"/>
          <w:sz w:val="18"/>
          <w:szCs w:val="1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九、预算主要用途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（一）省级财政资金预算主要用途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（主要说明省级财政资金与研究任务/推广示范任务的关系及一一对应情况等）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（二）其他渠道资金预算主要用途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十、预算说明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w:t>
      </w:r>
      <w:r>
        <w:rPr>
          <w:rFonts w:hint="eastAsia" w:ascii="仿宋_GB2312" w:hAnsi="仿宋_GB2312" w:eastAsia="仿宋_GB2312" w:cs="仿宋_GB2312"/>
          <w:i w:val="0"/>
          <w:iCs w:val="0"/>
          <w:snapToGrid w:val="0"/>
          <w:color w:val="auto"/>
          <w:kern w:val="0"/>
          <w:sz w:val="32"/>
          <w:szCs w:val="32"/>
          <w:lang w:eastAsia="zh-Hans"/>
        </w:rPr>
        <w:t>该部分需严格按照如下要求编写。</w:t>
      </w:r>
      <w:r>
        <w:rPr>
          <w:rFonts w:hint="eastAsia" w:ascii="仿宋_GB2312" w:hAnsi="仿宋_GB2312" w:eastAsia="仿宋_GB2312" w:cs="仿宋_GB2312"/>
          <w:i w:val="0"/>
          <w:iCs w:val="0"/>
          <w:snapToGrid w:val="0"/>
          <w:color w:val="auto"/>
          <w:kern w:val="0"/>
          <w:sz w:val="32"/>
          <w:szCs w:val="32"/>
        </w:rPr>
        <w:t>“</w:t>
      </w:r>
      <w:r>
        <w:rPr>
          <w:rFonts w:hint="eastAsia" w:ascii="仿宋_GB2312" w:hAnsi="仿宋_GB2312" w:eastAsia="仿宋_GB2312" w:cs="仿宋_GB2312"/>
          <w:i w:val="0"/>
          <w:iCs w:val="0"/>
          <w:snapToGrid w:val="0"/>
          <w:color w:val="auto"/>
          <w:kern w:val="0"/>
          <w:sz w:val="32"/>
          <w:szCs w:val="32"/>
          <w:lang w:eastAsia="zh-Hans"/>
        </w:rPr>
        <w:t>研究内容</w:t>
      </w:r>
      <w:r>
        <w:rPr>
          <w:rFonts w:hint="eastAsia" w:ascii="仿宋_GB2312" w:hAnsi="仿宋_GB2312" w:eastAsia="仿宋_GB2312" w:cs="仿宋_GB2312"/>
          <w:i w:val="0"/>
          <w:iCs w:val="0"/>
          <w:snapToGrid w:val="0"/>
          <w:color w:val="auto"/>
          <w:kern w:val="0"/>
          <w:sz w:val="32"/>
          <w:szCs w:val="32"/>
        </w:rPr>
        <w:t>”分为几部分，每一个费类应对应研究内容的部分，分别说明。对项目（课题）各科目支出主要用途、与项目（课题）任务的相关性、必要性及测算方法、测算依据进行详细说明；如同一科目同时编列省级财政专项资金和其他渠道资金的，应分别就省级财政专项资金、其他渠道资金在本科目的具体用途予以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（一）直接费用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1.设备费（应当对仪器设备购置进行重点说明）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经费预算  万元，占总经费预算  %。</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（2）与项目（课题）</w:t>
      </w:r>
      <w:r>
        <w:rPr>
          <w:rFonts w:hint="eastAsia" w:ascii="仿宋_GB2312" w:hAnsi="仿宋_GB2312" w:eastAsia="仿宋_GB2312" w:cs="仿宋_GB2312"/>
          <w:i w:val="0"/>
          <w:iCs w:val="0"/>
          <w:snapToGrid w:val="0"/>
          <w:color w:val="auto"/>
          <w:kern w:val="0"/>
          <w:sz w:val="32"/>
          <w:szCs w:val="32"/>
          <w:lang w:eastAsia="zh-Hans"/>
        </w:rPr>
        <w:t>任务的</w:t>
      </w:r>
      <w:r>
        <w:rPr>
          <w:rFonts w:hint="eastAsia" w:ascii="仿宋_GB2312" w:hAnsi="仿宋_GB2312" w:eastAsia="仿宋_GB2312" w:cs="仿宋_GB2312"/>
          <w:i w:val="0"/>
          <w:iCs w:val="0"/>
          <w:snapToGrid w:val="0"/>
          <w:color w:val="auto"/>
          <w:kern w:val="0"/>
          <w:sz w:val="32"/>
          <w:szCs w:val="32"/>
        </w:rPr>
        <w:t>相关性说明：应说明该项支出的主要用途，用于支撑保障研究的哪部分内容，拟支出内容的必要性。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研究内容2：</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bidi="ar"/>
        </w:rPr>
        <w:t>（2）与项目（课题）任务的相关性说明：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bidi="ar"/>
        </w:rPr>
        <w:t>（3）测算方法（依据）：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2.材料费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3.测试化验加工费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4.燃料动力费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5.出版/文献/信息传播/知识产权事务费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6.会议/差旅/国际合作与交流费（科研人员结合科研活动实际需要编制预算并按规定统筹安排使用，其中不超过直接费用10%的，不需要提供预算测算依据。超过直接费用10%的，应说明测算过程和依据）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7.培训费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8.劳务费（劳务费预算无比例限制。参与项目（课题）实施的研究生、博士后、访问学者以及项目（课题）聘用的人员、科研辅助人员等，均可开支劳务费。项目（课题）聘用人员的劳务费开支标准，参照当地科学研究和技术服务业从业人员平均工资水平，根据其在项目（课题）实施中承担的工作任务确定，其社会保险补助纳入劳务费科目中列支）</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应说明该项支出的主要用途，用于支撑保障研究的哪部分内容，拟支出内容的必要性。同时应与项目人员表中所列人员相一致。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10</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专家咨询费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11</w:t>
      </w:r>
      <w:r>
        <w:rPr>
          <w:rFonts w:hint="eastAsia" w:ascii="仿宋_GB2312" w:hAnsi="仿宋_GB2312" w:eastAsia="仿宋_GB2312" w:cs="仿宋_GB2312"/>
          <w:i w:val="0"/>
          <w:iCs w:val="0"/>
          <w:snapToGrid w:val="0"/>
          <w:color w:val="auto"/>
          <w:kern w:val="0"/>
          <w:sz w:val="32"/>
          <w:szCs w:val="32"/>
          <w:lang w:eastAsia="zh-Hans"/>
        </w:rPr>
        <w:t>.基本建设费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12.其他</w:t>
      </w:r>
      <w:r>
        <w:rPr>
          <w:rFonts w:hint="eastAsia" w:ascii="仿宋_GB2312" w:hAnsi="仿宋_GB2312" w:eastAsia="仿宋_GB2312" w:cs="仿宋_GB2312"/>
          <w:i w:val="0"/>
          <w:iCs w:val="0"/>
          <w:snapToGrid w:val="0"/>
          <w:color w:val="auto"/>
          <w:kern w:val="0"/>
          <w:sz w:val="32"/>
          <w:szCs w:val="32"/>
          <w:lang w:eastAsia="zh-Hans"/>
        </w:rPr>
        <w:t>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（二）间接费用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iCs/>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（科研项目（课题）如包括技术推广示范内容，应扣减相应资金后再按照间接费用计算方法计算，并提供预算编制说明。技术推广示范类项目（课题）不允许列支间接费用）</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十一、绩效目标</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_GB2312" w:hAnsi="仿宋_GB2312" w:eastAsia="仿宋_GB2312" w:cs="仿宋_GB2312"/>
          <w:i w:val="0"/>
          <w:iCs w:val="0"/>
          <w:color w:val="auto"/>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r>
        <w:rPr>
          <w:rFonts w:hint="eastAsia" w:ascii="仿宋_GB2312" w:hAnsi="仿宋_GB2312" w:eastAsia="仿宋_GB2312" w:cs="仿宋_GB2312"/>
          <w:i w:val="0"/>
          <w:iCs w:val="0"/>
          <w:color w:val="auto"/>
          <w:sz w:val="32"/>
          <w:szCs w:val="32"/>
        </w:rPr>
        <w:t>（包含经济效益、社会效益、生态效益分析。需填写支出绩效目标表）</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方正小标宋简体" w:hAnsi="方正小标宋简体" w:eastAsia="方正小标宋简体" w:cs="方正小标宋简体"/>
          <w:color w:val="auto"/>
          <w:kern w:val="0"/>
          <w:sz w:val="32"/>
          <w:szCs w:val="32"/>
          <w:lang w:bidi="ar"/>
        </w:rPr>
      </w:pPr>
      <w:r>
        <w:rPr>
          <w:rFonts w:hint="eastAsia" w:ascii="方正小标宋简体" w:hAnsi="方正小标宋简体" w:eastAsia="方正小标宋简体" w:cs="方正小标宋简体"/>
          <w:color w:val="auto"/>
          <w:kern w:val="0"/>
          <w:sz w:val="32"/>
          <w:szCs w:val="32"/>
          <w:lang w:bidi="ar"/>
        </w:rPr>
        <w:t>支出绩效目标表（示例）</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宋体" w:eastAsia="仿宋_GB2312" w:cs="仿宋_GB2312"/>
          <w:color w:val="auto"/>
          <w:kern w:val="0"/>
          <w:sz w:val="24"/>
          <w:szCs w:val="24"/>
          <w:lang w:bidi="ar"/>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单位：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项目（课题）名称：</w:t>
      </w:r>
    </w:p>
    <w:tbl>
      <w:tblPr>
        <w:tblStyle w:val="7"/>
        <w:tblW w:w="13543" w:type="dxa"/>
        <w:jc w:val="center"/>
        <w:tblLayout w:type="fixed"/>
        <w:tblCellMar>
          <w:top w:w="15" w:type="dxa"/>
          <w:left w:w="15" w:type="dxa"/>
          <w:bottom w:w="15" w:type="dxa"/>
          <w:right w:w="15" w:type="dxa"/>
        </w:tblCellMar>
      </w:tblPr>
      <w:tblGrid>
        <w:gridCol w:w="1141"/>
        <w:gridCol w:w="1440"/>
        <w:gridCol w:w="2325"/>
        <w:gridCol w:w="1725"/>
        <w:gridCol w:w="1396"/>
        <w:gridCol w:w="5516"/>
      </w:tblGrid>
      <w:tr>
        <w:tblPrEx>
          <w:tblCellMar>
            <w:top w:w="15" w:type="dxa"/>
            <w:left w:w="15" w:type="dxa"/>
            <w:bottom w:w="15" w:type="dxa"/>
            <w:right w:w="15" w:type="dxa"/>
          </w:tblCellMar>
        </w:tblPrEx>
        <w:trPr>
          <w:trHeight w:val="567" w:hRule="atLeast"/>
          <w:tblHeader/>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绩效目标</w:t>
            </w:r>
          </w:p>
        </w:tc>
        <w:tc>
          <w:tcPr>
            <w:tcW w:w="3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实施期目标（跨年度项目（课题）需填写，当年度项目（课题）不需填写）</w:t>
            </w:r>
          </w:p>
        </w:tc>
        <w:tc>
          <w:tcPr>
            <w:tcW w:w="31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当年度目标*</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填写说明</w:t>
            </w:r>
          </w:p>
        </w:tc>
      </w:tr>
      <w:tr>
        <w:tblPrEx>
          <w:tblCellMar>
            <w:top w:w="15" w:type="dxa"/>
            <w:left w:w="15" w:type="dxa"/>
            <w:bottom w:w="15" w:type="dxa"/>
            <w:right w:w="15" w:type="dxa"/>
          </w:tblCellMar>
        </w:tblPrEx>
        <w:trPr>
          <w:trHeight w:val="567"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总体目标</w:t>
            </w:r>
          </w:p>
        </w:tc>
        <w:tc>
          <w:tcPr>
            <w:tcW w:w="3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c>
          <w:tcPr>
            <w:tcW w:w="31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根据</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资金设立（或政策意图）的初衷，概括性描述该</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资金安排后应达到的总体目标和效果（总任务、总要求、总产出和总效益）。</w:t>
            </w:r>
          </w:p>
        </w:tc>
      </w:tr>
      <w:tr>
        <w:tblPrEx>
          <w:tblCellMar>
            <w:top w:w="15" w:type="dxa"/>
            <w:left w:w="15" w:type="dxa"/>
            <w:bottom w:w="15" w:type="dxa"/>
            <w:right w:w="15" w:type="dxa"/>
          </w:tblCellMar>
        </w:tblPrEx>
        <w:trPr>
          <w:trHeight w:val="452"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一级指标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二级指标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三级指标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实施周期指标值</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当年度指标值</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512"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产</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出</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数量指标*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举办</w:t>
            </w: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培训班</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3期</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对目标任务用指标值进行量化描述，确实无法量化的指标值可采用定性表述。如：举办</w:t>
            </w: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培训班，3期；培训人数，120人。</w:t>
            </w:r>
          </w:p>
        </w:tc>
      </w:tr>
      <w:tr>
        <w:tblPrEx>
          <w:tblCellMar>
            <w:top w:w="15" w:type="dxa"/>
            <w:left w:w="15" w:type="dxa"/>
            <w:bottom w:w="15" w:type="dxa"/>
            <w:right w:w="15" w:type="dxa"/>
          </w:tblCellMar>
        </w:tblPrEx>
        <w:trPr>
          <w:trHeight w:val="43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培训人数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120人</w:t>
            </w: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4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56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49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质量指标*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培训学员合格率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Style w:val="10"/>
                <w:rFonts w:hint="default" w:hAnsi="宋体"/>
                <w:color w:val="auto"/>
                <w:sz w:val="20"/>
                <w:szCs w:val="20"/>
                <w:lang w:bidi="ar"/>
              </w:rPr>
              <w:t>对目标任务的质量要求（标准）进行量化描述，确实无法量化的指标值可采用定性表述。如：培训学员合格率</w:t>
            </w:r>
            <w:r>
              <w:rPr>
                <w:rFonts w:ascii="宋体" w:hAnsi="宋体" w:cs="宋体"/>
                <w:color w:val="auto"/>
                <w:kern w:val="0"/>
                <w:sz w:val="20"/>
                <w:szCs w:val="20"/>
                <w:lang w:bidi="ar"/>
              </w:rPr>
              <w:t>≧</w:t>
            </w:r>
            <w:r>
              <w:rPr>
                <w:rStyle w:val="10"/>
                <w:rFonts w:hint="default" w:hAnsi="宋体"/>
                <w:color w:val="auto"/>
                <w:sz w:val="20"/>
                <w:szCs w:val="20"/>
                <w:lang w:bidi="ar"/>
              </w:rPr>
              <w:t>98%。</w:t>
            </w:r>
          </w:p>
        </w:tc>
      </w:tr>
      <w:tr>
        <w:tblPrEx>
          <w:tblCellMar>
            <w:top w:w="15" w:type="dxa"/>
            <w:left w:w="15" w:type="dxa"/>
            <w:bottom w:w="15" w:type="dxa"/>
            <w:right w:w="15" w:type="dxa"/>
          </w:tblCellMar>
        </w:tblPrEx>
        <w:trPr>
          <w:trHeight w:val="44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48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时效指标*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完成时限</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eastAsia="zh-CN" w:bidi="ar"/>
              </w:rPr>
              <w:t>2024</w:t>
            </w:r>
            <w:r>
              <w:rPr>
                <w:rFonts w:hint="eastAsia" w:ascii="仿宋_GB2312" w:hAnsi="宋体" w:eastAsia="仿宋_GB2312" w:cs="仿宋_GB2312"/>
                <w:color w:val="auto"/>
                <w:kern w:val="0"/>
                <w:sz w:val="20"/>
                <w:szCs w:val="20"/>
                <w:lang w:bidi="ar"/>
              </w:rPr>
              <w:t>年前</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对目标任务的完成时间进行量化描述。如：完成时限，</w:t>
            </w:r>
            <w:r>
              <w:rPr>
                <w:rFonts w:hint="eastAsia" w:ascii="仿宋_GB2312" w:hAnsi="宋体" w:eastAsia="仿宋_GB2312" w:cs="仿宋_GB2312"/>
                <w:color w:val="auto"/>
                <w:kern w:val="0"/>
                <w:sz w:val="20"/>
                <w:szCs w:val="20"/>
                <w:lang w:eastAsia="zh-CN" w:bidi="ar"/>
              </w:rPr>
              <w:t>2022</w:t>
            </w:r>
            <w:r>
              <w:rPr>
                <w:rFonts w:hint="eastAsia" w:ascii="仿宋_GB2312" w:hAnsi="宋体" w:eastAsia="仿宋_GB2312" w:cs="仿宋_GB2312"/>
                <w:color w:val="auto"/>
                <w:kern w:val="0"/>
                <w:sz w:val="20"/>
                <w:szCs w:val="20"/>
                <w:lang w:bidi="ar"/>
              </w:rPr>
              <w:t>年12月31日前。</w:t>
            </w:r>
          </w:p>
        </w:tc>
      </w:tr>
      <w:tr>
        <w:tblPrEx>
          <w:tblCellMar>
            <w:top w:w="15" w:type="dxa"/>
            <w:left w:w="15" w:type="dxa"/>
            <w:bottom w:w="15" w:type="dxa"/>
            <w:right w:w="15" w:type="dxa"/>
          </w:tblCellMar>
        </w:tblPrEx>
        <w:trPr>
          <w:trHeight w:val="39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54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成本指标*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培训班培训费支出</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00" w:firstLineChars="100"/>
              <w:jc w:val="center"/>
              <w:textAlignment w:val="center"/>
              <w:rPr>
                <w:rFonts w:ascii="仿宋_GB2312" w:hAnsi="宋体" w:eastAsia="仿宋_GB2312" w:cs="仿宋_GB2312"/>
                <w:color w:val="auto"/>
                <w:kern w:val="0"/>
                <w:sz w:val="20"/>
                <w:szCs w:val="20"/>
                <w:lang w:bidi="ar"/>
              </w:rPr>
            </w:pP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对资金支出成本控制进行量化描述。确实无法量化的指标值可采用定性表述。如：</w:t>
            </w: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成本支出</w:t>
            </w:r>
          </w:p>
        </w:tc>
      </w:tr>
      <w:tr>
        <w:tblPrEx>
          <w:tblCellMar>
            <w:top w:w="15" w:type="dxa"/>
            <w:left w:w="15" w:type="dxa"/>
            <w:bottom w:w="15" w:type="dxa"/>
            <w:right w:w="15" w:type="dxa"/>
          </w:tblCellMar>
        </w:tblPrEx>
        <w:trPr>
          <w:trHeight w:val="4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567"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效</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益</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经济效益指标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56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56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社会效益指标*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农业科技进步贡献率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≧80%</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实施后产生的社会效益，无法量化的指标值可采用定性表述。如提高管理能力</w:t>
            </w:r>
          </w:p>
        </w:tc>
      </w:tr>
      <w:tr>
        <w:tblPrEx>
          <w:tblCellMar>
            <w:top w:w="15" w:type="dxa"/>
            <w:left w:w="15" w:type="dxa"/>
            <w:bottom w:w="15" w:type="dxa"/>
            <w:right w:w="15" w:type="dxa"/>
          </w:tblCellMar>
        </w:tblPrEx>
        <w:trPr>
          <w:trHeight w:val="56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全省重大农产品质量事故</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0</w:t>
            </w: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56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生态效益指标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主要农作物化肥利用率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≧40%</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涉及污染监控整治管理类的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选填，不涉及的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可不填写。如：主要农作物化肥利用率≧40%</w:t>
            </w:r>
          </w:p>
        </w:tc>
      </w:tr>
      <w:tr>
        <w:tblPrEx>
          <w:tblCellMar>
            <w:top w:w="15" w:type="dxa"/>
            <w:left w:w="15" w:type="dxa"/>
            <w:bottom w:w="15" w:type="dxa"/>
            <w:right w:w="15" w:type="dxa"/>
          </w:tblCellMar>
        </w:tblPrEx>
        <w:trPr>
          <w:trHeight w:val="56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56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可持续影响指标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持续政策资金保障程度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高</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完成后，后续政策、资金保障程序，以及管理机制（人员机构）因素完善水平。</w:t>
            </w:r>
          </w:p>
        </w:tc>
      </w:tr>
      <w:tr>
        <w:tblPrEx>
          <w:tblCellMar>
            <w:top w:w="15" w:type="dxa"/>
            <w:left w:w="15" w:type="dxa"/>
            <w:bottom w:w="15" w:type="dxa"/>
            <w:right w:w="15" w:type="dxa"/>
          </w:tblCellMar>
        </w:tblPrEx>
        <w:trPr>
          <w:trHeight w:val="56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管理机制</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比较完善</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56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受训学员满意度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56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bl>
    <w:p>
      <w:pPr>
        <w:adjustRightInd w:val="0"/>
        <w:snapToGrid w:val="0"/>
        <w:rPr>
          <w:rFonts w:hint="eastAsia" w:ascii="宋体" w:hAnsi="宋体" w:cs="宋体"/>
          <w:color w:val="auto"/>
          <w:kern w:val="0"/>
          <w:sz w:val="20"/>
          <w:szCs w:val="20"/>
          <w:lang w:bidi="ar"/>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631" w:charSpace="0"/>
        </w:sectPr>
      </w:pPr>
      <w:r>
        <w:rPr>
          <w:rFonts w:hint="eastAsia" w:ascii="黑体" w:hAnsi="黑体" w:eastAsia="黑体" w:cs="黑体"/>
          <w:color w:val="auto"/>
          <w:kern w:val="0"/>
          <w:sz w:val="20"/>
          <w:szCs w:val="20"/>
          <w:lang w:bidi="ar"/>
        </w:rPr>
        <w:t>说明：</w:t>
      </w:r>
      <w:r>
        <w:rPr>
          <w:rFonts w:hint="eastAsia" w:ascii="仿宋_GB2312" w:hAnsi="仿宋_GB2312" w:eastAsia="仿宋_GB2312" w:cs="仿宋_GB2312"/>
          <w:color w:val="auto"/>
          <w:kern w:val="0"/>
          <w:sz w:val="20"/>
          <w:szCs w:val="20"/>
          <w:lang w:bidi="ar"/>
        </w:rPr>
        <w:t>1.*是必填项，产出指标4个二级指标必填写。效益指标可选填其中某几个指标。</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 xml:space="preserve">     </w:t>
      </w:r>
      <w:r>
        <w:rPr>
          <w:rFonts w:ascii="仿宋_GB2312" w:hAnsi="仿宋_GB2312" w:eastAsia="仿宋_GB2312" w:cs="仿宋_GB2312"/>
          <w:color w:val="auto"/>
          <w:kern w:val="0"/>
          <w:sz w:val="20"/>
          <w:szCs w:val="20"/>
          <w:lang w:bidi="ar"/>
        </w:rPr>
        <w:t xml:space="preserve"> </w:t>
      </w:r>
      <w:r>
        <w:rPr>
          <w:rFonts w:hint="eastAsia" w:ascii="仿宋_GB2312" w:hAnsi="仿宋_GB2312" w:eastAsia="仿宋_GB2312" w:cs="仿宋_GB2312"/>
          <w:color w:val="auto"/>
          <w:kern w:val="0"/>
          <w:sz w:val="20"/>
          <w:szCs w:val="20"/>
          <w:lang w:bidi="ar"/>
        </w:rPr>
        <w:t>2.红色字体的内容为举例，其中部分三级指标和指标值来源于不同一</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十二、市场、技术、政策风险分析及对策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十三、</w:t>
      </w:r>
      <w:r>
        <w:rPr>
          <w:rFonts w:hint="eastAsia" w:ascii="黑体" w:hAnsi="黑体" w:eastAsia="黑体" w:cs="黑体"/>
          <w:b w:val="0"/>
          <w:bCs/>
          <w:color w:val="auto"/>
          <w:kern w:val="0"/>
          <w:sz w:val="32"/>
          <w:szCs w:val="32"/>
        </w:rPr>
        <w:t>相关利益关</w:t>
      </w:r>
      <w:r>
        <w:rPr>
          <w:rFonts w:hint="eastAsia" w:ascii="黑体" w:hAnsi="黑体" w:eastAsia="黑体" w:cs="黑体"/>
          <w:bCs/>
          <w:color w:val="auto"/>
          <w:kern w:val="0"/>
          <w:sz w:val="32"/>
          <w:szCs w:val="32"/>
        </w:rPr>
        <w:t>联关系情况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十四、</w:t>
      </w:r>
      <w:r>
        <w:rPr>
          <w:rFonts w:hint="eastAsia" w:ascii="黑体" w:hAnsi="黑体" w:eastAsia="黑体" w:cs="黑体"/>
          <w:bCs/>
          <w:color w:val="auto"/>
          <w:kern w:val="0"/>
          <w:sz w:val="32"/>
          <w:szCs w:val="32"/>
          <w:lang w:eastAsia="zh-Hans"/>
        </w:rPr>
        <w:t>承担单位</w:t>
      </w:r>
      <w:r>
        <w:rPr>
          <w:rFonts w:hint="eastAsia" w:ascii="黑体" w:hAnsi="黑体" w:eastAsia="黑体" w:cs="黑体"/>
          <w:bCs/>
          <w:color w:val="auto"/>
          <w:kern w:val="0"/>
          <w:sz w:val="32"/>
          <w:szCs w:val="32"/>
        </w:rPr>
        <w:t>意见</w:t>
      </w:r>
    </w:p>
    <w:tbl>
      <w:tblPr>
        <w:tblStyle w:val="7"/>
        <w:tblW w:w="0" w:type="auto"/>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PrEx>
        <w:trPr>
          <w:trHeight w:val="3224" w:hRule="atLeast"/>
          <w:jc w:val="center"/>
        </w:trPr>
        <w:tc>
          <w:tcPr>
            <w:tcW w:w="906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Hans"/>
              </w:rPr>
              <w:t>（课题）</w:t>
            </w:r>
            <w:r>
              <w:rPr>
                <w:rFonts w:hint="eastAsia" w:ascii="仿宋_GB2312" w:hAnsi="仿宋_GB2312" w:eastAsia="仿宋_GB2312" w:cs="仿宋_GB2312"/>
                <w:color w:val="auto"/>
                <w:sz w:val="24"/>
                <w:szCs w:val="24"/>
              </w:rPr>
              <w:t>承担单位意见：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left="288"/>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left="288"/>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牵头承担单位（公章）：</w:t>
            </w:r>
          </w:p>
          <w:p>
            <w:pPr>
              <w:keepNext w:val="0"/>
              <w:keepLines w:val="0"/>
              <w:pageBreakBefore w:val="0"/>
              <w:widowControl w:val="0"/>
              <w:kinsoku/>
              <w:wordWrap/>
              <w:overflowPunct/>
              <w:topLinePunct w:val="0"/>
              <w:autoSpaceDE/>
              <w:autoSpaceDN/>
              <w:bidi w:val="0"/>
              <w:adjustRightInd w:val="0"/>
              <w:snapToGrid w:val="0"/>
              <w:spacing w:line="360" w:lineRule="exact"/>
              <w:ind w:firstLine="3782" w:firstLineChars="15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exact"/>
              <w:ind w:firstLine="4022" w:firstLineChars="16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参与单位（公章）：</w:t>
            </w:r>
          </w:p>
          <w:p>
            <w:pPr>
              <w:keepNext w:val="0"/>
              <w:keepLines w:val="0"/>
              <w:pageBreakBefore w:val="0"/>
              <w:widowControl w:val="0"/>
              <w:kinsoku/>
              <w:wordWrap/>
              <w:overflowPunct/>
              <w:topLinePunct w:val="0"/>
              <w:autoSpaceDE/>
              <w:autoSpaceDN/>
              <w:bidi w:val="0"/>
              <w:adjustRightInd w:val="0"/>
              <w:snapToGrid w:val="0"/>
              <w:spacing w:line="360" w:lineRule="exact"/>
              <w:ind w:firstLine="3782" w:firstLineChars="15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自筹资金出资单位意见（承诺提供配套支持的情况下签署意见）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本单位根据</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项目立项指南的要求，自愿提交项目（课题）申请书，在此郑重承诺：按照前述项目（课题）批复预算经费的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万元）进行自筹配套。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如有违反，本单位愿接受广东省农业农村厅做出的各项处理决定，包括但不限于停拨或核减资金，追回</w:t>
            </w:r>
            <w:r>
              <w:rPr>
                <w:rFonts w:hint="eastAsia" w:ascii="仿宋_GB2312" w:hAnsi="仿宋_GB2312" w:eastAsia="仿宋_GB2312" w:cs="仿宋_GB2312"/>
                <w:color w:val="auto"/>
                <w:sz w:val="24"/>
                <w:szCs w:val="24"/>
                <w:lang w:eastAsia="zh-Hans"/>
              </w:rPr>
              <w:t>项目（课题）</w:t>
            </w:r>
            <w:r>
              <w:rPr>
                <w:rFonts w:hint="eastAsia" w:ascii="仿宋_GB2312" w:hAnsi="仿宋_GB2312" w:eastAsia="仿宋_GB2312" w:cs="仿宋_GB2312"/>
                <w:color w:val="auto"/>
                <w:sz w:val="24"/>
                <w:szCs w:val="24"/>
              </w:rPr>
              <w:t>资金，取消一定期限</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项目申报资格，记入</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诚信异常名录等。</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560" w:firstLineChars="1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出资单位（盖章）：</w:t>
            </w:r>
          </w:p>
          <w:p>
            <w:pPr>
              <w:keepNext w:val="0"/>
              <w:keepLines w:val="0"/>
              <w:pageBreakBefore w:val="0"/>
              <w:widowControl w:val="0"/>
              <w:kinsoku/>
              <w:wordWrap/>
              <w:overflowPunct/>
              <w:topLinePunct w:val="0"/>
              <w:autoSpaceDE/>
              <w:autoSpaceDN/>
              <w:bidi w:val="0"/>
              <w:adjustRightInd w:val="0"/>
              <w:snapToGrid w:val="0"/>
              <w:spacing w:line="360" w:lineRule="exact"/>
              <w:ind w:firstLine="4320" w:firstLineChars="18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44"/>
          <w:szCs w:val="44"/>
        </w:rPr>
        <w:sectPr>
          <w:footerReference r:id="rId6" w:type="default"/>
          <w:pgSz w:w="11905" w:h="16838"/>
          <w:pgMar w:top="1871" w:right="1531" w:bottom="1871" w:left="1531" w:header="850" w:footer="1417" w:gutter="0"/>
          <w:pgNumType w:fmt="decimal"/>
          <w:cols w:space="720" w:num="1"/>
          <w:rtlGutter w:val="0"/>
          <w:docGrid w:type="lines" w:linePitch="631"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广东省农业农村厅种业振兴行动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i w:val="0"/>
          <w:i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（专项）申报书</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i w:val="0"/>
          <w:iCs w:val="0"/>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黑体" w:hAnsi="黑体" w:eastAsia="黑体" w:cs="黑体"/>
          <w:b w:val="0"/>
          <w:bCs w:val="0"/>
          <w:i w:val="0"/>
          <w:iCs w:val="0"/>
          <w:snapToGrid w:val="0"/>
          <w:color w:val="auto"/>
          <w:kern w:val="0"/>
          <w:sz w:val="32"/>
          <w:szCs w:val="32"/>
        </w:rPr>
      </w:pPr>
      <w:r>
        <w:rPr>
          <w:rFonts w:hint="eastAsia" w:ascii="黑体" w:hAnsi="黑体" w:eastAsia="黑体" w:cs="黑体"/>
          <w:b w:val="0"/>
          <w:bCs w:val="0"/>
          <w:i w:val="0"/>
          <w:iCs w:val="0"/>
          <w:snapToGrid w:val="0"/>
          <w:color w:val="auto"/>
          <w:kern w:val="0"/>
          <w:sz w:val="32"/>
          <w:szCs w:val="32"/>
        </w:rPr>
        <w:t>一、编制规范性要求：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金额单位和数据精度：预算表中的数据以“万元”为单位，精确到小数点后两位。外币需按中国人民银行公布的即期汇率折合成人民币。</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编码与数据平衡关系：预算申报书中有关编码应填写准确，数据之间满足有关的平衡关系，预算汇总表、预算明细表、预算说明中的数据应前后一致。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名称的规范性：承担单位的名称，应填写正式全称，承担单位名称、单位开户名称与单位公章必须一致。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如开户名称不一致，承担单位必须提供证明文件，证明开户单位与承担单位是同一家单位。设备、材料等实物信息应填写规范的名称，重复出现时应前后保持一致。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签字盖章：项目（课题）支出预算申报书必须经牵头承担单位、负责人等签字或盖章。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黑体" w:hAnsi="黑体" w:eastAsia="黑体" w:cs="黑体"/>
          <w:b w:val="0"/>
          <w:bCs w:val="0"/>
          <w:i w:val="0"/>
          <w:iCs w:val="0"/>
          <w:snapToGrid w:val="0"/>
          <w:color w:val="auto"/>
          <w:kern w:val="0"/>
          <w:sz w:val="32"/>
          <w:szCs w:val="32"/>
        </w:rPr>
      </w:pPr>
      <w:r>
        <w:rPr>
          <w:rFonts w:hint="eastAsia" w:ascii="黑体" w:hAnsi="黑体" w:eastAsia="黑体" w:cs="黑体"/>
          <w:b w:val="0"/>
          <w:bCs w:val="0"/>
          <w:i w:val="0"/>
          <w:iCs w:val="0"/>
          <w:snapToGrid w:val="0"/>
          <w:color w:val="auto"/>
          <w:kern w:val="0"/>
          <w:sz w:val="32"/>
          <w:szCs w:val="32"/>
        </w:rPr>
        <w:t>二、具体申报书填写说明：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一</w:t>
      </w:r>
      <w:r>
        <w:rPr>
          <w:rFonts w:hint="eastAsia" w:ascii="楷体_GB2312" w:hAnsi="楷体_GB2312" w:eastAsia="楷体_GB2312" w:cs="楷体_GB2312"/>
          <w:b w:val="0"/>
          <w:bCs w:val="0"/>
          <w:i w:val="0"/>
          <w:iCs w:val="0"/>
          <w:snapToGrid w:val="0"/>
          <w:color w:val="auto"/>
          <w:kern w:val="0"/>
          <w:sz w:val="32"/>
          <w:szCs w:val="32"/>
        </w:rPr>
        <w:t>）封面</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项目（课题）名称”、“所属项目”应根据广东省相关申报指南程序确定的有关信息填报。</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“申报单位”必须填写牵头承担单位全称，并与单位公章一致。</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“项目（课题）负责人”应该按规定签字盖章。</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“申报日期”按规定填报。</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二</w:t>
      </w:r>
      <w:r>
        <w:rPr>
          <w:rFonts w:hint="eastAsia" w:ascii="楷体_GB2312" w:hAnsi="楷体_GB2312" w:eastAsia="楷体_GB2312" w:cs="楷体_GB2312"/>
          <w:b w:val="0"/>
          <w:bCs w:val="0"/>
          <w:i w:val="0"/>
          <w:iCs w:val="0"/>
          <w:snapToGrid w:val="0"/>
          <w:color w:val="auto"/>
          <w:kern w:val="0"/>
          <w:sz w:val="32"/>
          <w:szCs w:val="32"/>
        </w:rPr>
        <w:t>）承诺书、知识产权合规性声明</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项目（课题）牵头承担单位、负责人需对项目（课题）预</w:t>
      </w:r>
      <w:r>
        <w:rPr>
          <w:rFonts w:hint="eastAsia" w:ascii="仿宋_GB2312" w:hAnsi="仿宋_GB2312" w:eastAsia="仿宋_GB2312" w:cs="仿宋_GB2312"/>
          <w:i w:val="0"/>
          <w:iCs w:val="0"/>
          <w:snapToGrid w:val="0"/>
          <w:color w:val="auto"/>
          <w:spacing w:val="0"/>
          <w:kern w:val="0"/>
          <w:sz w:val="32"/>
          <w:szCs w:val="32"/>
        </w:rPr>
        <w:t>算申报书各项内容的真实、客观负责，并在承诺书上签字或盖章</w:t>
      </w:r>
      <w:r>
        <w:rPr>
          <w:rFonts w:hint="eastAsia" w:ascii="仿宋_GB2312" w:hAnsi="仿宋_GB2312" w:eastAsia="仿宋_GB2312" w:cs="仿宋_GB2312"/>
          <w:i w:val="0"/>
          <w:iCs w:val="0"/>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三</w:t>
      </w:r>
      <w:r>
        <w:rPr>
          <w:rFonts w:hint="eastAsia" w:ascii="楷体_GB2312" w:hAnsi="楷体_GB2312" w:eastAsia="楷体_GB2312" w:cs="楷体_GB2312"/>
          <w:b w:val="0"/>
          <w:bCs w:val="0"/>
          <w:i w:val="0"/>
          <w:iCs w:val="0"/>
          <w:snapToGrid w:val="0"/>
          <w:color w:val="auto"/>
          <w:kern w:val="0"/>
          <w:sz w:val="32"/>
          <w:szCs w:val="32"/>
        </w:rPr>
        <w:t>）表A1：项目（课题）牵头承担单位基本情况表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“项目（课题）牵头承担单位”</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应填写牵头承担单位全称，必须与单位公章一致。</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“单位开户名称”</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单位开户名称应与单位名称一致，如有开户名称不一致等特殊情况，必须提供证明文件。</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“单位主管部门”</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“开户银行”</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开户银行的信息必须填写全面，必须写明银行所在省、市等信息。填写顺序为：××银行××省（直辖市、自治区）××市（县）××支行（分行）××分理处（营业部等）。</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5</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“银行账号”</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银行账号必须经牵头承担单位财务部门确认，应填列单位基本账户，不能填报零余额账户。</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6</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“银行机构代码”</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7</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项目（课题）负责人、项目（课题）联系人和财务负责人的电话号码和手机号码、电子邮箱、微信号必须真实、准确。</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四</w:t>
      </w:r>
      <w:r>
        <w:rPr>
          <w:rFonts w:hint="eastAsia" w:ascii="楷体_GB2312" w:hAnsi="楷体_GB2312" w:eastAsia="楷体_GB2312" w:cs="楷体_GB2312"/>
          <w:b w:val="0"/>
          <w:bCs w:val="0"/>
          <w:i w:val="0"/>
          <w:iCs w:val="0"/>
          <w:snapToGrid w:val="0"/>
          <w:color w:val="auto"/>
          <w:kern w:val="0"/>
          <w:sz w:val="32"/>
          <w:szCs w:val="32"/>
        </w:rPr>
        <w:t>）表B1：项目（课题）参与单位基本情况表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“项目（课题）名称”</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项目（课题）名称应根据申报指南有关信息填报，项目（课题）名称应为全称。</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“项目（课题）参与单位”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参与单位应填写全称，必须与单位公章一致。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“单位主管部门”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参与单位负责人、参与单位联系人和财务负责人的电话号码和手机号码、电子邮箱、微信号必须真实、准确，预算管理过程中将以电话、电子邮件、短信、微信等方式与相关人员进行联络。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五</w:t>
      </w:r>
      <w:r>
        <w:rPr>
          <w:rFonts w:hint="eastAsia" w:ascii="楷体_GB2312" w:hAnsi="楷体_GB2312" w:eastAsia="楷体_GB2312" w:cs="楷体_GB2312"/>
          <w:b w:val="0"/>
          <w:bCs w:val="0"/>
          <w:i w:val="0"/>
          <w:iCs w:val="0"/>
          <w:snapToGrid w:val="0"/>
          <w:color w:val="auto"/>
          <w:kern w:val="0"/>
          <w:sz w:val="32"/>
          <w:szCs w:val="32"/>
        </w:rPr>
        <w:t>）表B2：项目（课题）成员基本情况表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本表按参加项目（课题）的各类人员分别填列，一名人员投入本项目（课题）的累计全时工作时间不得超过本项目（课题）的预算期。</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“固定人员”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固定人员指全程参与项目（课题）的人员，按技术职称分为：A、正高级；B、副高级；C、中级；D、初级；E、其他。按所承担的任务分为：A、负责人；B、骨干；C、其他人员。固定人员需按本表所列要求填写明细。</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“流动人员或临时聘用人员”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流动人员或临时聘用人员不需要填写明细，只需填写该类人员投入本项目（课题）的总人月数。</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六</w:t>
      </w:r>
      <w:r>
        <w:rPr>
          <w:rFonts w:hint="eastAsia" w:ascii="楷体_GB2312" w:hAnsi="楷体_GB2312" w:eastAsia="楷体_GB2312" w:cs="楷体_GB2312"/>
          <w:b w:val="0"/>
          <w:bCs w:val="0"/>
          <w:i w:val="0"/>
          <w:iCs w:val="0"/>
          <w:snapToGrid w:val="0"/>
          <w:color w:val="auto"/>
          <w:kern w:val="0"/>
          <w:sz w:val="32"/>
          <w:szCs w:val="32"/>
        </w:rPr>
        <w:t>）表B3：项目（课题）预算表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本表反映了广东省农业科研类及技术推广示范类项目（专项）资金预算的整体情况。资金支出和资金来源应同时编制。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七</w:t>
      </w:r>
      <w:r>
        <w:rPr>
          <w:rFonts w:hint="eastAsia" w:ascii="楷体_GB2312" w:hAnsi="楷体_GB2312" w:eastAsia="楷体_GB2312" w:cs="楷体_GB2312"/>
          <w:b w:val="0"/>
          <w:bCs w:val="0"/>
          <w:i w:val="0"/>
          <w:iCs w:val="0"/>
          <w:snapToGrid w:val="0"/>
          <w:color w:val="auto"/>
          <w:kern w:val="0"/>
          <w:sz w:val="32"/>
          <w:szCs w:val="32"/>
        </w:rPr>
        <w:t>）表B4至表B19：支出科目预算明细表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b/>
          <w:bCs/>
          <w:i w:val="0"/>
          <w:iCs w:val="0"/>
          <w:snapToGrid w:val="0"/>
          <w:color w:val="auto"/>
          <w:kern w:val="0"/>
          <w:sz w:val="32"/>
          <w:szCs w:val="32"/>
        </w:rPr>
        <w:t>表B4至表B19预算科目支出填写说明：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本部分是预算说明的重点，若在同一科目既有省级财政专项资金预算又有其他渠道资金预算，应对省级财政专项资金和其他渠道资金分别说明。项目（课题）资金由直接费用和间接费用组成。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八</w:t>
      </w:r>
      <w:r>
        <w:rPr>
          <w:rFonts w:hint="eastAsia" w:ascii="楷体_GB2312" w:hAnsi="楷体_GB2312" w:eastAsia="楷体_GB2312" w:cs="楷体_GB2312"/>
          <w:b w:val="0"/>
          <w:bCs w:val="0"/>
          <w:i w:val="0"/>
          <w:iCs w:val="0"/>
          <w:snapToGrid w:val="0"/>
          <w:color w:val="auto"/>
          <w:kern w:val="0"/>
          <w:sz w:val="32"/>
          <w:szCs w:val="32"/>
        </w:rPr>
        <w:t>）表B20：承担单位资金支出预算明细表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本表反映共同参与任务实施的各单位预算情况，需简要说明所有单位分别承担的任务和资金安排。各单位名称、承担任务及任务负责人等信息应与项目立项申报材料一致。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i w:val="0"/>
          <w:iCs w:val="0"/>
          <w:snapToGrid w:val="0"/>
          <w:color w:val="auto"/>
          <w:kern w:val="0"/>
          <w:sz w:val="32"/>
          <w:szCs w:val="32"/>
        </w:rPr>
        <w:t>所有承担单位均需填入表B20中。执行过程中，牵头承担单位、参与单位不得随意增加或减少参与单位，不得向表中未填列的单位转拨省级财政专项资金</w:t>
      </w:r>
      <w:r>
        <w:rPr>
          <w:rFonts w:hint="eastAsia" w:ascii="仿宋_GB2312" w:hAnsi="仿宋_GB2312" w:eastAsia="仿宋_GB2312" w:cs="仿宋_GB2312"/>
          <w:i w:val="0"/>
          <w:iCs w:val="0"/>
          <w:snapToGrid w:val="0"/>
          <w:color w:val="auto"/>
          <w:kern w:val="0"/>
          <w:sz w:val="32"/>
          <w:szCs w:val="32"/>
          <w:lang w:eastAsia="zh-CN"/>
        </w:rPr>
        <w:t>。</w:t>
      </w:r>
    </w:p>
    <w:p>
      <w:pPr>
        <w:adjustRightInd w:val="0"/>
        <w:snapToGrid w:val="0"/>
        <w:spacing w:line="590" w:lineRule="exact"/>
        <w:ind w:right="157" w:firstLine="632" w:firstLineChars="200"/>
        <w:rPr>
          <w:rFonts w:hint="eastAsia"/>
          <w:snapToGrid w:val="0"/>
          <w:color w:val="auto"/>
          <w:kern w:val="0"/>
        </w:rPr>
      </w:pPr>
    </w:p>
    <w:p>
      <w:pPr>
        <w:pStyle w:val="11"/>
        <w:ind w:left="1264" w:leftChars="100" w:right="316" w:rightChars="100" w:hanging="948" w:hangingChars="300"/>
        <w:rPr>
          <w:rFonts w:hint="eastAsia" w:eastAsia="仿宋_GB2312"/>
          <w:snapToGrid w:val="0"/>
          <w:kern w:val="0"/>
          <w:lang w:eastAsia="zh-CN"/>
        </w:rPr>
      </w:pPr>
      <w:bookmarkStart w:id="0" w:name="F_CSDW"/>
      <w:bookmarkEnd w:id="0"/>
    </w:p>
    <w:p>
      <w:bookmarkStart w:id="1" w:name="_GoBack"/>
      <w:bookmarkEnd w:id="1"/>
    </w:p>
    <w:sectPr>
      <w:footerReference r:id="rId8" w:type="first"/>
      <w:footerReference r:id="rId7" w:type="default"/>
      <w:pgSz w:w="11906" w:h="16838"/>
      <w:pgMar w:top="1871" w:right="1531" w:bottom="1871" w:left="1531" w:header="851" w:footer="1418" w:gutter="0"/>
      <w:pgNumType w:fmt="decimal" w:start="78"/>
      <w:cols w:space="720" w:num="1"/>
      <w:titlePg/>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汉仪细圆B5">
    <w:altName w:val="Microsoft JhengHei"/>
    <w:panose1 w:val="02010600000101010101"/>
    <w:charset w:val="88"/>
    <w:family w:val="auto"/>
    <w:pitch w:val="default"/>
    <w:sig w:usb0="00000000" w:usb1="00000000" w:usb2="00000002" w:usb3="00000000" w:csb0="00100000" w:csb1="00000000"/>
  </w:font>
  <w:font w:name="长城小标宋体">
    <w:altName w:val="宋体"/>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10;">
              <v:path/>
              <v:fill on="f" focussize="0,0"/>
              <v:stroke on="f" weight="1.2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CGm34ZtgEAAFUDAAAOAAAAAAAAAAEAIAAAACIBAABkcnMvZTJvRG9jLnhtbFBLBQYAAAAABgAG&#10;AFkBAABKBQAAAAA=&#10;">
              <v:path/>
              <v:fill on="f" focussize="0,0"/>
              <v:stroke on="f" weight="1.2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4"/>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t xml:space="preserve">— </w:t>
                          </w:r>
                          <w:r>
                            <w:fldChar w:fldCharType="begin"/>
                          </w:r>
                          <w:r>
                            <w:instrText xml:space="preserve"> PAGE  \* MERGEFORMAT </w:instrText>
                          </w:r>
                          <w:r>
                            <w:fldChar w:fldCharType="separate"/>
                          </w:r>
                          <w:r>
                            <w:t>79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8i9+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6vOP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IvftgEAAFUDAAAOAAAAAAAAAAEAIAAAACIBAABkcnMvZTJvRG9jLnhtbFBLBQYAAAAABgAG&#10;AFkBAABKBQAAAAA=&#10;">
              <v:fill on="f" focussize="0,0"/>
              <v:stroke on="f" weight="1.2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79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7E351"/>
    <w:multiLevelType w:val="singleLevel"/>
    <w:tmpl w:val="6007E3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268A4"/>
    <w:rsid w:val="73EF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rPr>
      <w:rFonts w:ascii="Calibri" w:hAnsi="Calibri" w:eastAsia="宋体" w:cs="Times New Roman"/>
      <w:sz w:val="21"/>
      <w:szCs w:val="24"/>
    </w:rPr>
  </w:style>
  <w:style w:type="paragraph" w:styleId="3">
    <w:name w:val="Plain Text"/>
    <w:basedOn w:val="1"/>
    <w:qFormat/>
    <w:uiPriority w:val="0"/>
    <w:pPr>
      <w:adjustRightInd w:val="0"/>
      <w:snapToGrid w:val="0"/>
      <w:spacing w:line="360" w:lineRule="auto"/>
      <w:ind w:firstLine="640" w:firstLineChars="200"/>
    </w:pPr>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6">
    <w:name w:val="Body Text First Indent 2"/>
    <w:basedOn w:val="2"/>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41"/>
    <w:qFormat/>
    <w:uiPriority w:val="0"/>
    <w:rPr>
      <w:rFonts w:hint="eastAsia" w:ascii="仿宋_GB2312" w:hAnsi="Times New Roman" w:eastAsia="仿宋_GB2312" w:cs="仿宋_GB2312"/>
      <w:color w:val="000000"/>
      <w:sz w:val="22"/>
      <w:szCs w:val="22"/>
      <w:u w:val="none"/>
    </w:rPr>
  </w:style>
  <w:style w:type="paragraph" w:customStyle="1" w:styleId="11">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2024-10-09T02:20:00Z</dcterms:created>
  <dc:creator>admin</dc:creator>
  <cp:lastModifiedBy>李ZD</cp:lastModifiedBy>
  <dcterms:modified xsi:type="dcterms:W3CDTF">2024-10-09T03:46:40Z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