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 w:firstLineChars="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eastAsia="zh-CN"/>
        </w:rPr>
        <w:t>件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color w:val="auto"/>
          <w:kern w:val="0"/>
        </w:rPr>
      </w:pPr>
    </w:p>
    <w:p>
      <w:pPr>
        <w:adjustRightInd w:val="0"/>
        <w:snapToGrid w:val="0"/>
        <w:spacing w:before="0"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广东省沿海渔港等级认定标准指标与参数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420"/>
        <w:gridCol w:w="2120"/>
        <w:gridCol w:w="1330"/>
        <w:gridCol w:w="1380"/>
        <w:gridCol w:w="1110"/>
        <w:gridCol w:w="965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position w:val="0"/>
                <w:sz w:val="20"/>
                <w:szCs w:val="20"/>
              </w:rPr>
              <w:t>一级</w:t>
            </w:r>
          </w:p>
          <w:p>
            <w:pPr>
              <w:adjustRightInd w:val="0"/>
              <w:snapToGrid w:val="0"/>
              <w:spacing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指标</w:t>
            </w:r>
          </w:p>
        </w:tc>
        <w:tc>
          <w:tcPr>
            <w:tcW w:w="4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序</w:t>
            </w:r>
          </w:p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号</w:t>
            </w:r>
          </w:p>
        </w:tc>
        <w:tc>
          <w:tcPr>
            <w:tcW w:w="21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指标参数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21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中心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20"/>
                <w:szCs w:val="20"/>
              </w:rPr>
              <w:t>一级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二级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三级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三级以下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position w:val="0"/>
                <w:sz w:val="20"/>
                <w:szCs w:val="20"/>
              </w:rPr>
              <w:t>基础</w:t>
            </w:r>
          </w:p>
          <w:p>
            <w:pPr>
              <w:adjustRightInd w:val="0"/>
              <w:snapToGrid w:val="0"/>
              <w:spacing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指标</w:t>
            </w:r>
          </w:p>
        </w:tc>
        <w:tc>
          <w:tcPr>
            <w:tcW w:w="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渔港港章、港界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渔港港章、港界应由县级及以上人民政府发布。</w:t>
            </w:r>
          </w:p>
          <w:p>
            <w:pPr>
              <w:adjustRightInd w:val="0"/>
              <w:snapToGrid w:val="0"/>
              <w:spacing w:before="0" w:beforeLines="0" w:afterLines="0" w:line="240" w:lineRule="auto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渔港港章应当包括对渔港概况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渔港位置、自然条件、范围、水域、陆域、主要码头设施与设备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、渔港管理机构、公用设施及管理、船舶管理、渔获物管理、渔港经营与服务、渔港安全与环境保护、渔港应急事件处理、禁止与限制性规定等情况的说明，及本渔港贯彻执行有关渔港管理的法律、法规及渔业行政主管部门有关规定的具体措施。</w:t>
            </w:r>
          </w:p>
          <w:p>
            <w:pPr>
              <w:adjustRightInd w:val="0"/>
              <w:snapToGrid w:val="0"/>
              <w:spacing w:before="0" w:beforeLines="0" w:afterLines="0" w:line="240" w:lineRule="auto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渔港港界应清晰反映渔港边界，港界图应以渔港总体平面布置图或渔港总体规划布局图为基础绘制。</w:t>
            </w:r>
          </w:p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渔港港界应与港章中的渔港水陆域范围边界一致。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界限标识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渔港陆域应设置标识牌或界碑，水域应设置标示浮标或电子围栏。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权属清单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具有能清晰、完整反映港界内渔港权属关系的清单。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position w:val="0"/>
                <w:sz w:val="20"/>
                <w:szCs w:val="20"/>
              </w:rPr>
              <w:t>规模</w:t>
            </w:r>
          </w:p>
          <w:p>
            <w:pPr>
              <w:adjustRightInd w:val="0"/>
              <w:snapToGrid w:val="0"/>
              <w:spacing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指标</w:t>
            </w:r>
          </w:p>
        </w:tc>
        <w:tc>
          <w:tcPr>
            <w:tcW w:w="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码头长度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≥600m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≥400m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≥150m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≥30m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  <w:lang w:eastAsia="zh-CN"/>
              </w:rPr>
              <w:t>有系泊设施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水域面积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≥40万m²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≥30万m²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≥5万m²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  <w:highlight w:val="none"/>
              </w:rPr>
              <w:t>万m²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有一定面积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陆域面积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≥20万m²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≥10万m²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≥2万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m²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m²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有一定面积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服务</w:t>
            </w:r>
          </w:p>
          <w:p>
            <w:pPr>
              <w:adjustRightInd w:val="0"/>
              <w:snapToGrid w:val="0"/>
              <w:spacing w:before="0" w:beforeLines="0" w:afterLines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力</w:t>
            </w:r>
          </w:p>
          <w:p>
            <w:pPr>
              <w:adjustRightInd w:val="0"/>
              <w:snapToGrid w:val="0"/>
              <w:spacing w:before="0" w:beforeLines="0" w:afterLines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指标</w:t>
            </w:r>
          </w:p>
        </w:tc>
        <w:tc>
          <w:tcPr>
            <w:tcW w:w="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可靠泊渔船能力</w:t>
            </w:r>
          </w:p>
        </w:tc>
        <w:tc>
          <w:tcPr>
            <w:tcW w:w="27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大型</w:t>
            </w:r>
          </w:p>
        </w:tc>
        <w:tc>
          <w:tcPr>
            <w:tcW w:w="2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中型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小型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可容纳锚泊渔船数量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≥800艘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≥600艘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≥200艘</w:t>
            </w:r>
          </w:p>
        </w:tc>
        <w:tc>
          <w:tcPr>
            <w:tcW w:w="9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≥50艘</w:t>
            </w:r>
          </w:p>
        </w:tc>
        <w:tc>
          <w:tcPr>
            <w:tcW w:w="18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  <w:lang w:eastAsia="zh-CN"/>
              </w:rPr>
              <w:t>不作要求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渔获物年卸港量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≥8万吨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≥4万吨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000吨</w:t>
            </w:r>
          </w:p>
        </w:tc>
        <w:tc>
          <w:tcPr>
            <w:tcW w:w="28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不作要求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监管</w:t>
            </w:r>
          </w:p>
          <w:p>
            <w:pPr>
              <w:adjustRightInd w:val="0"/>
              <w:snapToGrid w:val="0"/>
              <w:spacing w:before="0" w:beforeLines="0" w:afterLines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能力</w:t>
            </w:r>
          </w:p>
          <w:p>
            <w:pPr>
              <w:adjustRightInd w:val="0"/>
              <w:snapToGrid w:val="0"/>
              <w:spacing w:before="0" w:beforeLines="0" w:afterLines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指标</w:t>
            </w:r>
          </w:p>
        </w:tc>
        <w:tc>
          <w:tcPr>
            <w:tcW w:w="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渔港监督管理机构</w:t>
            </w:r>
          </w:p>
        </w:tc>
        <w:tc>
          <w:tcPr>
            <w:tcW w:w="27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渔港监督管理机构明确，且驻港</w:t>
            </w:r>
          </w:p>
        </w:tc>
        <w:tc>
          <w:tcPr>
            <w:tcW w:w="39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渔港监督管理机构明确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港务管理机构</w:t>
            </w:r>
          </w:p>
        </w:tc>
        <w:tc>
          <w:tcPr>
            <w:tcW w:w="38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港务管理机构明确，物业管理驻港</w:t>
            </w:r>
          </w:p>
        </w:tc>
        <w:tc>
          <w:tcPr>
            <w:tcW w:w="28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机构明确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19"/>
                <w:szCs w:val="19"/>
              </w:rPr>
              <w:t>渔港综合管理服务中心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≥1000m²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≥800m²</w:t>
            </w:r>
          </w:p>
        </w:tc>
        <w:tc>
          <w:tcPr>
            <w:tcW w:w="39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有一定面积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渔船动态监控管理</w:t>
            </w:r>
          </w:p>
        </w:tc>
        <w:tc>
          <w:tcPr>
            <w:tcW w:w="66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righ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大中型渔船进出港报告系统填报率100%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渔港视频监控</w:t>
            </w:r>
          </w:p>
        </w:tc>
        <w:tc>
          <w:tcPr>
            <w:tcW w:w="38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码头作业区和渔港水域全覆盖</w:t>
            </w:r>
          </w:p>
        </w:tc>
        <w:tc>
          <w:tcPr>
            <w:tcW w:w="28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水域全覆盖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污染防治设施</w:t>
            </w:r>
          </w:p>
        </w:tc>
        <w:tc>
          <w:tcPr>
            <w:tcW w:w="38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满足《沿海渔港污染防治设施设备配备总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体要求》中“4一般要求”的规定</w:t>
            </w:r>
          </w:p>
        </w:tc>
        <w:tc>
          <w:tcPr>
            <w:tcW w:w="28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2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>应急管理设施</w:t>
            </w:r>
          </w:p>
        </w:tc>
        <w:tc>
          <w:tcPr>
            <w:tcW w:w="38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right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港区消防、救助、应急供电设施满足应急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0"/>
                <w:szCs w:val="20"/>
              </w:rPr>
              <w:t xml:space="preserve"> 需求</w:t>
            </w:r>
          </w:p>
        </w:tc>
        <w:tc>
          <w:tcPr>
            <w:tcW w:w="28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beforeLines="0" w:afterLines="0"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有</w:t>
            </w:r>
          </w:p>
        </w:tc>
      </w:tr>
    </w:tbl>
    <w:p>
      <w:pPr>
        <w:pStyle w:val="7"/>
        <w:widowControl w:val="0"/>
        <w:adjustRightInd w:val="0"/>
        <w:snapToGrid w:val="0"/>
        <w:spacing w:line="590" w:lineRule="exact"/>
        <w:ind w:left="0" w:leftChars="0" w:right="0" w:rightChars="0" w:firstLine="632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  <w:lang w:eastAsia="zh-CN"/>
        </w:rPr>
      </w:pPr>
      <w:bookmarkStart w:id="0" w:name="F_CSDW"/>
      <w:bookmarkEnd w:id="0"/>
    </w:p>
    <w:p>
      <w:bookmarkStart w:id="1" w:name="_GoBack"/>
      <w:bookmarkEnd w:id="1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871" w:right="1531" w:bottom="187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ind w:left="218" w:firstLine="643"/>
      <w:outlineLvl w:val="0"/>
    </w:pPr>
    <w:rPr>
      <w:rFonts w:eastAsia="仿宋" w:cs="仿宋"/>
      <w:b/>
      <w:bCs/>
      <w:szCs w:val="32"/>
      <w:lang w:val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2024-10-11T01:37:51Z</dcterms:created>
  <dc:creator>admin</dc:creator>
  <cp:lastModifiedBy>李ZD</cp:lastModifiedBy>
  <dcterms:modified xsi:type="dcterms:W3CDTF">2024-10-11T01:38:04Z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