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autoSpaceDN/>
        <w:adjustRightInd w:val="0"/>
        <w:snapToGrid w:val="0"/>
        <w:spacing w:beforeLines="0" w:afterLines="0" w:line="590" w:lineRule="exact"/>
        <w:ind w:left="0" w:right="0" w:firstLine="0" w:firstLineChars="0"/>
        <w:jc w:val="center"/>
        <w:outlineLvl w:val="9"/>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广东省农田灌排沟渠清淤工作指引（试行）</w:t>
      </w:r>
    </w:p>
    <w:p>
      <w:pPr>
        <w:pStyle w:val="4"/>
        <w:autoSpaceDE/>
        <w:autoSpaceDN/>
        <w:adjustRightInd w:val="0"/>
        <w:snapToGrid w:val="0"/>
        <w:spacing w:beforeLines="0" w:afterLines="0" w:line="590" w:lineRule="exact"/>
        <w:ind w:left="0" w:right="0" w:firstLine="640" w:firstLineChars="200"/>
        <w:jc w:val="both"/>
        <w:outlineLvl w:val="9"/>
        <w:rPr>
          <w:rFonts w:hint="eastAsia" w:ascii="仿宋_GB2312" w:hAnsi="仿宋_GB2312" w:eastAsia="仿宋_GB2312" w:cs="仿宋_GB2312"/>
          <w:kern w:val="0"/>
          <w:sz w:val="32"/>
          <w:szCs w:val="32"/>
          <w:lang w:eastAsia="zh-CN"/>
        </w:rPr>
      </w:pP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bookmarkStart w:id="0" w:name="一、总则"/>
      <w:bookmarkEnd w:id="0"/>
      <w:r>
        <w:rPr>
          <w:rFonts w:hint="eastAsia" w:ascii="仿宋_GB2312" w:hAnsi="仿宋_GB2312" w:eastAsia="仿宋_GB2312" w:cs="仿宋_GB2312"/>
          <w:kern w:val="0"/>
          <w:sz w:val="32"/>
          <w:szCs w:val="32"/>
          <w:lang w:eastAsia="zh-CN"/>
        </w:rPr>
        <w:t>为落实省委“1310”具体部署、“百县千镇万村高质量发展工程”和水塘河道清淤工作部署，结合国家农田沟渠修复整治工作要求，科学推进农田灌排沟渠清淤工作，改善农业生产条件,提升农田防灾减灾能力，在全省建立针对农田灌排沟渠清淤常态化工作机制，特制定本工作指引。</w:t>
      </w:r>
    </w:p>
    <w:p>
      <w:pPr>
        <w:tabs>
          <w:tab w:val="left" w:pos="331"/>
        </w:tabs>
        <w:autoSpaceDE/>
        <w:autoSpaceDN/>
        <w:adjustRightInd w:val="0"/>
        <w:snapToGrid w:val="0"/>
        <w:spacing w:beforeLines="0" w:afterLines="0" w:line="590" w:lineRule="exact"/>
        <w:ind w:firstLine="640" w:firstLineChars="200"/>
        <w:jc w:val="both"/>
        <w:outlineLvl w:val="9"/>
        <w:rPr>
          <w:rFonts w:hint="eastAsia" w:ascii="黑体" w:hAnsi="黑体" w:eastAsia="黑体" w:cs="黑体"/>
          <w:kern w:val="0"/>
          <w:sz w:val="32"/>
          <w:szCs w:val="32"/>
          <w:lang w:eastAsia="zh-CN"/>
        </w:rPr>
      </w:pPr>
      <w:bookmarkStart w:id="1" w:name="2.实施范围"/>
      <w:bookmarkEnd w:id="1"/>
      <w:r>
        <w:rPr>
          <w:rFonts w:hint="eastAsia" w:ascii="黑体" w:hAnsi="黑体" w:eastAsia="黑体" w:cs="黑体"/>
          <w:kern w:val="0"/>
          <w:sz w:val="32"/>
          <w:szCs w:val="32"/>
          <w:lang w:eastAsia="zh-CN"/>
        </w:rPr>
        <w:t>一、实施范围</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本指引适用于广东省农田灌排沟渠的清淤整治与长效管护等工作，骨干渠系等工程不在本工作指引范围内，有财政资金投入的清淤工程按项目制管理。</w:t>
      </w:r>
    </w:p>
    <w:p>
      <w:pPr>
        <w:tabs>
          <w:tab w:val="left" w:pos="331"/>
        </w:tabs>
        <w:autoSpaceDE/>
        <w:autoSpaceDN/>
        <w:adjustRightInd w:val="0"/>
        <w:snapToGrid w:val="0"/>
        <w:spacing w:beforeLines="0" w:afterLines="0" w:line="590" w:lineRule="exact"/>
        <w:ind w:firstLine="640" w:firstLineChars="200"/>
        <w:jc w:val="both"/>
        <w:outlineLvl w:val="9"/>
        <w:rPr>
          <w:rFonts w:hint="eastAsia" w:ascii="黑体" w:hAnsi="黑体" w:eastAsia="黑体" w:cs="黑体"/>
          <w:kern w:val="0"/>
          <w:sz w:val="32"/>
          <w:szCs w:val="32"/>
          <w:lang w:eastAsia="zh-CN"/>
        </w:rPr>
      </w:pPr>
      <w:bookmarkStart w:id="2" w:name="3.实施原则"/>
      <w:bookmarkEnd w:id="2"/>
      <w:r>
        <w:rPr>
          <w:rFonts w:hint="eastAsia" w:ascii="黑体" w:hAnsi="黑体" w:eastAsia="黑体" w:cs="黑体"/>
          <w:kern w:val="0"/>
          <w:sz w:val="32"/>
          <w:szCs w:val="32"/>
          <w:lang w:eastAsia="zh-CN"/>
        </w:rPr>
        <w:t>二、实施原则</w:t>
      </w:r>
    </w:p>
    <w:p>
      <w:pPr>
        <w:tabs>
          <w:tab w:val="left" w:pos="608"/>
        </w:tabs>
        <w:autoSpaceDE/>
        <w:autoSpaceDN/>
        <w:adjustRightInd w:val="0"/>
        <w:snapToGrid w:val="0"/>
        <w:spacing w:beforeLines="0" w:afterLines="0" w:line="590" w:lineRule="exact"/>
        <w:ind w:firstLine="640" w:firstLineChars="200"/>
        <w:jc w:val="both"/>
        <w:outlineLvl w:val="9"/>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（一）因地制宜、分类施策</w:t>
      </w:r>
    </w:p>
    <w:p>
      <w:pPr>
        <w:tabs>
          <w:tab w:val="left" w:pos="608"/>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根据农村自然环境及耕作需求，因地制宜制定沟渠清淤方案，按照淤积程度、淤泥规模、淤积影响和淤积物主要类型的不同，分类施策开展清淤治理。</w:t>
      </w:r>
    </w:p>
    <w:p>
      <w:pPr>
        <w:tabs>
          <w:tab w:val="left" w:pos="608"/>
        </w:tabs>
        <w:autoSpaceDE/>
        <w:autoSpaceDN/>
        <w:adjustRightInd w:val="0"/>
        <w:snapToGrid w:val="0"/>
        <w:spacing w:beforeLines="0" w:afterLines="0" w:line="590" w:lineRule="exact"/>
        <w:ind w:firstLine="640" w:firstLineChars="200"/>
        <w:jc w:val="both"/>
        <w:outlineLvl w:val="9"/>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（二）经济适用、利用优先</w:t>
      </w:r>
    </w:p>
    <w:p>
      <w:pPr>
        <w:tabs>
          <w:tab w:val="left" w:pos="608"/>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根据农田灌排沟渠的淤泥情况，遵循经济合理、安全环保、科学有序的原则，有针对性地采用减量化处理、无害化处理、资源化利用等经济适用的技术方法开展处置，优先采取资源化利用措施，降低清淤成本。大力推广淤泥就地近用，用于堆肥和土地改良，提升耕地质量。</w:t>
      </w:r>
    </w:p>
    <w:p>
      <w:pPr>
        <w:tabs>
          <w:tab w:val="left" w:pos="608"/>
        </w:tabs>
        <w:autoSpaceDE/>
        <w:autoSpaceDN/>
        <w:adjustRightInd w:val="0"/>
        <w:snapToGrid w:val="0"/>
        <w:spacing w:beforeLines="0" w:afterLines="0" w:line="590" w:lineRule="exact"/>
        <w:ind w:firstLine="640" w:firstLineChars="200"/>
        <w:jc w:val="both"/>
        <w:outlineLvl w:val="9"/>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（三）政府主导、群众参与</w:t>
      </w:r>
    </w:p>
    <w:p>
      <w:pPr>
        <w:tabs>
          <w:tab w:val="left" w:pos="608"/>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建立“政府引导、部门协作、社会支持”的工作模式，强化市级统筹、县级负责、镇村落实、群众参与，科学组织、整体推进农田沟渠清淤工作。农业农村和水利等相关部门要建立协同机制，共同推动农田沟渠清淤工作。</w:t>
      </w:r>
    </w:p>
    <w:p>
      <w:pPr>
        <w:spacing w:beforeLines="0" w:afterLines="0" w:line="590" w:lineRule="exact"/>
        <w:ind w:firstLine="640" w:firstLineChars="200"/>
        <w:outlineLvl w:val="9"/>
        <w:rPr>
          <w:rFonts w:hint="eastAsia" w:ascii="黑体" w:hAnsi="黑体" w:eastAsia="黑体" w:cs="黑体"/>
          <w:kern w:val="0"/>
          <w:lang w:eastAsia="zh-CN"/>
        </w:rPr>
      </w:pPr>
      <w:bookmarkStart w:id="3" w:name="4.实施依据"/>
      <w:bookmarkEnd w:id="3"/>
      <w:r>
        <w:rPr>
          <w:rFonts w:hint="eastAsia" w:ascii="黑体" w:hAnsi="黑体" w:eastAsia="黑体" w:cs="黑体"/>
          <w:kern w:val="0"/>
          <w:lang w:eastAsia="zh-CN"/>
        </w:rPr>
        <w:t>三、组织实施</w:t>
      </w:r>
    </w:p>
    <w:p>
      <w:pPr>
        <w:spacing w:beforeLines="0" w:afterLines="0" w:line="590" w:lineRule="exact"/>
        <w:ind w:firstLine="640" w:firstLineChars="200"/>
        <w:outlineLvl w:val="9"/>
        <w:rPr>
          <w:rFonts w:hint="eastAsia" w:ascii="楷体_GB2312" w:hAnsi="楷体_GB2312" w:eastAsia="楷体_GB2312" w:cs="楷体_GB2312"/>
          <w:kern w:val="0"/>
          <w:lang w:eastAsia="zh-CN"/>
        </w:rPr>
      </w:pPr>
      <w:r>
        <w:rPr>
          <w:rFonts w:hint="eastAsia" w:ascii="楷体_GB2312" w:hAnsi="楷体_GB2312" w:eastAsia="楷体_GB2312" w:cs="楷体_GB2312"/>
          <w:kern w:val="0"/>
          <w:lang w:eastAsia="zh-CN"/>
        </w:rPr>
        <w:t>（一）摸底排查</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以县域为单位全面开展农田排灌沟渠调查摸底，摸清淤积程度、淤泥规模、淤积影响和淤积物主要类型，建立清淤工作台账，以后根据实际情况进行动态调整。</w:t>
      </w:r>
    </w:p>
    <w:p>
      <w:pPr>
        <w:autoSpaceDE/>
        <w:autoSpaceDN/>
        <w:adjustRightInd/>
        <w:snapToGrid/>
        <w:spacing w:beforeLines="0" w:afterLines="0" w:line="590" w:lineRule="exact"/>
        <w:ind w:firstLine="640" w:firstLineChars="200"/>
        <w:jc w:val="left"/>
        <w:outlineLvl w:val="9"/>
        <w:rPr>
          <w:rFonts w:hint="eastAsia" w:ascii="楷体_GB2312" w:hAnsi="楷体_GB2312" w:eastAsia="楷体_GB2312" w:cs="楷体_GB2312"/>
          <w:kern w:val="0"/>
          <w:lang w:eastAsia="zh-CN"/>
        </w:rPr>
      </w:pPr>
      <w:r>
        <w:rPr>
          <w:rFonts w:hint="eastAsia" w:ascii="楷体_GB2312" w:hAnsi="楷体_GB2312" w:eastAsia="楷体_GB2312" w:cs="楷体_GB2312"/>
          <w:kern w:val="0"/>
          <w:sz w:val="32"/>
          <w:szCs w:val="20"/>
          <w:lang w:eastAsia="zh-CN"/>
        </w:rPr>
        <w:t>（二）制定方案</w:t>
      </w:r>
    </w:p>
    <w:p>
      <w:pPr>
        <w:pStyle w:val="2"/>
        <w:autoSpaceDE/>
        <w:autoSpaceDN/>
        <w:adjustRightInd w:val="0"/>
        <w:snapToGrid w:val="0"/>
        <w:spacing w:beforeLines="0" w:afterLines="0" w:line="590" w:lineRule="exact"/>
        <w:ind w:firstLine="640" w:firstLineChars="200"/>
        <w:jc w:val="both"/>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 设定目标</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spacing w:val="0"/>
          <w:kern w:val="0"/>
          <w:sz w:val="32"/>
          <w:szCs w:val="32"/>
          <w:lang w:eastAsia="zh-CN"/>
        </w:rPr>
      </w:pPr>
      <w:r>
        <w:rPr>
          <w:rFonts w:hint="eastAsia" w:ascii="仿宋_GB2312" w:hAnsi="仿宋_GB2312" w:eastAsia="仿宋_GB2312" w:cs="仿宋_GB2312"/>
          <w:kern w:val="0"/>
          <w:sz w:val="32"/>
          <w:szCs w:val="32"/>
          <w:lang w:eastAsia="zh-CN"/>
        </w:rPr>
        <w:t>农田灌排沟渠要以提高沟渠灌排水能力为主要目的制定具体清淤目标，包括清理沟渠淤积物、减少水流阻力和延长沟渠使用寿命等。</w:t>
      </w:r>
    </w:p>
    <w:p>
      <w:pPr>
        <w:pStyle w:val="2"/>
        <w:autoSpaceDE/>
        <w:autoSpaceDN/>
        <w:adjustRightInd w:val="0"/>
        <w:snapToGrid w:val="0"/>
        <w:spacing w:beforeLines="0" w:afterLines="0" w:line="590" w:lineRule="exact"/>
        <w:ind w:firstLine="640" w:firstLineChars="200"/>
        <w:jc w:val="both"/>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 编制方案</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（1）沟渠分类处理</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农田沟渠要按照灌排功能分类处理，</w:t>
      </w:r>
      <w:r>
        <w:rPr>
          <w:rFonts w:hint="eastAsia" w:ascii="仿宋_GB2312" w:hAnsi="仿宋_GB2312" w:eastAsia="仿宋_GB2312" w:cs="仿宋_GB2312"/>
          <w:b/>
          <w:bCs/>
          <w:kern w:val="0"/>
          <w:sz w:val="32"/>
          <w:szCs w:val="32"/>
          <w:lang w:eastAsia="zh-CN"/>
        </w:rPr>
        <w:t>排渠</w:t>
      </w:r>
      <w:r>
        <w:rPr>
          <w:rFonts w:hint="eastAsia" w:ascii="仿宋_GB2312" w:hAnsi="仿宋_GB2312" w:eastAsia="仿宋_GB2312" w:cs="仿宋_GB2312"/>
          <w:kern w:val="0"/>
          <w:sz w:val="32"/>
          <w:szCs w:val="32"/>
          <w:lang w:eastAsia="zh-CN"/>
        </w:rPr>
        <w:t>应全面进行清淤处理，尽量通畅农田排涝途径；</w:t>
      </w:r>
      <w:r>
        <w:rPr>
          <w:rFonts w:hint="eastAsia" w:ascii="仿宋_GB2312" w:hAnsi="仿宋_GB2312" w:eastAsia="仿宋_GB2312" w:cs="仿宋_GB2312"/>
          <w:b/>
          <w:bCs/>
          <w:kern w:val="0"/>
          <w:sz w:val="32"/>
          <w:szCs w:val="32"/>
          <w:lang w:eastAsia="zh-CN"/>
        </w:rPr>
        <w:t>灌渠</w:t>
      </w:r>
      <w:r>
        <w:rPr>
          <w:rFonts w:hint="eastAsia" w:ascii="仿宋_GB2312" w:hAnsi="仿宋_GB2312" w:eastAsia="仿宋_GB2312" w:cs="仿宋_GB2312"/>
          <w:kern w:val="0"/>
          <w:sz w:val="32"/>
          <w:szCs w:val="32"/>
          <w:lang w:eastAsia="zh-CN"/>
        </w:rPr>
        <w:t>应按照淤积程度分轻重缓急处理，对淤积程度浅、灌溉面积小的灌渠，在满足农田灌溉要求的前提下可适当清淤或不处理；对淤积程度深、灌溉面积大的灌渠，以清除生活生产垃圾、表层淤泥和壅水灌溉的淤积物为主，维持基本的水体清洁和流畅。</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（2）清淤区域分类</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要根据淤积程度划分清淤区域，将淤积严重、易淤积、灌溉面积大或负责排涝的沟渠划分为重点清淤段，如渠道变窄处、弯道内侧、坡度较缓处等易淤积的渠段；其余为一般清淤段。</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（3）确定清淤方式</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农田沟渠尺寸较小、淤积规模较小或机械设备无法到达时，宜采用人工清淤。具备机械清淤条件的农田沟渠，宜采用小型机械设备清淤。清淤机械设备根据清淤区地形地貌、设备性能、施工条件及费用等因素选择，应具备在狭窄、弯曲以及高低不平的地形条件下工作的能力，同时要考虑清淤成本，选择性价比高、操作简单、维护方便的设备。</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highlight w:val="yellow"/>
          <w:lang w:eastAsia="zh-CN"/>
        </w:rPr>
      </w:pPr>
      <w:r>
        <w:rPr>
          <w:rFonts w:hint="eastAsia" w:ascii="仿宋_GB2312" w:hAnsi="仿宋_GB2312" w:eastAsia="仿宋_GB2312" w:cs="仿宋_GB2312"/>
          <w:kern w:val="0"/>
          <w:sz w:val="32"/>
          <w:szCs w:val="32"/>
          <w:lang w:eastAsia="zh-CN"/>
        </w:rPr>
        <w:t>（4）清淤工程设计</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清淤工程可根据实际需要进行工程设计，对农田灌排沟渠进行详细测量，包括沟渠的长度、宽度、深度等几何参数，绘制现状平面图。平面图应包含所有需清淤的沟渠位置、注明沟渠编号、长度、淤积物类型和淤积方量等内容，若清淤涉及区域较大可分幅画出。如需计算清淤工程量可采用断面法等方法,每隔50-100m选取一个断面，并绘制清淤横断面示意图。</w:t>
      </w:r>
    </w:p>
    <w:p>
      <w:pPr>
        <w:autoSpaceDE/>
        <w:autoSpaceDN/>
        <w:adjustRightInd w:val="0"/>
        <w:snapToGrid w:val="0"/>
        <w:spacing w:beforeLines="0" w:afterLines="0" w:line="590" w:lineRule="exact"/>
        <w:ind w:firstLine="640" w:firstLineChars="200"/>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（5）清淤工期安排</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清淤工期原则上避免安排在汛期和农业灌溉用水关键期施工，以减少对防洪排涝功能和农业生产的影响。在台风、暴雨等极端灾害天气前、后，应紧急安排预防式清淤和复工复产清淤，确保农田沟渠通畅、减少受灾损失。</w:t>
      </w:r>
    </w:p>
    <w:p>
      <w:pPr>
        <w:autoSpaceDE/>
        <w:autoSpaceDN/>
        <w:adjustRightInd/>
        <w:snapToGrid/>
        <w:spacing w:beforeLines="0" w:afterLines="0" w:line="590" w:lineRule="exact"/>
        <w:ind w:firstLine="640" w:firstLineChars="200"/>
        <w:jc w:val="left"/>
        <w:outlineLvl w:val="9"/>
        <w:rPr>
          <w:rFonts w:hint="eastAsia" w:ascii="楷体_GB2312" w:hAnsi="楷体_GB2312" w:eastAsia="楷体_GB2312" w:cs="楷体_GB2312"/>
          <w:kern w:val="0"/>
          <w:sz w:val="32"/>
          <w:szCs w:val="20"/>
          <w:lang w:eastAsia="zh-CN"/>
        </w:rPr>
      </w:pPr>
      <w:r>
        <w:rPr>
          <w:rFonts w:hint="eastAsia" w:ascii="楷体_GB2312" w:hAnsi="楷体_GB2312" w:eastAsia="楷体_GB2312" w:cs="楷体_GB2312"/>
          <w:kern w:val="0"/>
          <w:sz w:val="32"/>
          <w:szCs w:val="20"/>
          <w:lang w:eastAsia="zh-CN"/>
        </w:rPr>
        <w:t>（三）实施方案</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（1）淤积物处置</w:t>
      </w:r>
    </w:p>
    <w:p>
      <w:pPr>
        <w:numPr>
          <w:ilvl w:val="0"/>
          <w:numId w:val="0"/>
        </w:numPr>
        <w:tabs>
          <w:tab w:val="left" w:pos="608"/>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按照科学处置、利用优先的原则开展淤积物处置工作，优先采取资源化利用措施，降低清淤成本。对</w:t>
      </w:r>
      <w:r>
        <w:rPr>
          <w:rFonts w:hint="eastAsia" w:ascii="仿宋_GB2312" w:hAnsi="仿宋_GB2312" w:eastAsia="仿宋_GB2312" w:cs="仿宋_GB2312"/>
          <w:b/>
          <w:bCs/>
          <w:kern w:val="0"/>
          <w:sz w:val="32"/>
          <w:szCs w:val="32"/>
          <w:lang w:eastAsia="zh-CN"/>
        </w:rPr>
        <w:t>泥土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bCs/>
          <w:kern w:val="0"/>
          <w:sz w:val="32"/>
          <w:szCs w:val="32"/>
          <w:lang w:eastAsia="zh-CN"/>
        </w:rPr>
        <w:t>淤泥</w:t>
      </w:r>
      <w:r>
        <w:rPr>
          <w:rFonts w:hint="eastAsia" w:ascii="仿宋_GB2312" w:hAnsi="仿宋_GB2312" w:eastAsia="仿宋_GB2312" w:cs="仿宋_GB2312"/>
          <w:kern w:val="0"/>
          <w:sz w:val="32"/>
          <w:szCs w:val="32"/>
          <w:lang w:eastAsia="zh-CN"/>
        </w:rPr>
        <w:t>等宜采用原位处置方式，清理后可在原地或就近用于田间土壤补充或灌渠背侧回填、堆肥和土地改良。对</w:t>
      </w:r>
      <w:r>
        <w:rPr>
          <w:rFonts w:hint="eastAsia" w:ascii="仿宋_GB2312" w:hAnsi="仿宋_GB2312" w:eastAsia="仿宋_GB2312" w:cs="仿宋_GB2312"/>
          <w:b/>
          <w:bCs/>
          <w:kern w:val="0"/>
          <w:sz w:val="32"/>
          <w:szCs w:val="32"/>
          <w:lang w:eastAsia="zh-CN"/>
        </w:rPr>
        <w:t>砂砾、石块</w:t>
      </w:r>
      <w:r>
        <w:rPr>
          <w:rFonts w:hint="eastAsia" w:ascii="仿宋_GB2312" w:hAnsi="仿宋_GB2312" w:eastAsia="仿宋_GB2312" w:cs="仿宋_GB2312"/>
          <w:kern w:val="0"/>
          <w:sz w:val="32"/>
          <w:szCs w:val="32"/>
          <w:lang w:eastAsia="zh-CN"/>
        </w:rPr>
        <w:t>等宜采用外运处置方式，清理外运至集中处置场晾干后，可用于路基、坡脚、沟渠背侧回填、构筑排涝岸线等。不可将</w:t>
      </w:r>
      <w:r>
        <w:rPr>
          <w:rFonts w:hint="eastAsia" w:ascii="仿宋_GB2312" w:hAnsi="仿宋_GB2312" w:eastAsia="仿宋_GB2312" w:cs="仿宋_GB2312"/>
          <w:b/>
          <w:bCs/>
          <w:kern w:val="0"/>
          <w:sz w:val="32"/>
          <w:szCs w:val="32"/>
          <w:lang w:eastAsia="zh-CN"/>
        </w:rPr>
        <w:t>生活、生产垃圾</w:t>
      </w:r>
      <w:r>
        <w:rPr>
          <w:rFonts w:hint="eastAsia" w:ascii="仿宋_GB2312" w:hAnsi="仿宋_GB2312" w:eastAsia="仿宋_GB2312" w:cs="仿宋_GB2312"/>
          <w:kern w:val="0"/>
          <w:sz w:val="32"/>
          <w:szCs w:val="32"/>
          <w:lang w:eastAsia="zh-CN"/>
        </w:rPr>
        <w:t>与其他淤积物混合处置，应单独分类收集处理，要特别注意甄别垃圾中的农药瓶、农药包等有害物质载体，严禁将上述有害物质载体随意丢弃，必须集中统一销毁或无害化处理。</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（2）现场管理</w:t>
      </w:r>
    </w:p>
    <w:p>
      <w:pPr>
        <w:autoSpaceDE/>
        <w:autoSpaceDN/>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清淤施工过程要遵守安全操作规程，安全管理人员应具有作业经验并持证上岗，施工区、堆场等应设置必要的安全护栏和警示标识。财政资金投入项目要做好施工记录计量，清淤实施过程中，应采用断面法对每条需治理的农田灌溉沟渠进行工程量测算，并做好施工现场摄像、工程量计量清单确认等工作。施工现场摄像应在清淤施工前、施工后原地拍摄,反映清淤前后沟渠的淤积情况；工程量计量清单应有参建各方代表签字确认，否则视为无效。对沟渠中的生活、生产垃圾，人为壅水灌溉的淤积物原则上不计量，数量较多、确有必要时可根据实际估算工程量。</w:t>
      </w:r>
    </w:p>
    <w:p>
      <w:pPr>
        <w:autoSpaceDE/>
        <w:autoSpaceDN/>
        <w:adjustRightInd w:val="0"/>
        <w:snapToGrid w:val="0"/>
        <w:spacing w:beforeLines="0" w:afterLines="0" w:line="590" w:lineRule="exact"/>
        <w:ind w:firstLine="640" w:firstLineChars="200"/>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（3）清淤质量与进度管理</w:t>
      </w:r>
    </w:p>
    <w:p>
      <w:pPr>
        <w:pStyle w:val="2"/>
        <w:tabs>
          <w:tab w:val="left" w:pos="0"/>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应做好沟渠清淤前、后情况记录，清淤工作完成后，检查是否达到预定目标，淤积物是否按要求处置，同时还应检查沟渠是否存在施工破损的情况，破损严重的渠段应立即予以修复。清淤进度根据施工组织安排进行控制，当实际进度慢于施工计划工期时，应采取增派施工班组、施工设备等措施，确保按期完工。</w:t>
      </w:r>
    </w:p>
    <w:p>
      <w:pPr>
        <w:spacing w:beforeLines="0" w:afterLines="0" w:line="590" w:lineRule="exact"/>
        <w:ind w:firstLine="640" w:firstLineChars="200"/>
        <w:outlineLvl w:val="9"/>
        <w:rPr>
          <w:rFonts w:hint="eastAsia" w:ascii="黑体" w:hAnsi="黑体" w:eastAsia="黑体" w:cs="黑体"/>
          <w:kern w:val="0"/>
          <w:lang w:eastAsia="zh-CN"/>
        </w:rPr>
      </w:pPr>
      <w:r>
        <w:rPr>
          <w:rFonts w:hint="eastAsia" w:ascii="黑体" w:hAnsi="黑体" w:eastAsia="黑体" w:cs="黑体"/>
          <w:kern w:val="0"/>
          <w:lang w:eastAsia="zh-CN"/>
        </w:rPr>
        <w:t>四、工程验收</w:t>
      </w:r>
    </w:p>
    <w:p>
      <w:pPr>
        <w:pStyle w:val="2"/>
        <w:tabs>
          <w:tab w:val="left" w:pos="0"/>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财政资金投入项目由项目审批单位开展工程验收，检查工程是否按实施方案和合同施工；检查施工现场清理情况；检查清淤结束后农田沟渠排灌功能改善情况；检查验收相关资料的收集、整理和归档情况；检查工程资金使用情况；出具清淤工程验收结论。</w:t>
      </w:r>
    </w:p>
    <w:p>
      <w:pPr>
        <w:spacing w:beforeLines="0" w:afterLines="0" w:line="590" w:lineRule="exact"/>
        <w:ind w:firstLine="640" w:firstLineChars="200"/>
        <w:outlineLvl w:val="9"/>
        <w:rPr>
          <w:rFonts w:hint="eastAsia" w:ascii="黑体" w:hAnsi="黑体" w:eastAsia="黑体" w:cs="黑体"/>
          <w:kern w:val="0"/>
          <w:lang w:eastAsia="zh-CN"/>
        </w:rPr>
      </w:pPr>
      <w:bookmarkStart w:id="4" w:name="五、淤泥处置"/>
      <w:bookmarkEnd w:id="4"/>
      <w:bookmarkStart w:id="5" w:name="六、日常巡查与长效管护"/>
      <w:bookmarkEnd w:id="5"/>
      <w:r>
        <w:rPr>
          <w:rFonts w:hint="eastAsia" w:ascii="黑体" w:hAnsi="黑体" w:eastAsia="黑体" w:cs="黑体"/>
          <w:kern w:val="0"/>
          <w:lang w:eastAsia="zh-CN"/>
        </w:rPr>
        <w:t>五、日常巡查与长效管护</w:t>
      </w:r>
    </w:p>
    <w:p>
      <w:pPr>
        <w:pStyle w:val="2"/>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县级监管、乡镇落实、村级实施、多元参与，落实管护责任，加强日常巡查，掌握农田沟渠基本情况。镇村负责引导当地群众积极参与，及时发现和上报农田沟渠管护中存在的问题，通知相关责任部门或单位进行处置并跟进处置情况。注重发挥田长制作用，组织受益主体、护田员等开展项目管护日常巡查和集中定期清查维护，及时清淤，确保农田沟渠排灌畅通，及时报告灾损情况。</w:t>
      </w:r>
    </w:p>
    <w:p>
      <w:pPr>
        <w:spacing w:beforeLines="0" w:afterLines="0" w:line="590" w:lineRule="exact"/>
        <w:ind w:firstLine="640" w:firstLineChars="200"/>
        <w:outlineLvl w:val="9"/>
        <w:rPr>
          <w:rFonts w:hint="eastAsia" w:ascii="黑体" w:hAnsi="黑体" w:eastAsia="黑体" w:cs="黑体"/>
          <w:kern w:val="0"/>
          <w:lang w:eastAsia="zh-CN"/>
        </w:rPr>
      </w:pPr>
      <w:r>
        <w:rPr>
          <w:rFonts w:hint="eastAsia" w:ascii="黑体" w:hAnsi="黑体" w:eastAsia="黑体" w:cs="黑体"/>
          <w:kern w:val="0"/>
          <w:lang w:eastAsia="zh-CN"/>
        </w:rPr>
        <w:t>六、保障措施</w:t>
      </w:r>
    </w:p>
    <w:p>
      <w:pPr>
        <w:tabs>
          <w:tab w:val="left" w:pos="401"/>
        </w:tabs>
        <w:autoSpaceDE/>
        <w:autoSpaceDN/>
        <w:adjustRightInd w:val="0"/>
        <w:snapToGrid w:val="0"/>
        <w:spacing w:beforeLines="0" w:afterLines="0" w:line="590" w:lineRule="exact"/>
        <w:ind w:firstLine="640" w:firstLineChars="200"/>
        <w:jc w:val="both"/>
        <w:outlineLvl w:val="9"/>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（一）加强组织统筹，广泛宣传引导</w:t>
      </w:r>
    </w:p>
    <w:p>
      <w:pPr>
        <w:tabs>
          <w:tab w:val="left" w:pos="538"/>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各地要建立政府引导、部门协作、镇村落实、群众参与、社会支持的清淤工作体系。每年及早部署，统筹各相关部门资源、广泛发动群众做好农田沟渠清淤工作。加大宣传工作力度,发挥网络平台、报纸、电视的宣传引导作用，广聚民心共识、大力培育文明乡风，营造全社会参与的良好氛围，引导全社会人人主动参与农田灌排沟渠的清淤工作。</w:t>
      </w:r>
    </w:p>
    <w:p>
      <w:pPr>
        <w:tabs>
          <w:tab w:val="left" w:pos="401"/>
        </w:tabs>
        <w:autoSpaceDE/>
        <w:autoSpaceDN/>
        <w:adjustRightInd w:val="0"/>
        <w:snapToGrid w:val="0"/>
        <w:spacing w:beforeLines="0" w:afterLines="0" w:line="590" w:lineRule="exact"/>
        <w:ind w:firstLine="640" w:firstLineChars="200"/>
        <w:jc w:val="both"/>
        <w:outlineLvl w:val="9"/>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kern w:val="0"/>
          <w:sz w:val="32"/>
          <w:szCs w:val="32"/>
          <w:lang w:eastAsia="zh-CN"/>
        </w:rPr>
        <w:t>（二）加强资金保障，多方筹措资金</w:t>
      </w:r>
    </w:p>
    <w:p>
      <w:pPr>
        <w:tabs>
          <w:tab w:val="left" w:pos="538"/>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各地要强化财政资金保障，利用好灾毁农田修复资金、高标准农田建设管护资金等，发挥财政资金引导作用，通过资源化利用收益有效吸引社会资本投入，鼓励发动群众投工投劳支持家乡清淤工作。</w:t>
      </w:r>
    </w:p>
    <w:p>
      <w:pPr>
        <w:tabs>
          <w:tab w:val="left" w:pos="401"/>
        </w:tabs>
        <w:autoSpaceDE/>
        <w:autoSpaceDN/>
        <w:adjustRightInd w:val="0"/>
        <w:snapToGrid w:val="0"/>
        <w:spacing w:beforeLines="0" w:afterLines="0" w:line="590" w:lineRule="exact"/>
        <w:ind w:firstLine="640" w:firstLineChars="200"/>
        <w:jc w:val="both"/>
        <w:outlineLvl w:val="9"/>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（三）抢抓冬春时节，集中实施清淤</w:t>
      </w:r>
    </w:p>
    <w:p>
      <w:pPr>
        <w:tabs>
          <w:tab w:val="left" w:pos="538"/>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利用冬春时节组织群众开展农田沟渠清淤工作，改善农业生产条件、提升农村人居环境、造福广大人民群众。以提高沟渠输排水能力为目的开展农田灌溉沟渠清淤，清除杂草和堵塞沟渠的淤泥、石块等杂物，加强高标准农田项目区等农田沟渠的清理和维护工作。</w:t>
      </w:r>
    </w:p>
    <w:p>
      <w:pPr>
        <w:spacing w:beforeLines="0" w:afterLines="0" w:line="590" w:lineRule="exact"/>
        <w:ind w:firstLine="640" w:firstLineChars="200"/>
        <w:outlineLvl w:val="9"/>
        <w:rPr>
          <w:rFonts w:hint="eastAsia" w:ascii="仿宋_GB2312" w:hAnsi="仿宋_GB2312" w:eastAsia="仿宋_GB2312" w:cs="仿宋_GB2312"/>
          <w:kern w:val="0"/>
          <w:lang w:eastAsia="zh-CN"/>
        </w:rPr>
      </w:pPr>
      <w:bookmarkStart w:id="6" w:name="九、其它"/>
      <w:bookmarkEnd w:id="6"/>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附件：1.农田灌排沟渠清淤实施方案编制目录</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lang w:val="en-US" w:eastAsia="zh-CN"/>
        </w:rPr>
        <w:sectPr>
          <w:footerReference r:id="rId4" w:type="first"/>
          <w:footerReference r:id="rId3" w:type="default"/>
          <w:pgSz w:w="11905" w:h="16838"/>
          <w:pgMar w:top="1871" w:right="1531" w:bottom="1871" w:left="1531" w:header="850" w:footer="1417" w:gutter="0"/>
          <w:pgNumType w:fmt="decimal" w:start="2"/>
          <w:cols w:space="720" w:num="1"/>
          <w:titlePg/>
          <w:rtlGutter w:val="0"/>
          <w:docGrid w:type="lines" w:linePitch="595" w:charSpace="0"/>
        </w:sectPr>
      </w:pPr>
      <w:r>
        <w:rPr>
          <w:rFonts w:hint="eastAsia" w:ascii="仿宋_GB2312" w:hAnsi="仿宋_GB2312" w:eastAsia="仿宋_GB2312" w:cs="仿宋_GB2312"/>
          <w:kern w:val="0"/>
          <w:sz w:val="32"/>
          <w:szCs w:val="32"/>
          <w:lang w:val="en-US" w:eastAsia="zh-CN"/>
        </w:rPr>
        <w:t xml:space="preserve">      2.淤泥处置方案</w:t>
      </w:r>
    </w:p>
    <w:p>
      <w:pPr>
        <w:spacing w:beforeLines="0" w:afterLines="0" w:line="590" w:lineRule="exact"/>
        <w:ind w:left="0" w:firstLine="0" w:firstLineChars="0"/>
        <w:outlineLvl w:val="9"/>
        <w:rPr>
          <w:rFonts w:hint="eastAsia" w:ascii="黑体" w:hAnsi="黑体" w:eastAsia="黑体" w:cs="黑体"/>
          <w:kern w:val="0"/>
          <w:lang w:val="en-US" w:eastAsia="zh-CN"/>
        </w:rPr>
      </w:pPr>
      <w:r>
        <w:rPr>
          <w:rFonts w:hint="eastAsia" w:ascii="黑体" w:hAnsi="黑体" w:eastAsia="黑体" w:cs="黑体"/>
          <w:kern w:val="0"/>
          <w:lang w:eastAsia="zh-CN"/>
        </w:rPr>
        <w:t xml:space="preserve">附件1 </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p>
    <w:p>
      <w:pPr>
        <w:pStyle w:val="2"/>
        <w:tabs>
          <w:tab w:val="left" w:pos="1166"/>
        </w:tabs>
        <w:autoSpaceDE/>
        <w:autoSpaceDN/>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农田灌排沟渠清淤实施方案编制目录</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p>
    <w:p>
      <w:pPr>
        <w:pStyle w:val="2"/>
        <w:tabs>
          <w:tab w:val="left" w:pos="1166"/>
        </w:tabs>
        <w:autoSpaceDE/>
        <w:autoSpaceDN/>
        <w:adjustRightInd w:val="0"/>
        <w:snapToGrid w:val="0"/>
        <w:spacing w:beforeLines="0" w:afterLines="0" w:line="590" w:lineRule="exact"/>
        <w:ind w:firstLine="640" w:firstLineChars="200"/>
        <w:jc w:val="both"/>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财政资金投入项目应编制农田灌排沟渠清淤实施方案，可参考本目录编制。</w:t>
      </w:r>
    </w:p>
    <w:p>
      <w:pPr>
        <w:pStyle w:val="2"/>
        <w:tabs>
          <w:tab w:val="left" w:pos="1166"/>
        </w:tabs>
        <w:autoSpaceDE/>
        <w:autoSpaceDN/>
        <w:adjustRightInd w:val="0"/>
        <w:snapToGrid w:val="0"/>
        <w:spacing w:beforeLines="0" w:afterLines="0" w:line="590" w:lineRule="exact"/>
        <w:ind w:firstLine="640" w:firstLineChars="200"/>
        <w:jc w:val="both"/>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一、基本情况</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1.1项目背景</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1.2项目必要性</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1.3 可行性分析</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1.4 效益评估</w:t>
      </w:r>
    </w:p>
    <w:p>
      <w:pPr>
        <w:pStyle w:val="2"/>
        <w:tabs>
          <w:tab w:val="left" w:pos="1166"/>
        </w:tabs>
        <w:autoSpaceDE/>
        <w:autoSpaceDN/>
        <w:adjustRightInd w:val="0"/>
        <w:snapToGrid w:val="0"/>
        <w:spacing w:beforeLines="0" w:afterLines="0" w:line="590" w:lineRule="exact"/>
        <w:ind w:firstLine="640" w:firstLineChars="200"/>
        <w:jc w:val="both"/>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二、清淤工程设计</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2.1 工程任务与规模</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2.2 施工组织设计</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2.3 淤积物处置与利用</w:t>
      </w:r>
    </w:p>
    <w:p>
      <w:pPr>
        <w:pStyle w:val="2"/>
        <w:tabs>
          <w:tab w:val="left" w:pos="1166"/>
        </w:tabs>
        <w:autoSpaceDE/>
        <w:autoSpaceDN/>
        <w:adjustRightInd w:val="0"/>
        <w:snapToGrid w:val="0"/>
        <w:spacing w:beforeLines="0" w:afterLines="0" w:line="590" w:lineRule="exact"/>
        <w:ind w:firstLine="640" w:firstLineChars="200"/>
        <w:jc w:val="both"/>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三、工程量与概算</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3.1工程量</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3.2概算</w:t>
      </w:r>
    </w:p>
    <w:p>
      <w:pPr>
        <w:pStyle w:val="2"/>
        <w:tabs>
          <w:tab w:val="left" w:pos="1166"/>
        </w:tabs>
        <w:autoSpaceDE/>
        <w:autoSpaceDN/>
        <w:adjustRightInd w:val="0"/>
        <w:snapToGrid w:val="0"/>
        <w:spacing w:beforeLines="0" w:afterLines="0" w:line="590" w:lineRule="exact"/>
        <w:ind w:firstLine="640" w:firstLineChars="200"/>
        <w:jc w:val="both"/>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四、附图</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（1）总平面布置图</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（2）横断面布置图</w:t>
      </w:r>
    </w:p>
    <w:p>
      <w:pPr>
        <w:pStyle w:val="2"/>
        <w:tabs>
          <w:tab w:val="left" w:pos="1166"/>
        </w:tabs>
        <w:autoSpaceDE/>
        <w:autoSpaceDN/>
        <w:adjustRightInd w:val="0"/>
        <w:snapToGrid w:val="0"/>
        <w:spacing w:beforeLines="0" w:afterLines="0" w:line="59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（3）工程施工总进度图</w:t>
      </w:r>
    </w:p>
    <w:p>
      <w:pPr>
        <w:pStyle w:val="2"/>
        <w:tabs>
          <w:tab w:val="left" w:pos="1166"/>
        </w:tabs>
        <w:spacing w:beforeLines="0" w:afterLines="0" w:line="560" w:lineRule="exact"/>
        <w:ind w:firstLine="0" w:firstLineChars="0"/>
        <w:jc w:val="both"/>
        <w:rPr>
          <w:rFonts w:hint="eastAsia" w:ascii="黑体" w:hAnsi="黑体" w:eastAsia="黑体" w:cs="黑体"/>
          <w:kern w:val="0"/>
          <w:sz w:val="32"/>
          <w:szCs w:val="32"/>
          <w:lang w:eastAsia="zh-CN"/>
        </w:rPr>
      </w:pPr>
      <w:r>
        <w:rPr>
          <w:rFonts w:hint="eastAsia" w:ascii="仿宋_GB2312" w:hAnsi="仿宋_GB2312" w:eastAsia="仿宋_GB2312" w:cs="仿宋_GB2312"/>
          <w:kern w:val="0"/>
          <w:sz w:val="32"/>
          <w:szCs w:val="32"/>
          <w:lang w:eastAsia="zh-CN"/>
        </w:rPr>
        <w:br w:type="page"/>
      </w:r>
      <w:bookmarkStart w:id="7" w:name="附件4__清淤方式、特点和适用条件"/>
      <w:bookmarkEnd w:id="7"/>
      <w:bookmarkStart w:id="8" w:name="附件6__淤泥检测项目及限制"/>
      <w:bookmarkEnd w:id="8"/>
      <w:bookmarkStart w:id="9" w:name="附件7__污染淤泥分类利用参考标准"/>
      <w:bookmarkEnd w:id="9"/>
      <w:r>
        <w:rPr>
          <w:rFonts w:hint="eastAsia" w:ascii="黑体" w:hAnsi="黑体" w:eastAsia="黑体" w:cs="黑体"/>
          <w:kern w:val="0"/>
          <w:sz w:val="32"/>
          <w:szCs w:val="32"/>
          <w:lang w:eastAsia="zh-CN"/>
        </w:rPr>
        <w:t>附件2</w:t>
      </w:r>
    </w:p>
    <w:p>
      <w:pPr>
        <w:spacing w:beforeLines="0" w:afterLines="0" w:line="560" w:lineRule="exact"/>
        <w:ind w:firstLine="640" w:firstLineChars="200"/>
        <w:jc w:val="both"/>
        <w:outlineLvl w:val="9"/>
        <w:rPr>
          <w:rFonts w:hint="eastAsia" w:ascii="仿宋_GB2312" w:hAnsi="仿宋_GB2312" w:eastAsia="仿宋_GB2312" w:cs="仿宋_GB2312"/>
          <w:kern w:val="0"/>
          <w:sz w:val="32"/>
          <w:szCs w:val="32"/>
          <w:lang w:eastAsia="zh-CN"/>
        </w:rPr>
      </w:pPr>
    </w:p>
    <w:p>
      <w:pPr>
        <w:spacing w:beforeLines="0" w:afterLines="0" w:line="560" w:lineRule="exact"/>
        <w:ind w:firstLine="0" w:firstLineChars="0"/>
        <w:jc w:val="center"/>
        <w:outlineLvl w:val="9"/>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淤泥处置方案</w:t>
      </w:r>
    </w:p>
    <w:p>
      <w:pPr>
        <w:adjustRightInd w:val="0"/>
        <w:snapToGrid w:val="0"/>
        <w:spacing w:beforeLines="0" w:afterLines="0" w:line="560" w:lineRule="exact"/>
        <w:ind w:firstLine="640" w:firstLineChars="200"/>
        <w:jc w:val="both"/>
        <w:rPr>
          <w:rFonts w:hint="eastAsia" w:ascii="仿宋_GB2312" w:hAnsi="仿宋_GB2312" w:eastAsia="仿宋_GB2312" w:cs="仿宋_GB2312"/>
          <w:kern w:val="0"/>
          <w:sz w:val="32"/>
          <w:szCs w:val="32"/>
          <w:lang w:eastAsia="zh-CN"/>
        </w:rPr>
      </w:pPr>
    </w:p>
    <w:p>
      <w:pPr>
        <w:adjustRightInd w:val="0"/>
        <w:snapToGrid w:val="0"/>
        <w:spacing w:beforeLines="0" w:afterLines="0" w:line="56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农田沟渠清淤产生的淤泥量大、无法完全就近消纳，或存在污染、需进行处理时，可参考本方案进行处置。</w:t>
      </w:r>
    </w:p>
    <w:p>
      <w:pPr>
        <w:pStyle w:val="2"/>
        <w:autoSpaceDE/>
        <w:autoSpaceDN/>
        <w:adjustRightInd w:val="0"/>
        <w:snapToGrid w:val="0"/>
        <w:spacing w:beforeLines="0" w:afterLines="0" w:line="560" w:lineRule="exact"/>
        <w:ind w:firstLine="640" w:firstLineChars="200"/>
        <w:jc w:val="both"/>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一、减量化处置</w:t>
      </w:r>
    </w:p>
    <w:p>
      <w:pPr>
        <w:pStyle w:val="2"/>
        <w:autoSpaceDE/>
        <w:autoSpaceDN/>
        <w:adjustRightInd w:val="0"/>
        <w:snapToGrid w:val="0"/>
        <w:spacing w:beforeLines="0" w:afterLines="0" w:line="56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淤泥一般含水量较高，体积大，且呈流动性，经减量化以后，可使体积大大减小，便于堆置、转运。工程上常用的有自然干化（自然排水固结和晾晒）、工程物理干化（真空预压固结排水、堆载预压固结排水）、机械脱水干化（真空过滤式、压滤式、离心式）和土工模袋排水干化等多种方式。见表1。</w:t>
      </w:r>
    </w:p>
    <w:p>
      <w:pPr>
        <w:pStyle w:val="2"/>
        <w:autoSpaceDE/>
        <w:autoSpaceDN/>
        <w:adjustRightInd w:val="0"/>
        <w:snapToGrid w:val="0"/>
        <w:spacing w:beforeLines="0" w:afterLines="0" w:line="56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淤泥经干化处理后，可用于烧制建筑材料，缓解毁田取土用以烧砖制砖和烧制陶粒等的矛盾；对于含泥量较多的粗细颗粒混合淤泥可用于烧结制砖或烧制陶粒，也可加入一定比例的粉煤灰、粘土等调整烧结产品性能；对于单独填埋、卫生填埋的淤泥，填埋场所应符合《中华人民共和国固体废物污染环境防治法》的相关要求。</w:t>
      </w:r>
    </w:p>
    <w:p>
      <w:pPr>
        <w:pStyle w:val="2"/>
        <w:tabs>
          <w:tab w:val="left" w:pos="1166"/>
        </w:tabs>
        <w:autoSpaceDE/>
        <w:autoSpaceDN/>
        <w:adjustRightInd w:val="0"/>
        <w:snapToGrid w:val="0"/>
        <w:spacing w:beforeLines="0" w:afterLines="0" w:line="590" w:lineRule="exact"/>
        <w:ind w:firstLine="0" w:firstLineChars="0"/>
        <w:jc w:val="center"/>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lang w:eastAsia="zh-CN"/>
        </w:rPr>
        <w:t>表1 淤泥减量化处置方式、机理、特点和适用条件</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656"/>
        <w:gridCol w:w="2047"/>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pct"/>
            <w:noWrap w:val="0"/>
            <w:vAlign w:val="center"/>
          </w:tcPr>
          <w:p>
            <w:pPr>
              <w:pStyle w:val="2"/>
              <w:tabs>
                <w:tab w:val="left" w:pos="1166"/>
              </w:tabs>
              <w:autoSpaceDE/>
              <w:autoSpaceDN/>
              <w:adjustRightInd w:val="0"/>
              <w:snapToGrid w:val="0"/>
              <w:spacing w:line="240" w:lineRule="auto"/>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主要</w:t>
            </w:r>
          </w:p>
          <w:p>
            <w:pPr>
              <w:pStyle w:val="2"/>
              <w:tabs>
                <w:tab w:val="left" w:pos="1166"/>
              </w:tabs>
              <w:autoSpaceDE/>
              <w:autoSpaceDN/>
              <w:adjustRightInd w:val="0"/>
              <w:snapToGrid w:val="0"/>
              <w:spacing w:line="240" w:lineRule="auto"/>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方式</w:t>
            </w:r>
          </w:p>
        </w:tc>
        <w:tc>
          <w:tcPr>
            <w:tcW w:w="2145" w:type="pct"/>
            <w:noWrap w:val="0"/>
            <w:vAlign w:val="center"/>
          </w:tcPr>
          <w:p>
            <w:pPr>
              <w:pStyle w:val="2"/>
              <w:tabs>
                <w:tab w:val="left" w:pos="1166"/>
              </w:tabs>
              <w:autoSpaceDE/>
              <w:autoSpaceDN/>
              <w:adjustRightInd w:val="0"/>
              <w:snapToGrid w:val="0"/>
              <w:spacing w:line="240" w:lineRule="auto"/>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机理</w:t>
            </w:r>
          </w:p>
        </w:tc>
        <w:tc>
          <w:tcPr>
            <w:tcW w:w="1201" w:type="pct"/>
            <w:noWrap w:val="0"/>
            <w:vAlign w:val="center"/>
          </w:tcPr>
          <w:p>
            <w:pPr>
              <w:pStyle w:val="2"/>
              <w:tabs>
                <w:tab w:val="left" w:pos="1166"/>
              </w:tabs>
              <w:autoSpaceDE/>
              <w:autoSpaceDN/>
              <w:adjustRightInd w:val="0"/>
              <w:snapToGrid w:val="0"/>
              <w:spacing w:line="240" w:lineRule="auto"/>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特点</w:t>
            </w:r>
          </w:p>
        </w:tc>
        <w:tc>
          <w:tcPr>
            <w:tcW w:w="1051" w:type="pct"/>
            <w:noWrap w:val="0"/>
            <w:vAlign w:val="center"/>
          </w:tcPr>
          <w:p>
            <w:pPr>
              <w:pStyle w:val="2"/>
              <w:tabs>
                <w:tab w:val="left" w:pos="1166"/>
              </w:tabs>
              <w:autoSpaceDE/>
              <w:autoSpaceDN/>
              <w:adjustRightInd w:val="0"/>
              <w:snapToGrid w:val="0"/>
              <w:spacing w:line="240" w:lineRule="auto"/>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601" w:type="pct"/>
            <w:noWrap w:val="0"/>
            <w:vAlign w:val="center"/>
          </w:tcPr>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自然</w:t>
            </w:r>
          </w:p>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风干</w:t>
            </w:r>
          </w:p>
        </w:tc>
        <w:tc>
          <w:tcPr>
            <w:tcW w:w="2145"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主要靠自身重量进行固结排水。必要时在表面分层开沟引水，增加排水速度，并可利用太阳的暴晒风干作用，是传统的减量化方式。</w:t>
            </w:r>
          </w:p>
        </w:tc>
        <w:tc>
          <w:tcPr>
            <w:tcW w:w="1201"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施工工艺简单、成本低，但占地面积大，固结时间长。</w:t>
            </w:r>
          </w:p>
        </w:tc>
        <w:tc>
          <w:tcPr>
            <w:tcW w:w="1051"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适用砂性含量高、渗透系数较大的</w:t>
            </w:r>
            <w:r>
              <w:rPr>
                <w:rFonts w:hint="eastAsia" w:ascii="Times New Roman" w:hAnsi="Times New Roman" w:eastAsia="仿宋_GB2312" w:cs="Times New Roman"/>
                <w:sz w:val="21"/>
                <w:szCs w:val="21"/>
                <w:lang w:eastAsia="zh-CN"/>
              </w:rPr>
              <w:t>淤泥</w:t>
            </w:r>
            <w:r>
              <w:rPr>
                <w:rFonts w:ascii="Times New Roman" w:hAnsi="Times New Roman" w:eastAsia="仿宋_GB2312" w:cs="Times New Roman"/>
                <w:sz w:val="21"/>
                <w:szCs w:val="21"/>
                <w:lang w:eastAsia="zh-CN"/>
              </w:rPr>
              <w:t>，或场地足够，对固结时间要求不高的情况。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pct"/>
            <w:noWrap w:val="0"/>
            <w:vAlign w:val="center"/>
          </w:tcPr>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真空</w:t>
            </w:r>
          </w:p>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预压</w:t>
            </w:r>
          </w:p>
        </w:tc>
        <w:tc>
          <w:tcPr>
            <w:tcW w:w="2145"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将</w:t>
            </w:r>
            <w:r>
              <w:rPr>
                <w:rFonts w:hint="eastAsia" w:ascii="Times New Roman" w:hAnsi="Times New Roman" w:eastAsia="仿宋_GB2312" w:cs="Times New Roman"/>
                <w:sz w:val="21"/>
                <w:szCs w:val="21"/>
                <w:lang w:eastAsia="zh-CN"/>
              </w:rPr>
              <w:t>淤泥</w:t>
            </w:r>
            <w:r>
              <w:rPr>
                <w:rFonts w:ascii="Times New Roman" w:hAnsi="Times New Roman" w:eastAsia="仿宋_GB2312" w:cs="Times New Roman"/>
                <w:sz w:val="21"/>
                <w:szCs w:val="21"/>
                <w:lang w:eastAsia="zh-CN"/>
              </w:rPr>
              <w:t>吹填至场地后，用人工的方式加速</w:t>
            </w:r>
            <w:r>
              <w:rPr>
                <w:rFonts w:hint="eastAsia" w:ascii="Times New Roman" w:hAnsi="Times New Roman" w:eastAsia="仿宋_GB2312" w:cs="Times New Roman"/>
                <w:sz w:val="21"/>
                <w:szCs w:val="21"/>
                <w:lang w:eastAsia="zh-CN"/>
              </w:rPr>
              <w:t>淤泥</w:t>
            </w:r>
            <w:r>
              <w:rPr>
                <w:rFonts w:ascii="Times New Roman" w:hAnsi="Times New Roman" w:eastAsia="仿宋_GB2312" w:cs="Times New Roman"/>
                <w:sz w:val="21"/>
                <w:szCs w:val="21"/>
                <w:lang w:eastAsia="zh-CN"/>
              </w:rPr>
              <w:t>的排水固结，减少</w:t>
            </w:r>
            <w:r>
              <w:rPr>
                <w:rFonts w:hint="eastAsia" w:ascii="Times New Roman" w:hAnsi="Times New Roman" w:eastAsia="仿宋_GB2312" w:cs="Times New Roman"/>
                <w:sz w:val="21"/>
                <w:szCs w:val="21"/>
                <w:lang w:eastAsia="zh-CN"/>
              </w:rPr>
              <w:t>淤泥</w:t>
            </w:r>
            <w:r>
              <w:rPr>
                <w:rFonts w:ascii="Times New Roman" w:hAnsi="Times New Roman" w:eastAsia="仿宋_GB2312" w:cs="Times New Roman"/>
                <w:sz w:val="21"/>
                <w:szCs w:val="21"/>
                <w:lang w:eastAsia="zh-CN"/>
              </w:rPr>
              <w:t>的体积。通过插设排水板和抽真空，可以大大加速</w:t>
            </w:r>
            <w:r>
              <w:rPr>
                <w:rFonts w:hint="eastAsia" w:ascii="Times New Roman" w:hAnsi="Times New Roman" w:eastAsia="仿宋_GB2312" w:cs="Times New Roman"/>
                <w:sz w:val="21"/>
                <w:szCs w:val="21"/>
                <w:lang w:eastAsia="zh-CN"/>
              </w:rPr>
              <w:t>淤泥</w:t>
            </w:r>
            <w:r>
              <w:rPr>
                <w:rFonts w:ascii="Times New Roman" w:hAnsi="Times New Roman" w:eastAsia="仿宋_GB2312" w:cs="Times New Roman"/>
                <w:sz w:val="21"/>
                <w:szCs w:val="21"/>
                <w:lang w:eastAsia="zh-CN"/>
              </w:rPr>
              <w:t>的排水速度，一般固结时间可以控制在3个月内。</w:t>
            </w:r>
            <w:r>
              <w:rPr>
                <w:rFonts w:hint="eastAsia" w:ascii="Times New Roman" w:hAnsi="Times New Roman" w:eastAsia="仿宋_GB2312" w:cs="Times New Roman"/>
                <w:sz w:val="21"/>
                <w:szCs w:val="21"/>
                <w:lang w:eastAsia="zh-CN"/>
              </w:rPr>
              <w:t>淤泥</w:t>
            </w:r>
            <w:r>
              <w:rPr>
                <w:rFonts w:ascii="Times New Roman" w:hAnsi="Times New Roman" w:eastAsia="仿宋_GB2312" w:cs="Times New Roman"/>
                <w:sz w:val="21"/>
                <w:szCs w:val="21"/>
                <w:lang w:eastAsia="zh-CN"/>
              </w:rPr>
              <w:t>固结后，可以直接堆填或转运作为其它用途。</w:t>
            </w:r>
          </w:p>
        </w:tc>
        <w:tc>
          <w:tcPr>
            <w:tcW w:w="1201"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生产率高、成本较低，</w:t>
            </w:r>
            <w:r>
              <w:rPr>
                <w:rFonts w:hint="eastAsia" w:ascii="Times New Roman" w:hAnsi="Times New Roman" w:eastAsia="仿宋_GB2312" w:cs="Times New Roman"/>
                <w:sz w:val="21"/>
                <w:szCs w:val="21"/>
                <w:lang w:eastAsia="zh-CN"/>
              </w:rPr>
              <w:t>减量</w:t>
            </w:r>
            <w:r>
              <w:rPr>
                <w:rFonts w:ascii="Times New Roman" w:hAnsi="Times New Roman" w:eastAsia="仿宋_GB2312" w:cs="Times New Roman"/>
                <w:sz w:val="21"/>
                <w:szCs w:val="21"/>
                <w:lang w:eastAsia="zh-CN"/>
              </w:rPr>
              <w:t>效果较好，但需要一定的时间和较大的场地。</w:t>
            </w:r>
          </w:p>
        </w:tc>
        <w:tc>
          <w:tcPr>
            <w:tcW w:w="1051"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适用于</w:t>
            </w:r>
            <w:r>
              <w:rPr>
                <w:rFonts w:hint="eastAsia" w:ascii="Times New Roman" w:hAnsi="Times New Roman" w:eastAsia="仿宋_GB2312" w:cs="Times New Roman"/>
                <w:sz w:val="21"/>
                <w:szCs w:val="21"/>
                <w:lang w:eastAsia="zh-CN"/>
              </w:rPr>
              <w:t>淤泥</w:t>
            </w:r>
            <w:r>
              <w:rPr>
                <w:rFonts w:ascii="Times New Roman" w:hAnsi="Times New Roman" w:eastAsia="仿宋_GB2312" w:cs="Times New Roman"/>
                <w:sz w:val="21"/>
                <w:szCs w:val="21"/>
                <w:lang w:eastAsia="zh-CN"/>
              </w:rPr>
              <w:t>处置量大，成本要求较低，效果要求较好，但时间相对充裕且施工场地不紧张的情况。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pct"/>
            <w:noWrap w:val="0"/>
            <w:vAlign w:val="center"/>
          </w:tcPr>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机械</w:t>
            </w:r>
          </w:p>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脱水</w:t>
            </w:r>
          </w:p>
        </w:tc>
        <w:tc>
          <w:tcPr>
            <w:tcW w:w="2145"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将</w:t>
            </w:r>
            <w:r>
              <w:rPr>
                <w:rFonts w:hint="eastAsia" w:ascii="Times New Roman" w:hAnsi="Times New Roman" w:eastAsia="仿宋_GB2312" w:cs="Times New Roman"/>
                <w:sz w:val="21"/>
                <w:szCs w:val="21"/>
                <w:lang w:eastAsia="zh-CN"/>
              </w:rPr>
              <w:t>淤泥</w:t>
            </w:r>
            <w:r>
              <w:rPr>
                <w:rFonts w:ascii="Times New Roman" w:hAnsi="Times New Roman" w:eastAsia="仿宋_GB2312" w:cs="Times New Roman"/>
                <w:sz w:val="21"/>
                <w:szCs w:val="21"/>
                <w:lang w:eastAsia="zh-CN"/>
              </w:rPr>
              <w:t>吹填至临时施工场地后，加絮凝剂进行初步沉淀后，加调理剂或固化剂混合均匀后，通过离心机或板框压滤机进行机械强制脱水。固化剂与土体发生化学反应，使得土体强度提高，满足使用要求。固化剂种类和掺量不同，土体强度和性能不同。</w:t>
            </w:r>
          </w:p>
        </w:tc>
        <w:tc>
          <w:tcPr>
            <w:tcW w:w="1201"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脱水速度快，施工场地</w:t>
            </w:r>
            <w:r>
              <w:rPr>
                <w:rFonts w:hint="eastAsia" w:ascii="Times New Roman" w:hAnsi="Times New Roman" w:eastAsia="仿宋_GB2312" w:cs="Times New Roman"/>
                <w:sz w:val="21"/>
                <w:szCs w:val="21"/>
                <w:lang w:eastAsia="zh-CN"/>
              </w:rPr>
              <w:t>可</w:t>
            </w:r>
            <w:r>
              <w:rPr>
                <w:rFonts w:ascii="Times New Roman" w:hAnsi="Times New Roman" w:eastAsia="仿宋_GB2312" w:cs="Times New Roman"/>
                <w:sz w:val="21"/>
                <w:szCs w:val="21"/>
                <w:lang w:eastAsia="zh-CN"/>
              </w:rPr>
              <w:t>相对小，土体强度可控制，但成本高，余水处理不好会引起环境二次污染。</w:t>
            </w:r>
          </w:p>
        </w:tc>
        <w:tc>
          <w:tcPr>
            <w:tcW w:w="1051"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适用要求脱水速度快、土体强度高、临时施工场地小的情况。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pct"/>
            <w:noWrap w:val="0"/>
            <w:vAlign w:val="center"/>
          </w:tcPr>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土工</w:t>
            </w:r>
          </w:p>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管袋</w:t>
            </w:r>
          </w:p>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脱水</w:t>
            </w:r>
          </w:p>
        </w:tc>
        <w:tc>
          <w:tcPr>
            <w:tcW w:w="2145"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利用土工袋的反滤排水性能脱水，并利用土工袋的加筋性能早期固定</w:t>
            </w:r>
            <w:r>
              <w:rPr>
                <w:rFonts w:hint="eastAsia" w:ascii="Times New Roman" w:hAnsi="Times New Roman" w:eastAsia="仿宋_GB2312" w:cs="Times New Roman"/>
                <w:sz w:val="21"/>
                <w:szCs w:val="21"/>
                <w:lang w:eastAsia="zh-CN"/>
              </w:rPr>
              <w:t>淤泥</w:t>
            </w:r>
            <w:r>
              <w:rPr>
                <w:rFonts w:ascii="Times New Roman" w:hAnsi="Times New Roman" w:eastAsia="仿宋_GB2312" w:cs="Times New Roman"/>
                <w:sz w:val="21"/>
                <w:szCs w:val="21"/>
                <w:lang w:eastAsia="zh-CN"/>
              </w:rPr>
              <w:t>形状，提供结构体初期强度。土工袋吹填</w:t>
            </w:r>
            <w:r>
              <w:rPr>
                <w:rFonts w:hint="eastAsia" w:ascii="Times New Roman" w:hAnsi="Times New Roman" w:eastAsia="仿宋_GB2312" w:cs="Times New Roman"/>
                <w:sz w:val="21"/>
                <w:szCs w:val="21"/>
                <w:lang w:eastAsia="zh-CN"/>
              </w:rPr>
              <w:t>淤泥</w:t>
            </w:r>
            <w:r>
              <w:rPr>
                <w:rFonts w:ascii="Times New Roman" w:hAnsi="Times New Roman" w:eastAsia="仿宋_GB2312" w:cs="Times New Roman"/>
                <w:sz w:val="21"/>
                <w:szCs w:val="21"/>
                <w:lang w:eastAsia="zh-CN"/>
              </w:rPr>
              <w:t>时，常常需要加入加入絮凝剂和固化剂。</w:t>
            </w:r>
          </w:p>
        </w:tc>
        <w:tc>
          <w:tcPr>
            <w:tcW w:w="1201"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脱水程度不高，成本较低，后期的沉降变形较大。</w:t>
            </w:r>
          </w:p>
        </w:tc>
        <w:tc>
          <w:tcPr>
            <w:tcW w:w="1051"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常与填筑堤、路结合起来运用，适合临时工程。永久工程运用时，应宜充分考虑后期沉降的影响。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pct"/>
            <w:noWrap w:val="0"/>
            <w:vAlign w:val="center"/>
          </w:tcPr>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干式</w:t>
            </w:r>
          </w:p>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热脱水</w:t>
            </w:r>
          </w:p>
        </w:tc>
        <w:tc>
          <w:tcPr>
            <w:tcW w:w="2145"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高温的方式脱水，同时</w:t>
            </w:r>
            <w:r>
              <w:rPr>
                <w:rFonts w:hint="eastAsia" w:ascii="Times New Roman" w:hAnsi="Times New Roman" w:eastAsia="仿宋_GB2312" w:cs="Times New Roman"/>
                <w:sz w:val="21"/>
                <w:szCs w:val="21"/>
                <w:lang w:eastAsia="zh-CN"/>
              </w:rPr>
              <w:t>淤泥</w:t>
            </w:r>
            <w:r>
              <w:rPr>
                <w:rFonts w:ascii="Times New Roman" w:hAnsi="Times New Roman" w:eastAsia="仿宋_GB2312" w:cs="Times New Roman"/>
                <w:sz w:val="21"/>
                <w:szCs w:val="21"/>
                <w:lang w:eastAsia="zh-CN"/>
              </w:rPr>
              <w:t>物质在高温下发生反应。</w:t>
            </w:r>
          </w:p>
        </w:tc>
        <w:tc>
          <w:tcPr>
            <w:tcW w:w="1201"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最大程度减量，无害化程度高。但投资大，成本高。</w:t>
            </w:r>
          </w:p>
        </w:tc>
        <w:tc>
          <w:tcPr>
            <w:tcW w:w="1051" w:type="pct"/>
            <w:noWrap w:val="0"/>
            <w:vAlign w:val="center"/>
          </w:tcPr>
          <w:p>
            <w:pPr>
              <w:pStyle w:val="2"/>
              <w:tabs>
                <w:tab w:val="left" w:pos="1166"/>
              </w:tabs>
              <w:autoSpaceDE/>
              <w:autoSpaceDN/>
              <w:adjustRightInd w:val="0"/>
              <w:snapToGrid w:val="0"/>
              <w:spacing w:line="240" w:lineRule="auto"/>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适用污染物浓度高，其它方式难以处理的</w:t>
            </w:r>
            <w:r>
              <w:rPr>
                <w:rFonts w:hint="eastAsia" w:ascii="Times New Roman" w:hAnsi="Times New Roman" w:eastAsia="仿宋_GB2312" w:cs="Times New Roman"/>
                <w:sz w:val="21"/>
                <w:szCs w:val="21"/>
                <w:lang w:eastAsia="zh-CN"/>
              </w:rPr>
              <w:t>淤泥</w:t>
            </w:r>
            <w:r>
              <w:rPr>
                <w:rFonts w:ascii="Times New Roman" w:hAnsi="Times New Roman" w:eastAsia="仿宋_GB2312" w:cs="Times New Roman"/>
                <w:sz w:val="21"/>
                <w:szCs w:val="21"/>
                <w:lang w:eastAsia="zh-CN"/>
              </w:rPr>
              <w:t>。</w:t>
            </w:r>
          </w:p>
        </w:tc>
      </w:tr>
    </w:tbl>
    <w:p>
      <w:pPr>
        <w:pStyle w:val="2"/>
        <w:autoSpaceDE/>
        <w:autoSpaceDN/>
        <w:adjustRightInd w:val="0"/>
        <w:snapToGrid w:val="0"/>
        <w:spacing w:line="590" w:lineRule="exact"/>
        <w:ind w:firstLine="640" w:firstLineChars="200"/>
        <w:jc w:val="both"/>
        <w:outlineLvl w:val="9"/>
        <w:rPr>
          <w:rFonts w:hint="eastAsia" w:ascii="黑体" w:hAnsi="黑体" w:eastAsia="黑体" w:cs="黑体"/>
          <w:snapToGrid w:val="0"/>
          <w:kern w:val="0"/>
          <w:sz w:val="32"/>
          <w:szCs w:val="32"/>
          <w:lang w:eastAsia="zh-CN"/>
        </w:rPr>
      </w:pPr>
      <w:r>
        <w:rPr>
          <w:rFonts w:hint="eastAsia" w:ascii="黑体" w:hAnsi="黑体" w:eastAsia="黑体" w:cs="黑体"/>
          <w:snapToGrid w:val="0"/>
          <w:kern w:val="0"/>
          <w:sz w:val="32"/>
          <w:szCs w:val="32"/>
          <w:lang w:eastAsia="zh-CN"/>
        </w:rPr>
        <w:t>二、无害化处置</w:t>
      </w:r>
    </w:p>
    <w:p>
      <w:pPr>
        <w:pStyle w:val="2"/>
        <w:autoSpaceDE/>
        <w:autoSpaceDN/>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对污染的淤泥需将有害物质转变为低溶解性、低毒性及低迁移性的物质，以减少污泥中有害物质的污染潜力。见表2。</w:t>
      </w:r>
    </w:p>
    <w:p>
      <w:pPr>
        <w:pStyle w:val="2"/>
        <w:autoSpaceDE/>
        <w:autoSpaceDN/>
        <w:adjustRightInd w:val="0"/>
        <w:snapToGrid w:val="0"/>
        <w:spacing w:line="590" w:lineRule="exact"/>
        <w:ind w:firstLine="640" w:firstLineChars="200"/>
        <w:jc w:val="both"/>
        <w:outlineLvl w:val="9"/>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1.干馏</w:t>
      </w:r>
    </w:p>
    <w:p>
      <w:pPr>
        <w:pStyle w:val="2"/>
        <w:autoSpaceDE/>
        <w:autoSpaceDN/>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将污染淤泥在密封、无氧和非燃烧高温状态下进行化学反应的过程。</w:t>
      </w:r>
    </w:p>
    <w:p>
      <w:pPr>
        <w:pStyle w:val="2"/>
        <w:autoSpaceDE/>
        <w:autoSpaceDN/>
        <w:adjustRightInd w:val="0"/>
        <w:snapToGrid w:val="0"/>
        <w:spacing w:line="590" w:lineRule="exact"/>
        <w:ind w:firstLine="640" w:firstLineChars="200"/>
        <w:jc w:val="both"/>
        <w:outlineLvl w:val="9"/>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2.焚烧</w:t>
      </w:r>
    </w:p>
    <w:p>
      <w:pPr>
        <w:pStyle w:val="2"/>
        <w:autoSpaceDE/>
        <w:autoSpaceDN/>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将有害淤泥在一定控制条件下，依靠自身的热值或辅助燃料，进行氧化反应，使有害物质分解并无害化的过程，主要包括垃圾焚烧和危废焚烧。</w:t>
      </w:r>
    </w:p>
    <w:p>
      <w:pPr>
        <w:pStyle w:val="2"/>
        <w:autoSpaceDE/>
        <w:autoSpaceDN/>
        <w:adjustRightInd w:val="0"/>
        <w:snapToGrid w:val="0"/>
        <w:spacing w:line="590" w:lineRule="exact"/>
        <w:ind w:firstLine="640" w:firstLineChars="200"/>
        <w:jc w:val="both"/>
        <w:outlineLvl w:val="9"/>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3.余土、余水、余沙</w:t>
      </w:r>
    </w:p>
    <w:p>
      <w:pPr>
        <w:pStyle w:val="2"/>
        <w:autoSpaceDE/>
        <w:autoSpaceDN/>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产生的垃圾及无害化处理后产生的余水、余土、余沙应达到环保要求，余土含水率≤ 40%，并需分别给出处置方案，相关规定参照《河湖污泥处理厂产出物处置技术规范》（SZDB/Z 236）执行。经检测属危险废物的余土，应按照《中华人民共和国固体废物污染环境防治法》等有关规定进行处理处置。</w:t>
      </w:r>
    </w:p>
    <w:p>
      <w:pPr>
        <w:pStyle w:val="2"/>
        <w:tabs>
          <w:tab w:val="left" w:pos="1166"/>
        </w:tabs>
        <w:autoSpaceDE/>
        <w:autoSpaceDN/>
        <w:adjustRightInd w:val="0"/>
        <w:snapToGrid w:val="0"/>
        <w:spacing w:line="590" w:lineRule="exact"/>
        <w:ind w:firstLine="0" w:firstLineChars="0"/>
        <w:jc w:val="center"/>
        <w:rPr>
          <w:rFonts w:hint="eastAsia" w:ascii="仿宋_GB2312" w:hAnsi="仿宋_GB2312" w:eastAsia="仿宋_GB2312" w:cs="仿宋_GB2312"/>
          <w:b/>
          <w:bCs/>
          <w:snapToGrid w:val="0"/>
          <w:kern w:val="0"/>
          <w:sz w:val="28"/>
          <w:szCs w:val="28"/>
          <w:lang w:eastAsia="zh-CN"/>
        </w:rPr>
      </w:pPr>
      <w:r>
        <w:rPr>
          <w:rFonts w:hint="eastAsia" w:ascii="仿宋_GB2312" w:hAnsi="仿宋_GB2312" w:eastAsia="仿宋_GB2312" w:cs="仿宋_GB2312"/>
          <w:b/>
          <w:bCs/>
          <w:snapToGrid w:val="0"/>
          <w:kern w:val="0"/>
          <w:sz w:val="28"/>
          <w:szCs w:val="28"/>
          <w:lang w:eastAsia="zh-CN"/>
        </w:rPr>
        <w:t>表2 淤泥无害化处理方式、特点和适用条件</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595"/>
        <w:gridCol w:w="2183"/>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14" w:type="pct"/>
            <w:noWrap w:val="0"/>
            <w:vAlign w:val="center"/>
          </w:tcPr>
          <w:p>
            <w:pPr>
              <w:pStyle w:val="2"/>
              <w:tabs>
                <w:tab w:val="left" w:pos="1166"/>
              </w:tabs>
              <w:autoSpaceDE/>
              <w:autoSpaceDN/>
              <w:adjustRightInd w:val="0"/>
              <w:snapToGrid w:val="0"/>
              <w:spacing w:line="240" w:lineRule="auto"/>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主要方式</w:t>
            </w:r>
          </w:p>
        </w:tc>
        <w:tc>
          <w:tcPr>
            <w:tcW w:w="1523" w:type="pct"/>
            <w:noWrap w:val="0"/>
            <w:vAlign w:val="center"/>
          </w:tcPr>
          <w:p>
            <w:pPr>
              <w:pStyle w:val="2"/>
              <w:tabs>
                <w:tab w:val="left" w:pos="1166"/>
              </w:tabs>
              <w:autoSpaceDE/>
              <w:autoSpaceDN/>
              <w:adjustRightInd w:val="0"/>
              <w:snapToGrid w:val="0"/>
              <w:spacing w:line="240" w:lineRule="auto"/>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机理</w:t>
            </w:r>
          </w:p>
        </w:tc>
        <w:tc>
          <w:tcPr>
            <w:tcW w:w="1281" w:type="pct"/>
            <w:noWrap w:val="0"/>
            <w:vAlign w:val="center"/>
          </w:tcPr>
          <w:p>
            <w:pPr>
              <w:pStyle w:val="2"/>
              <w:tabs>
                <w:tab w:val="left" w:pos="1166"/>
              </w:tabs>
              <w:autoSpaceDE/>
              <w:autoSpaceDN/>
              <w:adjustRightInd w:val="0"/>
              <w:snapToGrid w:val="0"/>
              <w:spacing w:line="240" w:lineRule="auto"/>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特点</w:t>
            </w:r>
          </w:p>
        </w:tc>
        <w:tc>
          <w:tcPr>
            <w:tcW w:w="1480" w:type="pct"/>
            <w:noWrap w:val="0"/>
            <w:vAlign w:val="center"/>
          </w:tcPr>
          <w:p>
            <w:pPr>
              <w:pStyle w:val="2"/>
              <w:tabs>
                <w:tab w:val="left" w:pos="1166"/>
              </w:tabs>
              <w:autoSpaceDE/>
              <w:autoSpaceDN/>
              <w:adjustRightInd w:val="0"/>
              <w:snapToGrid w:val="0"/>
              <w:spacing w:line="240" w:lineRule="auto"/>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pStyle w:val="2"/>
              <w:tabs>
                <w:tab w:val="left" w:pos="1166"/>
              </w:tabs>
              <w:autoSpaceDE/>
              <w:autoSpaceDN/>
              <w:adjustRightInd w:val="0"/>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植物固化</w:t>
            </w:r>
          </w:p>
        </w:tc>
        <w:tc>
          <w:tcPr>
            <w:tcW w:w="1523" w:type="pct"/>
            <w:noWrap w:val="0"/>
            <w:vAlign w:val="center"/>
          </w:tcPr>
          <w:p>
            <w:pPr>
              <w:pStyle w:val="2"/>
              <w:tabs>
                <w:tab w:val="left" w:pos="1166"/>
              </w:tabs>
              <w:autoSpaceDE/>
              <w:autoSpaceDN/>
              <w:adjustRightInd w:val="0"/>
              <w:snapToGrid w:val="0"/>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通过植物吸收重金属。</w:t>
            </w:r>
          </w:p>
        </w:tc>
        <w:tc>
          <w:tcPr>
            <w:tcW w:w="1281" w:type="pct"/>
            <w:noWrap w:val="0"/>
            <w:vAlign w:val="center"/>
          </w:tcPr>
          <w:p>
            <w:pPr>
              <w:pStyle w:val="2"/>
              <w:tabs>
                <w:tab w:val="left" w:pos="1166"/>
              </w:tabs>
              <w:autoSpaceDE/>
              <w:autoSpaceDN/>
              <w:adjustRightInd w:val="0"/>
              <w:snapToGrid w:val="0"/>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生物作用固化重金属。</w:t>
            </w:r>
          </w:p>
        </w:tc>
        <w:tc>
          <w:tcPr>
            <w:tcW w:w="1480" w:type="pct"/>
            <w:noWrap w:val="0"/>
            <w:vAlign w:val="center"/>
          </w:tcPr>
          <w:p>
            <w:pPr>
              <w:pStyle w:val="2"/>
              <w:tabs>
                <w:tab w:val="left" w:pos="1166"/>
              </w:tabs>
              <w:autoSpaceDE/>
              <w:autoSpaceDN/>
              <w:adjustRightInd w:val="0"/>
              <w:snapToGrid w:val="0"/>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适用重金属有超标，但不很严重的情况。植物不同，吸收效果不同，需要选择耐重金属的植物。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pStyle w:val="2"/>
              <w:tabs>
                <w:tab w:val="left" w:pos="1166"/>
              </w:tabs>
              <w:autoSpaceDE/>
              <w:autoSpaceDN/>
              <w:adjustRightInd w:val="0"/>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干馏</w:t>
            </w:r>
          </w:p>
        </w:tc>
        <w:tc>
          <w:tcPr>
            <w:tcW w:w="1523" w:type="pct"/>
            <w:noWrap w:val="0"/>
            <w:vAlign w:val="center"/>
          </w:tcPr>
          <w:p>
            <w:pPr>
              <w:pStyle w:val="2"/>
              <w:tabs>
                <w:tab w:val="left" w:pos="1166"/>
              </w:tabs>
              <w:autoSpaceDE/>
              <w:autoSpaceDN/>
              <w:adjustRightInd w:val="0"/>
              <w:snapToGrid w:val="0"/>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在密封、无氧、非燃烧、高温状态下对有害淤泥进行高温加热，通过系列反应使得有机物转化为可燃气体和生物炭，同时将重金属固化和钝化。</w:t>
            </w:r>
          </w:p>
        </w:tc>
        <w:tc>
          <w:tcPr>
            <w:tcW w:w="1281" w:type="pct"/>
            <w:noWrap w:val="0"/>
            <w:vAlign w:val="center"/>
          </w:tcPr>
          <w:p>
            <w:pPr>
              <w:pStyle w:val="2"/>
              <w:tabs>
                <w:tab w:val="left" w:pos="1166"/>
              </w:tabs>
              <w:autoSpaceDE/>
              <w:autoSpaceDN/>
              <w:adjustRightInd w:val="0"/>
              <w:snapToGrid w:val="0"/>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高温杀菌，有机物转化成可利用的生物碳，并稳定钝化重金属。</w:t>
            </w:r>
          </w:p>
        </w:tc>
        <w:tc>
          <w:tcPr>
            <w:tcW w:w="1480" w:type="pct"/>
            <w:noWrap w:val="0"/>
            <w:vAlign w:val="center"/>
          </w:tcPr>
          <w:p>
            <w:pPr>
              <w:pStyle w:val="2"/>
              <w:tabs>
                <w:tab w:val="left" w:pos="1166"/>
              </w:tabs>
              <w:autoSpaceDE/>
              <w:autoSpaceDN/>
              <w:adjustRightInd w:val="0"/>
              <w:snapToGrid w:val="0"/>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适用有机质含量高，重金属超标较严重的情况。对清除有机毒物的有效性有待进一步研究。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pStyle w:val="2"/>
              <w:tabs>
                <w:tab w:val="left" w:pos="1166"/>
              </w:tabs>
              <w:autoSpaceDE/>
              <w:autoSpaceDN/>
              <w:adjustRightInd w:val="0"/>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卫生填埋</w:t>
            </w:r>
          </w:p>
        </w:tc>
        <w:tc>
          <w:tcPr>
            <w:tcW w:w="1523" w:type="pct"/>
            <w:noWrap w:val="0"/>
            <w:vAlign w:val="center"/>
          </w:tcPr>
          <w:p>
            <w:pPr>
              <w:pStyle w:val="2"/>
              <w:tabs>
                <w:tab w:val="left" w:pos="1166"/>
              </w:tabs>
              <w:autoSpaceDE/>
              <w:autoSpaceDN/>
              <w:adjustRightInd w:val="0"/>
              <w:snapToGrid w:val="0"/>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将严重污染的淤泥隔离填埋，减少对生物和环境的影响。</w:t>
            </w:r>
          </w:p>
        </w:tc>
        <w:tc>
          <w:tcPr>
            <w:tcW w:w="1281" w:type="pct"/>
            <w:noWrap w:val="0"/>
            <w:vAlign w:val="center"/>
          </w:tcPr>
          <w:p>
            <w:pPr>
              <w:pStyle w:val="2"/>
              <w:tabs>
                <w:tab w:val="left" w:pos="1166"/>
              </w:tabs>
              <w:autoSpaceDE/>
              <w:autoSpaceDN/>
              <w:adjustRightInd w:val="0"/>
              <w:snapToGrid w:val="0"/>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类似垃圾填埋场的卫生填埋处理。</w:t>
            </w:r>
          </w:p>
        </w:tc>
        <w:tc>
          <w:tcPr>
            <w:tcW w:w="1480" w:type="pct"/>
            <w:noWrap w:val="0"/>
            <w:vAlign w:val="center"/>
          </w:tcPr>
          <w:p>
            <w:pPr>
              <w:pStyle w:val="2"/>
              <w:tabs>
                <w:tab w:val="left" w:pos="1166"/>
              </w:tabs>
              <w:autoSpaceDE/>
              <w:autoSpaceDN/>
              <w:adjustRightInd w:val="0"/>
              <w:snapToGrid w:val="0"/>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适用重金属和有机毒物严重超标的淤泥处置。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pStyle w:val="2"/>
              <w:tabs>
                <w:tab w:val="left" w:pos="1166"/>
              </w:tabs>
              <w:autoSpaceDE/>
              <w:autoSpaceDN/>
              <w:adjustRightInd w:val="0"/>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高温烧结</w:t>
            </w:r>
          </w:p>
        </w:tc>
        <w:tc>
          <w:tcPr>
            <w:tcW w:w="1523" w:type="pct"/>
            <w:noWrap w:val="0"/>
            <w:vAlign w:val="center"/>
          </w:tcPr>
          <w:p>
            <w:pPr>
              <w:pStyle w:val="2"/>
              <w:tabs>
                <w:tab w:val="left" w:pos="1166"/>
              </w:tabs>
              <w:autoSpaceDE/>
              <w:autoSpaceDN/>
              <w:adjustRightInd w:val="0"/>
              <w:snapToGrid w:val="0"/>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将淤泥经不同高温处理，除去有机物，同时重金属等无机离子被固定在残留固体组分里。</w:t>
            </w:r>
          </w:p>
        </w:tc>
        <w:tc>
          <w:tcPr>
            <w:tcW w:w="1281" w:type="pct"/>
            <w:noWrap w:val="0"/>
            <w:vAlign w:val="center"/>
          </w:tcPr>
          <w:p>
            <w:pPr>
              <w:pStyle w:val="2"/>
              <w:tabs>
                <w:tab w:val="left" w:pos="1166"/>
              </w:tabs>
              <w:autoSpaceDE/>
              <w:autoSpaceDN/>
              <w:adjustRightInd w:val="0"/>
              <w:snapToGrid w:val="0"/>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除去有毒有害的有机质，稳定钝化重金属，达到最大程度减容。</w:t>
            </w:r>
          </w:p>
        </w:tc>
        <w:tc>
          <w:tcPr>
            <w:tcW w:w="1480" w:type="pct"/>
            <w:noWrap w:val="0"/>
            <w:vAlign w:val="center"/>
          </w:tcPr>
          <w:p>
            <w:pPr>
              <w:pStyle w:val="2"/>
              <w:tabs>
                <w:tab w:val="left" w:pos="1166"/>
              </w:tabs>
              <w:autoSpaceDE/>
              <w:autoSpaceDN/>
              <w:adjustRightInd w:val="0"/>
              <w:snapToGrid w:val="0"/>
              <w:spacing w:line="240"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适用重金属和有机毒物严重超标的淤泥处置。</w:t>
            </w:r>
          </w:p>
        </w:tc>
      </w:tr>
    </w:tbl>
    <w:p>
      <w:pPr>
        <w:pStyle w:val="2"/>
        <w:autoSpaceDE/>
        <w:autoSpaceDN/>
        <w:adjustRightInd w:val="0"/>
        <w:snapToGrid w:val="0"/>
        <w:spacing w:line="590" w:lineRule="exact"/>
        <w:ind w:firstLine="640" w:firstLineChars="200"/>
        <w:jc w:val="both"/>
        <w:outlineLvl w:val="9"/>
        <w:rPr>
          <w:rFonts w:hint="eastAsia" w:ascii="黑体" w:hAnsi="黑体" w:eastAsia="黑体" w:cs="黑体"/>
          <w:snapToGrid w:val="0"/>
          <w:kern w:val="0"/>
          <w:sz w:val="32"/>
          <w:szCs w:val="32"/>
          <w:lang w:eastAsia="zh-CN"/>
        </w:rPr>
      </w:pPr>
      <w:r>
        <w:rPr>
          <w:rFonts w:hint="eastAsia" w:ascii="黑体" w:hAnsi="黑体" w:eastAsia="黑体" w:cs="黑体"/>
          <w:snapToGrid w:val="0"/>
          <w:kern w:val="0"/>
          <w:sz w:val="32"/>
          <w:szCs w:val="32"/>
          <w:lang w:eastAsia="zh-CN"/>
        </w:rPr>
        <w:t>三、资源化处置</w:t>
      </w:r>
    </w:p>
    <w:p>
      <w:pPr>
        <w:pStyle w:val="2"/>
        <w:autoSpaceDE/>
        <w:autoSpaceDN/>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清理后的无害淤泥要强调“就地近用”，降低成本，提高资源利用率。如直接还田、制作堆肥、用于育苗基质、道路铺设等。见表3。</w:t>
      </w:r>
    </w:p>
    <w:p>
      <w:pPr>
        <w:pStyle w:val="2"/>
        <w:autoSpaceDE/>
        <w:autoSpaceDN/>
        <w:adjustRightInd w:val="0"/>
        <w:snapToGrid w:val="0"/>
        <w:spacing w:line="590" w:lineRule="exact"/>
        <w:ind w:firstLine="640" w:firstLineChars="200"/>
        <w:jc w:val="both"/>
        <w:outlineLvl w:val="9"/>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1.肥料利用</w:t>
      </w:r>
    </w:p>
    <w:p>
      <w:pPr>
        <w:pStyle w:val="2"/>
        <w:autoSpaceDE/>
        <w:autoSpaceDN/>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指淤泥在一定条件控制下，利用微生物的作用，将其中的生物质分解、腐熟并转化为稳定腐殖土，作为肥料、土壤改良材料的利用方式。</w:t>
      </w:r>
    </w:p>
    <w:p>
      <w:pPr>
        <w:pStyle w:val="2"/>
        <w:autoSpaceDE/>
        <w:autoSpaceDN/>
        <w:adjustRightInd w:val="0"/>
        <w:snapToGrid w:val="0"/>
        <w:spacing w:line="590" w:lineRule="exact"/>
        <w:ind w:firstLine="640" w:firstLineChars="200"/>
        <w:jc w:val="both"/>
        <w:outlineLvl w:val="9"/>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2.建材利用</w:t>
      </w:r>
    </w:p>
    <w:p>
      <w:pPr>
        <w:pStyle w:val="2"/>
        <w:autoSpaceDE/>
        <w:autoSpaceDN/>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指采用无机化的方式将脱水淤泥用于制作水泥添加料、制砖、制轻质骨料和路基材料等的利用方式。</w:t>
      </w:r>
    </w:p>
    <w:p>
      <w:pPr>
        <w:pStyle w:val="2"/>
        <w:autoSpaceDE/>
        <w:autoSpaceDN/>
        <w:adjustRightInd w:val="0"/>
        <w:snapToGrid w:val="0"/>
        <w:spacing w:line="590" w:lineRule="exact"/>
        <w:ind w:right="0" w:firstLine="640" w:firstLineChars="200"/>
        <w:jc w:val="both"/>
        <w:outlineLvl w:val="9"/>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3.农田土地利用</w:t>
      </w:r>
    </w:p>
    <w:p>
      <w:pPr>
        <w:pStyle w:val="2"/>
        <w:autoSpaceDE/>
        <w:autoSpaceDN/>
        <w:adjustRightInd w:val="0"/>
        <w:snapToGrid w:val="0"/>
        <w:spacing w:line="590" w:lineRule="exact"/>
        <w:ind w:firstLine="640" w:firstLineChars="200"/>
        <w:jc w:val="both"/>
        <w:rPr>
          <w:rFonts w:hint="eastAsia" w:ascii="仿宋_GB2312" w:hAnsi="仿宋_GB2312" w:eastAsia="仿宋_GB2312" w:cs="仿宋_GB2312"/>
          <w:b/>
          <w:bCs/>
          <w:snapToGrid w:val="0"/>
          <w:kern w:val="0"/>
          <w:sz w:val="32"/>
          <w:szCs w:val="32"/>
          <w:lang w:eastAsia="zh-CN"/>
        </w:rPr>
      </w:pPr>
      <w:r>
        <w:rPr>
          <w:rFonts w:hint="eastAsia" w:ascii="仿宋_GB2312" w:hAnsi="仿宋_GB2312" w:eastAsia="仿宋_GB2312" w:cs="仿宋_GB2312"/>
          <w:snapToGrid w:val="0"/>
          <w:kern w:val="0"/>
          <w:sz w:val="32"/>
          <w:szCs w:val="32"/>
          <w:lang w:eastAsia="zh-CN"/>
        </w:rPr>
        <w:t>处理后满足条件的淤泥可用作基质营养土、土壤改良剂、农林作物（包括粮油、果蔬、其它经济作物、饲草、竹笋、中药材等）种植土、园林绿化、覆盖土和矿山修复等。</w:t>
      </w:r>
    </w:p>
    <w:p>
      <w:pPr>
        <w:spacing w:line="560" w:lineRule="exact"/>
        <w:ind w:firstLine="0" w:firstLineChars="0"/>
        <w:jc w:val="center"/>
        <w:rPr>
          <w:rFonts w:hint="eastAsia" w:ascii="仿宋_GB2312" w:hAnsi="仿宋_GB2312" w:eastAsia="仿宋_GB2312" w:cs="仿宋_GB2312"/>
          <w:b/>
          <w:bCs/>
          <w:snapToGrid w:val="0"/>
          <w:kern w:val="0"/>
          <w:sz w:val="28"/>
          <w:szCs w:val="28"/>
          <w:lang w:eastAsia="zh-CN"/>
        </w:rPr>
      </w:pPr>
      <w:r>
        <w:rPr>
          <w:rFonts w:hint="eastAsia" w:ascii="仿宋_GB2312" w:hAnsi="仿宋_GB2312" w:eastAsia="仿宋_GB2312" w:cs="仿宋_GB2312"/>
          <w:b/>
          <w:bCs/>
          <w:snapToGrid w:val="0"/>
          <w:kern w:val="0"/>
          <w:sz w:val="28"/>
          <w:szCs w:val="28"/>
          <w:lang w:eastAsia="zh-CN"/>
        </w:rPr>
        <w:t>表</w:t>
      </w:r>
      <w:r>
        <w:rPr>
          <w:rFonts w:hint="eastAsia" w:ascii="仿宋_GB2312" w:hAnsi="仿宋_GB2312" w:eastAsia="仿宋_GB2312" w:cs="仿宋_GB2312"/>
          <w:b/>
          <w:bCs/>
          <w:snapToGrid w:val="0"/>
          <w:kern w:val="0"/>
          <w:sz w:val="28"/>
          <w:szCs w:val="28"/>
          <w:lang w:val="en-US" w:eastAsia="zh-CN"/>
        </w:rPr>
        <w:t>3</w:t>
      </w:r>
      <w:r>
        <w:rPr>
          <w:rFonts w:hint="eastAsia" w:ascii="仿宋_GB2312" w:hAnsi="仿宋_GB2312" w:eastAsia="仿宋_GB2312" w:cs="仿宋_GB2312"/>
          <w:b/>
          <w:bCs/>
          <w:snapToGrid w:val="0"/>
          <w:kern w:val="0"/>
          <w:sz w:val="28"/>
          <w:szCs w:val="28"/>
          <w:lang w:eastAsia="zh-CN"/>
        </w:rPr>
        <w:t xml:space="preserve"> 淤泥资源化利用和适用条件</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5240"/>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51" w:type="pct"/>
            <w:noWrap w:val="0"/>
            <w:vAlign w:val="center"/>
          </w:tcPr>
          <w:p>
            <w:pPr>
              <w:pStyle w:val="2"/>
              <w:tabs>
                <w:tab w:val="left" w:pos="1166"/>
              </w:tabs>
              <w:autoSpaceDE/>
              <w:autoSpaceDN/>
              <w:adjustRightInd w:val="0"/>
              <w:snapToGrid w:val="0"/>
              <w:spacing w:line="240" w:lineRule="auto"/>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主要方式</w:t>
            </w:r>
          </w:p>
        </w:tc>
        <w:tc>
          <w:tcPr>
            <w:tcW w:w="3075" w:type="pct"/>
            <w:noWrap w:val="0"/>
            <w:vAlign w:val="center"/>
          </w:tcPr>
          <w:p>
            <w:pPr>
              <w:pStyle w:val="2"/>
              <w:tabs>
                <w:tab w:val="left" w:pos="1166"/>
              </w:tabs>
              <w:autoSpaceDE/>
              <w:autoSpaceDN/>
              <w:adjustRightInd w:val="0"/>
              <w:snapToGrid w:val="0"/>
              <w:spacing w:line="240" w:lineRule="auto"/>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基本要求</w:t>
            </w:r>
          </w:p>
        </w:tc>
        <w:tc>
          <w:tcPr>
            <w:tcW w:w="1272" w:type="pct"/>
            <w:noWrap w:val="0"/>
            <w:vAlign w:val="center"/>
          </w:tcPr>
          <w:p>
            <w:pPr>
              <w:pStyle w:val="2"/>
              <w:tabs>
                <w:tab w:val="left" w:pos="1166"/>
              </w:tabs>
              <w:autoSpaceDE/>
              <w:autoSpaceDN/>
              <w:adjustRightInd w:val="0"/>
              <w:snapToGrid w:val="0"/>
              <w:spacing w:line="240" w:lineRule="auto"/>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651" w:type="pct"/>
            <w:noWrap w:val="0"/>
            <w:vAlign w:val="center"/>
          </w:tcPr>
          <w:p>
            <w:pPr>
              <w:pStyle w:val="2"/>
              <w:tabs>
                <w:tab w:val="left" w:pos="1166"/>
              </w:tabs>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农业用土</w:t>
            </w:r>
          </w:p>
        </w:tc>
        <w:tc>
          <w:tcPr>
            <w:tcW w:w="3075" w:type="pct"/>
            <w:noWrap w:val="0"/>
            <w:vAlign w:val="center"/>
          </w:tcPr>
          <w:p>
            <w:pPr>
              <w:pStyle w:val="2"/>
              <w:tabs>
                <w:tab w:val="left" w:pos="1166"/>
              </w:tabs>
              <w:adjustRightInd w:val="0"/>
              <w:snapToGrid w:val="0"/>
              <w:spacing w:line="24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业用土关系到人的安全，对污染物的限制要求相对较高。用于农业用土的淤泥含水率（土工指标）一般可控制在60 %以内，污染物指标和PH值必须符合《农田土壤标准》（GB15618）。对病原菌超标和有机物分解降解不够的淤泥，应通过堆肥方式使得有机物基本转化成稳定、无臭的腐殖质后再作为农业土。为满足植物生长需要，淤泥可根据需要添加生物质材料和土壤改良材料，具体由农业科研技术人员进行指导。</w:t>
            </w:r>
          </w:p>
        </w:tc>
        <w:tc>
          <w:tcPr>
            <w:tcW w:w="1272" w:type="pct"/>
            <w:noWrap w:val="0"/>
            <w:vAlign w:val="center"/>
          </w:tcPr>
          <w:p>
            <w:pPr>
              <w:pStyle w:val="2"/>
              <w:tabs>
                <w:tab w:val="left" w:pos="1166"/>
              </w:tabs>
              <w:adjustRightInd w:val="0"/>
              <w:snapToGrid w:val="0"/>
              <w:spacing w:line="24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有机质和营养物质含量高，重金属和有机毒物</w:t>
            </w:r>
            <w:r>
              <w:rPr>
                <w:rFonts w:hint="eastAsia" w:ascii="仿宋_GB2312" w:hAnsi="仿宋_GB2312" w:eastAsia="仿宋_GB2312" w:cs="仿宋_GB2312"/>
                <w:sz w:val="21"/>
                <w:szCs w:val="21"/>
                <w:lang w:val="en-US" w:eastAsia="zh-CN"/>
              </w:rPr>
              <w:t>含量低于</w:t>
            </w:r>
            <w:r>
              <w:rPr>
                <w:rFonts w:hint="eastAsia" w:ascii="仿宋_GB2312" w:hAnsi="仿宋_GB2312" w:eastAsia="仿宋_GB2312" w:cs="仿宋_GB2312"/>
                <w:sz w:val="21"/>
                <w:szCs w:val="21"/>
                <w:lang w:eastAsia="zh-CN"/>
              </w:rPr>
              <w:t>GB</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15618</w:t>
            </w:r>
            <w:r>
              <w:rPr>
                <w:rFonts w:hint="eastAsia" w:ascii="仿宋_GB2312" w:hAnsi="仿宋_GB2312" w:eastAsia="仿宋_GB2312" w:cs="仿宋_GB2312"/>
                <w:sz w:val="21"/>
                <w:szCs w:val="21"/>
                <w:lang w:val="en-US" w:eastAsia="zh-CN"/>
              </w:rPr>
              <w:t>中要求</w:t>
            </w:r>
            <w:r>
              <w:rPr>
                <w:rFonts w:hint="eastAsia" w:ascii="仿宋_GB2312" w:hAnsi="仿宋_GB2312" w:eastAsia="仿宋_GB2312" w:cs="仿宋_GB2312"/>
                <w:sz w:val="21"/>
                <w:szCs w:val="21"/>
                <w:lang w:eastAsia="zh-CN"/>
              </w:rPr>
              <w:t>的Ⅰ级淤泥。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651" w:type="pct"/>
            <w:noWrap w:val="0"/>
            <w:vAlign w:val="center"/>
          </w:tcPr>
          <w:p>
            <w:pPr>
              <w:pStyle w:val="2"/>
              <w:tabs>
                <w:tab w:val="left" w:pos="1166"/>
              </w:tabs>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绿化用土</w:t>
            </w:r>
          </w:p>
        </w:tc>
        <w:tc>
          <w:tcPr>
            <w:tcW w:w="3075" w:type="pct"/>
            <w:noWrap w:val="0"/>
            <w:vAlign w:val="center"/>
          </w:tcPr>
          <w:p>
            <w:pPr>
              <w:pStyle w:val="2"/>
              <w:tabs>
                <w:tab w:val="left" w:pos="1166"/>
              </w:tabs>
              <w:adjustRightInd w:val="0"/>
              <w:snapToGrid w:val="0"/>
              <w:spacing w:line="24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淤泥含有丰富的有机质和植物需要的氮、磷、钾等营养物质，淤泥作为绿化用土是有效的资源利用途径。经脱水和排水固结后，含水率（土工指标）达到70 %以下可作为绿化用土。作为绿化用土壤的淤泥需满足《绿化种植土壤》（CJ/T340）的要求。对病原菌超标和有机物分解降解不够的淤泥，应通过堆肥方式使得有机物基本转化成稳定、无臭的腐殖质后再作为绿化土。为满足植物生长需要，淤泥可根据需要添加生物质材料和土壤改良材料。</w:t>
            </w:r>
          </w:p>
        </w:tc>
        <w:tc>
          <w:tcPr>
            <w:tcW w:w="1272" w:type="pct"/>
            <w:noWrap w:val="0"/>
            <w:vAlign w:val="center"/>
          </w:tcPr>
          <w:p>
            <w:pPr>
              <w:pStyle w:val="2"/>
              <w:tabs>
                <w:tab w:val="left" w:pos="1166"/>
              </w:tabs>
              <w:adjustRightInd w:val="0"/>
              <w:snapToGrid w:val="0"/>
              <w:spacing w:line="24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有机质和营养物质含量高，污染物</w:t>
            </w:r>
            <w:r>
              <w:rPr>
                <w:rFonts w:hint="eastAsia" w:ascii="仿宋_GB2312" w:hAnsi="仿宋_GB2312" w:eastAsia="仿宋_GB2312" w:cs="仿宋_GB2312"/>
                <w:sz w:val="21"/>
                <w:szCs w:val="21"/>
                <w:lang w:val="en-US" w:eastAsia="zh-CN"/>
              </w:rPr>
              <w:t>含量低于</w:t>
            </w:r>
            <w:r>
              <w:rPr>
                <w:rFonts w:hint="eastAsia" w:ascii="仿宋_GB2312" w:hAnsi="仿宋_GB2312" w:eastAsia="仿宋_GB2312" w:cs="仿宋_GB2312"/>
                <w:sz w:val="21"/>
                <w:szCs w:val="21"/>
                <w:lang w:eastAsia="zh-CN"/>
              </w:rPr>
              <w:t>CJ/T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340</w:t>
            </w:r>
            <w:r>
              <w:rPr>
                <w:rFonts w:hint="eastAsia" w:ascii="仿宋_GB2312" w:hAnsi="仿宋_GB2312" w:eastAsia="仿宋_GB2312" w:cs="仿宋_GB2312"/>
                <w:sz w:val="21"/>
                <w:szCs w:val="21"/>
                <w:lang w:val="en-US" w:eastAsia="zh-CN"/>
              </w:rPr>
              <w:t>中要求</w:t>
            </w:r>
            <w:r>
              <w:rPr>
                <w:rFonts w:hint="eastAsia" w:ascii="仿宋_GB2312" w:hAnsi="仿宋_GB2312" w:eastAsia="仿宋_GB2312" w:cs="仿宋_GB2312"/>
                <w:sz w:val="21"/>
                <w:szCs w:val="21"/>
                <w:lang w:eastAsia="zh-CN"/>
              </w:rPr>
              <w:t>的Ⅱ级淤泥。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pct"/>
            <w:noWrap w:val="0"/>
            <w:vAlign w:val="center"/>
          </w:tcPr>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填筑材料</w:t>
            </w:r>
          </w:p>
        </w:tc>
        <w:tc>
          <w:tcPr>
            <w:tcW w:w="3075" w:type="pct"/>
            <w:noWrap w:val="0"/>
            <w:vAlign w:val="center"/>
          </w:tcPr>
          <w:p>
            <w:pPr>
              <w:pStyle w:val="2"/>
              <w:tabs>
                <w:tab w:val="left" w:pos="1166"/>
              </w:tabs>
              <w:autoSpaceDE/>
              <w:autoSpaceDN/>
              <w:adjustRightInd w:val="0"/>
              <w:snapToGrid w:val="0"/>
              <w:spacing w:line="24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作为场地回填的淤泥，对污染物的限制要求相对不高，通过淤泥取样进行化学和生物指标检测，在满足《展览会用地土壤环境质量评价标准》（暂行）的前提下，淤泥经过固结排水或脱水干化（固化）处置后，一般可作为围垦区、低洼地、公园、绿化带和开发区的地面回填。一般要求淤泥含水率（土工指标）不超过60~65 %，场地回填对承载力、填筑边坡和地基强度有特别要求的，可以通过调整固化剂种类和数量来满足使用要求。未进行固化处理的回填土，地基承载力特征值不得小于30 kPa。</w:t>
            </w:r>
          </w:p>
        </w:tc>
        <w:tc>
          <w:tcPr>
            <w:tcW w:w="1272" w:type="pct"/>
            <w:vMerge w:val="restart"/>
            <w:noWrap w:val="0"/>
            <w:vAlign w:val="center"/>
          </w:tcPr>
          <w:p>
            <w:pPr>
              <w:pStyle w:val="2"/>
              <w:tabs>
                <w:tab w:val="left" w:pos="1166"/>
              </w:tabs>
              <w:autoSpaceDE/>
              <w:autoSpaceDN/>
              <w:adjustRightInd w:val="0"/>
              <w:snapToGrid w:val="0"/>
              <w:spacing w:line="24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有机质含量较低，重金属和有机毒物</w:t>
            </w:r>
            <w:r>
              <w:rPr>
                <w:rFonts w:hint="eastAsia" w:ascii="仿宋_GB2312" w:hAnsi="仿宋_GB2312" w:eastAsia="仿宋_GB2312" w:cs="仿宋_GB2312"/>
                <w:sz w:val="21"/>
                <w:szCs w:val="21"/>
                <w:lang w:val="en-US" w:eastAsia="zh-CN"/>
              </w:rPr>
              <w:t>含量低于GB 36600中第一类场地风险筛选值</w:t>
            </w:r>
            <w:r>
              <w:rPr>
                <w:rFonts w:hint="eastAsia" w:ascii="仿宋_GB2312" w:hAnsi="仿宋_GB2312" w:eastAsia="仿宋_GB2312" w:cs="仿宋_GB2312"/>
                <w:sz w:val="21"/>
                <w:szCs w:val="21"/>
                <w:lang w:eastAsia="zh-CN"/>
              </w:rPr>
              <w:t>的Ⅲ级淤泥。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pct"/>
            <w:noWrap w:val="0"/>
            <w:vAlign w:val="center"/>
          </w:tcPr>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堤、路填筑</w:t>
            </w:r>
          </w:p>
        </w:tc>
        <w:tc>
          <w:tcPr>
            <w:tcW w:w="3075" w:type="pct"/>
            <w:noWrap w:val="0"/>
            <w:vAlign w:val="center"/>
          </w:tcPr>
          <w:p>
            <w:pPr>
              <w:pStyle w:val="2"/>
              <w:tabs>
                <w:tab w:val="left" w:pos="1166"/>
              </w:tabs>
              <w:autoSpaceDE/>
              <w:autoSpaceDN/>
              <w:adjustRightInd w:val="0"/>
              <w:snapToGrid w:val="0"/>
              <w:spacing w:line="24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疏浚淤泥经无害化和脱水固化处理后，可作为堤防、隔堤、田埂和低等级公路、临时道路等建筑物的填筑材料。堤防填筑需考虑渗透稳定和强度要求，其余要考虑土体的强度要求。一般堤、路填筑含水（土工指标）不大于50 %，无侧限强度不低于80 kPa。</w:t>
            </w:r>
          </w:p>
        </w:tc>
        <w:tc>
          <w:tcPr>
            <w:tcW w:w="1272" w:type="pct"/>
            <w:vMerge w:val="continue"/>
            <w:noWrap w:val="0"/>
            <w:vAlign w:val="center"/>
          </w:tcPr>
          <w:p>
            <w:pPr>
              <w:pStyle w:val="2"/>
              <w:tabs>
                <w:tab w:val="left" w:pos="1166"/>
              </w:tabs>
              <w:autoSpaceDE/>
              <w:autoSpaceDN/>
              <w:adjustRightInd w:val="0"/>
              <w:snapToGrid w:val="0"/>
              <w:spacing w:line="240" w:lineRule="auto"/>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pct"/>
            <w:noWrap w:val="0"/>
            <w:vAlign w:val="center"/>
          </w:tcPr>
          <w:p>
            <w:pPr>
              <w:pStyle w:val="2"/>
              <w:tabs>
                <w:tab w:val="left" w:pos="1166"/>
              </w:tabs>
              <w:autoSpaceDE/>
              <w:autoSpaceDN/>
              <w:adjustRightInd w:val="0"/>
              <w:snapToGrid w:val="0"/>
              <w:spacing w:line="240" w:lineRule="auto"/>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制砖、陶粒</w:t>
            </w:r>
          </w:p>
        </w:tc>
        <w:tc>
          <w:tcPr>
            <w:tcW w:w="3075" w:type="pct"/>
            <w:noWrap w:val="0"/>
            <w:vAlign w:val="center"/>
          </w:tcPr>
          <w:p>
            <w:pPr>
              <w:pStyle w:val="2"/>
              <w:tabs>
                <w:tab w:val="left" w:pos="1166"/>
              </w:tabs>
              <w:autoSpaceDE/>
              <w:autoSpaceDN/>
              <w:adjustRightInd w:val="0"/>
              <w:snapToGrid w:val="0"/>
              <w:spacing w:line="24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疏浚淤泥中含有大量的粘土颗粒，可作为烧结制砖和制陶粒的原料。用于制砖的淤泥含水率（环保指标）小于40%，对重金属等污染物含量有一定的要求，具体可参考《城镇污水处理厂污泥处置制砖用泥质》（CJ/T289）。</w:t>
            </w:r>
          </w:p>
        </w:tc>
        <w:tc>
          <w:tcPr>
            <w:tcW w:w="1272" w:type="pct"/>
            <w:noWrap w:val="0"/>
            <w:vAlign w:val="center"/>
          </w:tcPr>
          <w:p>
            <w:pPr>
              <w:pStyle w:val="2"/>
              <w:tabs>
                <w:tab w:val="left" w:pos="1166"/>
              </w:tabs>
              <w:autoSpaceDE/>
              <w:autoSpaceDN/>
              <w:adjustRightInd w:val="0"/>
              <w:snapToGrid w:val="0"/>
              <w:spacing w:line="24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粘粒含量高，</w:t>
            </w:r>
            <w:r>
              <w:rPr>
                <w:rFonts w:hint="eastAsia" w:ascii="仿宋_GB2312" w:hAnsi="仿宋_GB2312" w:eastAsia="仿宋_GB2312" w:cs="仿宋_GB2312"/>
                <w:sz w:val="21"/>
                <w:szCs w:val="21"/>
                <w:lang w:val="en-US" w:eastAsia="zh-CN"/>
              </w:rPr>
              <w:t>淤泥污染物含量低于GB/T 25031、CJ/T 314，浸出液低于GB/T 14848中要求</w:t>
            </w:r>
            <w:r>
              <w:rPr>
                <w:rFonts w:hint="eastAsia" w:ascii="仿宋_GB2312" w:hAnsi="仿宋_GB2312" w:eastAsia="仿宋_GB2312" w:cs="仿宋_GB2312"/>
                <w:sz w:val="21"/>
                <w:szCs w:val="21"/>
                <w:lang w:eastAsia="zh-CN"/>
              </w:rPr>
              <w:t>的各类Ⅳ级淤泥。</w:t>
            </w:r>
          </w:p>
        </w:tc>
      </w:tr>
    </w:tbl>
    <w:p>
      <w:pPr>
        <w:pStyle w:val="2"/>
        <w:tabs>
          <w:tab w:val="left" w:pos="1166"/>
        </w:tabs>
        <w:autoSpaceDE/>
        <w:autoSpaceDN/>
        <w:adjustRightInd w:val="0"/>
        <w:snapToGrid w:val="0"/>
        <w:spacing w:line="590" w:lineRule="exact"/>
        <w:jc w:val="both"/>
        <w:rPr>
          <w:rFonts w:ascii="Times New Roman" w:hAnsi="Times New Roman" w:eastAsia="仿宋_GB2312" w:cs="Times New Roman"/>
          <w:sz w:val="30"/>
          <w:szCs w:val="30"/>
          <w:lang w:eastAsia="zh-CN"/>
        </w:rPr>
      </w:pPr>
      <w:bookmarkStart w:id="10" w:name="附件8__巡查台账表"/>
      <w:bookmarkEnd w:id="10"/>
    </w:p>
    <w:p>
      <w:pPr>
        <w:adjustRightInd w:val="0"/>
        <w:snapToGrid w:val="0"/>
        <w:spacing w:line="590" w:lineRule="exact"/>
        <w:ind w:right="157" w:firstLine="640" w:firstLineChars="200"/>
        <w:rPr>
          <w:rFonts w:hint="eastAsia"/>
          <w:snapToGrid w:val="0"/>
          <w:kern w:val="0"/>
        </w:rPr>
      </w:pPr>
    </w:p>
    <w:p>
      <w:pPr>
        <w:adjustRightInd w:val="0"/>
        <w:snapToGrid w:val="0"/>
        <w:spacing w:line="590" w:lineRule="exact"/>
        <w:ind w:right="157"/>
        <w:rPr>
          <w:rFonts w:hint="eastAsia"/>
          <w:snapToGrid w:val="0"/>
          <w:kern w:val="0"/>
        </w:rPr>
      </w:pP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hAnsi="Times New Roman" w:eastAsia="仿宋_GB2312"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2"/>
      <w:spacing w:line="14" w:lineRule="auto"/>
      <w:rPr>
        <w:rFonts w:hint="eastAsi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495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宋体" w:cs="Times New Roman"/>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Title"/>
    <w:basedOn w:val="1"/>
    <w:qFormat/>
    <w:uiPriority w:val="10"/>
    <w:pPr>
      <w:ind w:left="132" w:right="413"/>
      <w:jc w:val="center"/>
    </w:pPr>
    <w:rPr>
      <w:rFonts w:ascii="黑体" w:hAnsi="黑体" w:eastAsia="黑体" w:cs="黑体"/>
      <w:sz w:val="36"/>
      <w:szCs w:val="36"/>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2024-11-28T06:25:28Z</dcterms:created>
  <dc:creator>admin</dc:creator>
  <cp:lastModifiedBy>李ZD</cp:lastModifiedBy>
  <dcterms:modified xsi:type="dcterms:W3CDTF">2024-11-28T06:25:31Z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