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</w:t>
      </w:r>
    </w:p>
    <w:p>
      <w:pPr>
        <w:adjustRightInd w:val="0"/>
        <w:snapToGrid w:val="0"/>
        <w:spacing w:beforeLines="0" w:afterLines="0" w:line="590" w:lineRule="exact"/>
        <w:ind w:firstLine="720" w:firstLineChars="200"/>
        <w:jc w:val="both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全国农作物种业统计系统填报方法与工作流程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napToGrid w:val="0"/>
          <w:spacing w:val="-6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全国农作物种业统计系统由管理员用户、企业统计管理员用户、种业工作信息员用户和企业用户四类角色操作。管理员用户、种业工作信息员和企业统计管理员用户又分为省、市、县三级。管理员用户为各级农业农村行政主管部门，负责统筹辖区整体工作，指定本级企业统计管理员用户和种业工作信息员用户（管理员用户、企业统计管理员用户和种业工作信息员用户可为同一账号）。企业统计管理员用户负责统筹本辖区内企业数据催报审核工作，种业工作信息员用户负责填报管理员分配的种业工作情况报表。企业用户为统计年度内持有效农作物种子生产经营许可证的企业，负责填报本企业年度经营情况报表。各类用户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kern w:val="0"/>
          <w:szCs w:val="32"/>
        </w:rPr>
        <w:t>中国种业大数据平台（http://202.127.42.145/bigdataNew/），点击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“统计调度”</w:t>
      </w:r>
      <w:r>
        <w:rPr>
          <w:rFonts w:hint="eastAsia" w:ascii="仿宋_GB2312" w:hAnsi="仿宋_GB2312" w:eastAsia="仿宋_GB2312" w:cs="仿宋_GB2312"/>
          <w:kern w:val="0"/>
          <w:szCs w:val="32"/>
        </w:rPr>
        <w:t>选择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“全国农作物种业统计系统”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Cs w:val="32"/>
        </w:rPr>
        <w:t>（http://202.127.42.89:8061/）登录，工作流程及操作指南如下（详细的操作指南可在登录界面下载操作手册和操作视频查看）。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一、管理员用户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（一）用户登录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各级“管理员用户”的登录账号为行政区划代码，密码与上一年度一样；如若忘记可联系上级主管部门获取（系统的详细功能介绍请在系统帮助里下载操作手册）。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（二）任务分配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1.填报职责分工表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各级“管理员用户”登录系统后应在我的工作台界面填报“本级农作物种业统计工作责任分工表”，同时也可在本界面查看导出辖区的统计工作责任分工情况表。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2.分配本级种业工作信息员用户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级“管理员用户”在填报完成职责分工表后，应按照系统提示前往“系统管理”的“本级种业工作信息员用户”界面添加“种业工作信息员用户”和“企业统计管理员用户”，按照操作提示设置用户的权限并通知“种业工作信息员用户”进行数据填报，通知“企业统计管理员用户”进行企业管理等操作。用户权限设置应与“本级农作物种业统计工作责任分工表”一致，若需更改权限请在“权限管理”界面进行更改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（三）数据上报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1.本级数据审核上报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级“管理员用户”根据任务分工组织本级相关“种业工作信息员用户”登录自己的账号填报相应种业工作情况表，“管理员用户”负责本级种业工作情况表所有内容的最终把关，报表数据核实无误后点击上报。数据填报可在线填报，也可下载导入模板，线下填写后导入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2.辖区数据审核上报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“管理员用户”负责组织辖区各级的种业工作情况填报、催报和审核工作。数据审核可以通过线上和线下两种方式。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线上审核：</w:t>
      </w:r>
      <w:r>
        <w:rPr>
          <w:rFonts w:hint="eastAsia" w:ascii="仿宋_GB2312" w:hAnsi="仿宋_GB2312" w:eastAsia="仿宋_GB2312" w:cs="仿宋_GB2312"/>
          <w:kern w:val="0"/>
          <w:szCs w:val="32"/>
        </w:rPr>
        <w:t>通过“数据审核”功能完成相关操作，若是有问题的报表，可双击指标项做颜色标记然后写明原因直接退回数据上报的“管理员用户”，并通知其修改重报。若数据无误，直接点击审核通过。可以单张报表审核无误后点击审核通过，也可同一账户6张报表审核无误后整体点击审核通过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线下审核：</w:t>
      </w:r>
      <w:r>
        <w:rPr>
          <w:rFonts w:hint="eastAsia" w:ascii="仿宋_GB2312" w:hAnsi="仿宋_GB2312" w:eastAsia="仿宋_GB2312" w:cs="仿宋_GB2312"/>
          <w:kern w:val="0"/>
          <w:szCs w:val="32"/>
        </w:rPr>
        <w:t>通过“数据导出”功能，按照不同报表类型导出做线下审核，审核出的问题项需通过“数据审核”找到该报表标注问题项后退回重报。无问题的数据，则可通过“批量审核”功能勾选无问题的数据报表一次性审核通过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“省级管理员用户”负责辖区种业工作情况的最终审核和上报，统筹把控工作进度，并将审核无误的数据导入中间库，以便后续数据分析。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二、企业统计管理员用户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（一）用户登录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各级“企业统计管理员用户”的登录账号和密码由本级管理员用户设置，与上年一样。如若忘记可联系本级管理员用户或上级主管部门获取（系统的详细功能介绍请在系统帮助里下载操作手册）。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（二）企业名录核查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级“企业统计管理员”可在“企业情况总览”里看到统计年度内本辖区内所有企业的分布情况，可以到“企业用户管理”界面看到本年度所有企业情况，可将企业用户名录导出进行核查，若有名录未覆盖的企业需将企业信息报给“省级企业统计管理员”，由“省级企业统计管理员”通过“企业用户管理”界面的“新增”功能统一新增。在新增企业用户时，若企业有多个许可证号的可点击许可证号旁的“+”新增行填写，按照要求将数据补充完整后点击保存即可完成企业新增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（三）组织企业填报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企业名录核查无误后，各级“企业统计管理员”组织本辖区所有企业进行填报，并负责企业数据的催报和审核。数据审核可以通过线上和线下两种方式。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线上审核</w:t>
      </w:r>
      <w:r>
        <w:rPr>
          <w:rFonts w:hint="eastAsia" w:ascii="仿宋_GB2312" w:hAnsi="仿宋_GB2312" w:eastAsia="仿宋_GB2312" w:cs="仿宋_GB2312"/>
          <w:kern w:val="0"/>
          <w:szCs w:val="32"/>
        </w:rPr>
        <w:t>：通过“企业数据管理”功能完成相关操作，若是有问题的报表，可双击指标项做颜色标记然后写明原因直接退回数据上报企业，并通知其修改重报。若数据无误，直接点击审核通过。可以单张报表审核无误后点击审核通过，也可同一账户9张报表审核无误后整体点击审核通过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线下审核</w:t>
      </w:r>
      <w:r>
        <w:rPr>
          <w:rFonts w:hint="eastAsia" w:ascii="仿宋_GB2312" w:hAnsi="仿宋_GB2312" w:eastAsia="仿宋_GB2312" w:cs="仿宋_GB2312"/>
          <w:kern w:val="0"/>
          <w:szCs w:val="32"/>
        </w:rPr>
        <w:t>：通过“企业数据导出”功能，按照不同报表类型导出做线下审核，审核出的问题项需通过“企业数据管理功能”找到该企业相应报表标注问题项后退回重报。无问题的数据，则可通过“批量审核”功能勾选无问题的数据报表一次性审核通过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“省级企业统计管理员”负责本辖区所有企业数据的最终审核和上报工作，统筹把控工作进度，并将审核无误的数据导入中间库，以便后续数据分析。若是导入中间库后发现数据有误需要返回“数据管理”企业表单里退回让企业重报，企业重报数据再次审核无误后，勾选该企业报表导入中间库即可覆盖上次数据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三、种业工作信息员用户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（一）用户登录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“种业工作信息员用户”的登录账号和密码由本级管理员用户设置，与上年一样。若忘记登录名和密码，请联系本级“管理员用户”获取，系统的详细功能介绍请在系统帮助里下载系操作手册。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（二）数据填报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“种业工作信息员用户”登录系统后请在“数据上报”界面填报统计年度的种业工作情况表，所有报表填报完成后，点击保存即可。如需修改请告知本级“管理员”后进行修改。</w:t>
      </w:r>
    </w:p>
    <w:p>
      <w:pPr>
        <w:adjustRightInd w:val="0"/>
        <w:snapToGrid w:val="0"/>
        <w:spacing w:beforeLines="0" w:afterLines="0" w:line="590" w:lineRule="exact"/>
        <w:ind w:left="0" w:firstLine="640" w:firstLineChars="2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四、企业用户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（一）用户登录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“企业用户”的登录名为农作物种子生产经营许可证上的企业全称，密码与上一年一样。新增“企业用户”的登录名为农作物种子生产经营许可证上的企业全称，密码联系本级或上级管理部门获取。若无法确认登录名和密码，请联系本级“企业统计管理员”或上级“企业统计管理员”获取，系统的详细功能介绍请在系统帮助里下载系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kern w:val="0"/>
          <w:szCs w:val="32"/>
        </w:rPr>
        <w:t>操作手册。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Cs w:val="32"/>
        </w:rPr>
        <w:t>（二）数据填报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“企业用户”登录系统后请在“数据上报”界面填报统计年度本企业经营情况表，所有报表填报完成后，保存点击上报即可。上报后如需修改请联系“企业统计管理员”退回修改。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农作物种业统计工作总结提纲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一、工作开展情况</w:t>
      </w:r>
    </w:p>
    <w:p>
      <w:pPr>
        <w:autoSpaceDE/>
        <w:autoSpaceDN/>
        <w:adjustRightInd w:val="0"/>
        <w:snapToGrid w:val="0"/>
        <w:spacing w:beforeLines="0" w:afterLines="0" w:line="59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zh-CN"/>
        </w:rPr>
        <w:t>主要包括工作完成时效（未按时完成说明原因）、工作完成质量（主要包括数据上报情况、数据审核情况，机构和企业应报未报情况及未报原因、重点企业数据审核情况、重点指标的审核情况、异常指标的核实情况、年际间企业数据变化异常企业核实情况等内容）、工作推进中的一些较好的经验做法，数据上报与审核的主要方式方法，数据分析利用等方面的成效等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二、主要举措</w:t>
      </w:r>
    </w:p>
    <w:p>
      <w:pPr>
        <w:autoSpaceDE/>
        <w:autoSpaceDN/>
        <w:adjustRightInd w:val="0"/>
        <w:snapToGrid w:val="0"/>
        <w:spacing w:beforeLines="0" w:afterLines="0" w:line="59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zh-CN"/>
        </w:rPr>
        <w:t>主要包括接到文件后，各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Cs w:val="32"/>
          <w:lang w:val="zh-CN"/>
        </w:rPr>
        <w:t>级农业农村部门落实文件的主要措施、工作方案、工作机制（包括但不限于行政与事业单位的协调配合、各级涉种单位的协调落实、与企业的协调落实等方面）等情况。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问题及建议</w:t>
      </w:r>
    </w:p>
    <w:p>
      <w:pPr>
        <w:autoSpaceDE/>
        <w:autoSpaceDN/>
        <w:adjustRightInd w:val="0"/>
        <w:snapToGrid w:val="0"/>
        <w:spacing w:beforeLines="0" w:afterLines="0" w:line="59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zh-CN"/>
        </w:rPr>
        <w:t>各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Cs w:val="32"/>
          <w:lang w:val="zh-CN"/>
        </w:rPr>
        <w:t>（区、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Cs w:val="32"/>
          <w:lang w:val="zh-CN"/>
        </w:rPr>
        <w:t>）在工作推进过程中存在的困难以及对统计工作的建议等。</w:t>
      </w:r>
    </w:p>
    <w:p>
      <w:pPr>
        <w:autoSpaceDE/>
        <w:autoSpaceDN/>
        <w:adjustRightInd w:val="0"/>
        <w:snapToGrid w:val="0"/>
        <w:spacing w:beforeLines="0" w:afterLines="0" w:line="59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sectPr>
          <w:footerReference r:id="rId3" w:type="default"/>
          <w:pgSz w:w="11906" w:h="16838"/>
          <w:pgMar w:top="1871" w:right="1531" w:bottom="1871" w:left="1531" w:header="851" w:footer="1417" w:gutter="0"/>
          <w:pgNumType w:fmt="decimal" w:start="2"/>
          <w:cols w:space="720" w:num="1"/>
          <w:rtlGutter w:val="0"/>
          <w:docGrid w:type="lines" w:linePitch="595" w:charSpace="0"/>
        </w:sectPr>
      </w:pPr>
    </w:p>
    <w:p>
      <w:pPr>
        <w:adjustRightInd w:val="0"/>
        <w:snapToGrid w:val="0"/>
        <w:spacing w:beforeLines="0" w:afterLines="0" w:line="590" w:lineRule="exact"/>
        <w:ind w:firstLine="0" w:firstLineChars="0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重点企业名录（示例）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填报单位：（印章）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86"/>
        <w:gridCol w:w="1889"/>
        <w:gridCol w:w="730"/>
        <w:gridCol w:w="1242"/>
        <w:gridCol w:w="2446"/>
        <w:gridCol w:w="714"/>
        <w:gridCol w:w="1290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种子销售总额（万元）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商品种子销售总额（万元）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本企业商品种子销售总额（万元）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13"/>
        </w:tabs>
        <w:snapToGrid w:val="0"/>
        <w:spacing w:line="360" w:lineRule="auto"/>
        <w:ind w:right="2067" w:rightChars="646"/>
        <w:jc w:val="left"/>
        <w:rPr>
          <w:color w:val="000000"/>
          <w:sz w:val="24"/>
          <w:szCs w:val="24"/>
        </w:rPr>
      </w:pP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01"/>
        <w:gridCol w:w="1875"/>
        <w:gridCol w:w="730"/>
        <w:gridCol w:w="1228"/>
        <w:gridCol w:w="2464"/>
        <w:gridCol w:w="714"/>
        <w:gridCol w:w="1276"/>
        <w:gridCol w:w="2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XX作物种子销售总额（万元）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XX作物商品种子销售总额（万元）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XX作物本企业商品种子</w:t>
            </w:r>
          </w:p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销售总额（万元）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300355</wp:posOffset>
                </wp:positionV>
                <wp:extent cx="495300" cy="9982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11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9pt;margin-top:23.65pt;height:78.6pt;width:39pt;z-index:251660288;mso-width-relative:page;mso-height-relative:page;" filled="f" stroked="f" coordsize="21600,21600" o:gfxdata="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DXnpbzcAAAACgEAAA8AAAAAAAAAAQAgAAAA&#10;IgAAAGRycy9kb3ducmV2LnhtbFBLAQIUABQAAAAIAIdO4kBwDU9GlQEAAA0DAAAOAAAAAAAAAAEA&#10;IAAAACsBAABkcnMvZTJvRG9jLnhtbFBLBQYAAAAABgAGAFkBAAAyBQAAAAA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11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292735</wp:posOffset>
                </wp:positionV>
                <wp:extent cx="542290" cy="9296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— 11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55pt;margin-top:23.05pt;height:73.2pt;width:42.7pt;z-index:251659264;mso-width-relative:page;mso-height-relative:page;" filled="f" stroked="f" coordsize="21600,21600" o:gfxdata="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PqzeTtoAAAAJAQAADwAAAAAAAAABACAAAAAi&#10;AAAAZHJzL2Rvd25yZXYueG1sUEsBAhQAFAAAAAgAh07iQPsmxuqWAQAADQMAAA4AAAAAAAAAAQAg&#10;AAAAKQEAAGRycy9lMm9Eb2MueG1sUEsFBgAAAAAGAAYAWQEAADEFAAAAAA==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— 11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4"/>
          <w:szCs w:val="24"/>
          <w:lang w:val="zh-CN"/>
        </w:rPr>
        <w:t>注：请按照企业种子销售总额、商品种子销售总额、本企业商品种子销售总额三项指标分别排序，并分作物分指标进行排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序，总体前10名，分作物前5名。按照玉米、杂交稻、常规稻、小麦、马铃薯、棉花、大豆、油菜、花生、蔬菜等进行排序，可根据辖区企业主营作物分布情况，增减作物类别。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  <w:sectPr>
          <w:footerReference r:id="rId4" w:type="first"/>
          <w:pgSz w:w="16838" w:h="11906" w:orient="landscape"/>
          <w:pgMar w:top="1531" w:right="1871" w:bottom="1531" w:left="1871" w:header="851" w:footer="1417" w:gutter="0"/>
          <w:pgNumType w:fmt="decimal"/>
          <w:cols w:space="720" w:num="1"/>
          <w:titlePg/>
          <w:rtlGutter w:val="0"/>
          <w:docGrid w:type="lines" w:linePitch="442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character" w:styleId="5">
    <w:name w:val="page number"/>
    <w:basedOn w:val="4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2025-02-13T04:39:35Z</dcterms:created>
  <dc:creator>admin</dc:creator>
  <cp:lastModifiedBy>李ZD</cp:lastModifiedBy>
  <dcterms:modified xsi:type="dcterms:W3CDTF">2025-02-13T04:39:50Z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