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ascii="仿宋_GB2312"/>
          <w:snapToGrid w:val="0"/>
          <w:kern w:val="0"/>
          <w:sz w:val="36"/>
          <w:szCs w:val="36"/>
        </w:rPr>
      </w:pPr>
      <w:r>
        <w:rPr>
          <w:rFonts w:hint="eastAsia" w:ascii="仿宋_GB2312"/>
          <w:snapToGrid w:val="0"/>
          <w:kern w:val="0"/>
          <w:sz w:val="36"/>
          <w:szCs w:val="36"/>
        </w:rPr>
        <w:t>梅州市梅县区2017年中央财政</w:t>
      </w:r>
    </w:p>
    <w:p>
      <w:pPr>
        <w:adjustRightInd w:val="0"/>
        <w:snapToGrid w:val="0"/>
        <w:spacing w:line="590" w:lineRule="exact"/>
        <w:jc w:val="center"/>
        <w:rPr>
          <w:rFonts w:hint="eastAsia" w:ascii="仿宋_GB2312"/>
          <w:snapToGrid w:val="0"/>
          <w:kern w:val="0"/>
          <w:sz w:val="36"/>
          <w:szCs w:val="36"/>
        </w:rPr>
      </w:pPr>
      <w:r>
        <w:rPr>
          <w:rFonts w:hint="eastAsia" w:ascii="仿宋_GB2312"/>
          <w:snapToGrid w:val="0"/>
          <w:kern w:val="0"/>
          <w:sz w:val="36"/>
          <w:szCs w:val="36"/>
        </w:rPr>
        <w:t>农业机械购置补贴实施方案</w:t>
      </w:r>
    </w:p>
    <w:p>
      <w:pPr>
        <w:adjustRightInd w:val="0"/>
        <w:snapToGrid w:val="0"/>
        <w:spacing w:line="590" w:lineRule="exact"/>
        <w:jc w:val="center"/>
        <w:rPr>
          <w:rFonts w:ascii="仿宋_GB2312"/>
          <w:snapToGrid w:val="0"/>
          <w:kern w:val="0"/>
          <w:sz w:val="36"/>
          <w:szCs w:val="36"/>
        </w:rPr>
      </w:pPr>
    </w:p>
    <w:p>
      <w:pPr>
        <w:spacing w:line="360" w:lineRule="auto"/>
        <w:ind w:firstLine="640" w:firstLineChars="200"/>
      </w:pPr>
      <w:r>
        <w:rPr>
          <w:rFonts w:hint="eastAsia"/>
        </w:rPr>
        <w:t>为进一步实施好农业机械购置补贴政策，推进我区农业机械又快又好发展，根据省农业厅、省财政厅《关于印发广东省2015年—2017年中央财政农业机械补贴实施方案的通知》（粤农[2015]35号）和《关于做好2017年中央财政农机购置补贴实施工作的通知》（粤农函〔2017〕232号）的要求，2017年我区实施“全价购机、定额补贴、先购后补、区级结算、直补到卡”的农机购置补贴工作方式。为确保梅县区2017年农机购置补贴政策的全面落实，充分发挥补贴政策的效应，推进区域农机化事业又好又快发展</w:t>
      </w:r>
      <w:r>
        <w:rPr>
          <w:rFonts w:hint="eastAsia"/>
          <w:lang w:eastAsia="zh-CN"/>
        </w:rPr>
        <w:t>，</w:t>
      </w:r>
      <w:r>
        <w:rPr>
          <w:rFonts w:hint="eastAsia"/>
        </w:rPr>
        <w:t>经区政府领导同意，结合我区实际、制定本实施方案。</w:t>
      </w:r>
    </w:p>
    <w:p>
      <w:pPr>
        <w:spacing w:line="360" w:lineRule="auto"/>
        <w:ind w:firstLine="640" w:firstLineChars="200"/>
      </w:pPr>
      <w:r>
        <w:rPr>
          <w:rFonts w:hint="eastAsia"/>
        </w:rPr>
        <w:t>一、总体要求</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通过农业机械（以下简称农机）购置补贴政策实施，充分调动和保护农民购买使用农机的积极性，推进农机装备结构优化、农机化作业能力和水平提升，推进农业发展方式转变，切实保障主要农产品有效供给。实施中，要</w:t>
      </w:r>
      <w:r>
        <w:rPr>
          <w:rFonts w:hint="eastAsia" w:ascii="仿宋_GB2312"/>
          <w:snapToGrid w:val="0"/>
          <w:color w:val="000000"/>
          <w:kern w:val="0"/>
        </w:rPr>
        <w:t>注重突出重点，加快推进粮油糖等主要农作物生产全程机械化，</w:t>
      </w:r>
      <w:r>
        <w:rPr>
          <w:rFonts w:hint="eastAsia" w:ascii="仿宋_GB2312"/>
          <w:snapToGrid w:val="0"/>
          <w:kern w:val="0"/>
        </w:rPr>
        <w:t>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w:t>
      </w:r>
    </w:p>
    <w:p>
      <w:pPr>
        <w:adjustRightInd w:val="0"/>
        <w:snapToGrid w:val="0"/>
        <w:spacing w:line="590" w:lineRule="exact"/>
        <w:ind w:firstLine="640" w:firstLineChars="200"/>
        <w:rPr>
          <w:rFonts w:ascii="黑体" w:eastAsia="黑体"/>
          <w:snapToGrid w:val="0"/>
          <w:kern w:val="0"/>
        </w:rPr>
      </w:pPr>
      <w:r>
        <w:rPr>
          <w:rFonts w:hint="eastAsia" w:ascii="黑体" w:eastAsia="黑体"/>
          <w:snapToGrid w:val="0"/>
          <w:kern w:val="0"/>
        </w:rPr>
        <w:t>二、实施范围及资金计划</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农机购置补贴政策继续覆盖梅县全区。财政补贴资金采取“全价购机、定额补贴、县级结算、直补到卡”的兑付方式。</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三、补贴范围及标准</w:t>
      </w:r>
      <w:r>
        <w:rPr>
          <w:rFonts w:ascii="仿宋_GB2312"/>
          <w:snapToGrid w:val="0"/>
          <w:kern w:val="0"/>
        </w:rPr>
        <w:tab/>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一)机具种类。耕整地机械、种植机械、收获机械、动力机械等11大类，严格按照农业部“缩范围、控定额、促敞开”的工作思路。根据《关于做好2017年中央财政农机购置补贴实施工作的通知》（粤农函〔2017〕232号）扩大了敞开补贴范围，对水稻插秧机、自走履带式谷物联合收割机（全喂入）、半喂入联合收割机、粮食烘干机、大中型轮式拖拉机、甘蔗种植机、甘蔗收获机、花生收获机、薯类收获机、动力（喷杆式、风送式）喷雾机、深松机、旋耕机、微耕机、起垄机、增氧机实行敞开补贴。</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(二)补贴标准。中央财政农机购置补贴资金实行最高限额补贴，即同一种类、同一档次农业机械在省域内实行统一的限额补贴标准</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四、补贴对象确定和经销企业公布</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（一）补贴对象。</w:t>
      </w:r>
      <w:r>
        <w:rPr>
          <w:rFonts w:hint="eastAsia" w:ascii="仿宋_GB2312"/>
          <w:snapToGrid w:val="0"/>
          <w:kern w:val="0"/>
        </w:rPr>
        <w:t>补贴对象为直接从事农业生产的个人</w:t>
      </w:r>
      <w:r>
        <w:rPr>
          <w:rFonts w:hint="eastAsia" w:ascii="仿宋_GB2312"/>
          <w:snapToGrid w:val="0"/>
          <w:color w:val="000000"/>
          <w:kern w:val="0"/>
        </w:rPr>
        <w:t>和农业生产经营组织</w:t>
      </w:r>
      <w:r>
        <w:rPr>
          <w:rFonts w:hint="eastAsia" w:ascii="仿宋_GB2312"/>
          <w:snapToGrid w:val="0"/>
          <w:kern w:val="0"/>
        </w:rPr>
        <w:t>。在申请补贴对象较多造成补贴资金指标不足时，要按照公平公正公开的原则确定。</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对已经报废老旧农机并取得拆解回收证明的补贴对象，可优先补贴。</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因补贴资金规模所限当年未能享受到补贴的购机者，可在下一年度优先补贴，并按新的补贴额执行。</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补贴对象可自主选择补贴产品经销企业购机，也可通过生产企业直销等方式购机。按照权责一致原则，补贴对象应对自主购机行为和购买机具的真实性负责，承担相应风险与责任。</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（二）补贴限额。</w:t>
      </w:r>
      <w:r>
        <w:rPr>
          <w:rFonts w:hint="eastAsia" w:ascii="仿宋_GB2312"/>
          <w:snapToGrid w:val="0"/>
          <w:kern w:val="0"/>
        </w:rPr>
        <w:t>当地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的40%。当地当年中央财政农机购置补贴资金指标少于40万元（包含40万）的，要按尽量扩大受益面，公平、公正的原则确定补贴对象。对当年购机较多，申报补贴额超过限额的部分农业生产经营组织，经市级农业、财政部门核实后，可适当增加其补贴金额，并报省农业厅、财政厅备案。</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（三）补贴对象应承担的义务。</w:t>
      </w:r>
      <w:r>
        <w:rPr>
          <w:rFonts w:hint="eastAsia" w:ascii="仿宋_GB2312"/>
          <w:snapToGrid w:val="0"/>
          <w:kern w:val="0"/>
        </w:rPr>
        <w:t>补贴对象购机后必须依法接受农机安全监督管理、补贴机具检查管理和质量跟踪调查，并服从农业局的合理调度，积极配合当地农机推广活动,在重要农时季节、灾害抢收和救灾复产时节优先为本地农业生产服务。</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（四）经销企业的公布。</w:t>
      </w:r>
      <w:r>
        <w:rPr>
          <w:rFonts w:hint="eastAsia" w:ascii="仿宋_GB2312"/>
          <w:snapToGrid w:val="0"/>
          <w:kern w:val="0"/>
        </w:rPr>
        <w:t>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pPr>
        <w:adjustRightInd w:val="0"/>
        <w:snapToGrid w:val="0"/>
        <w:spacing w:line="590" w:lineRule="exact"/>
        <w:ind w:firstLine="640" w:firstLineChars="200"/>
        <w:rPr>
          <w:rFonts w:ascii="黑体" w:eastAsia="黑体"/>
          <w:snapToGrid w:val="0"/>
          <w:kern w:val="0"/>
        </w:rPr>
      </w:pPr>
      <w:r>
        <w:rPr>
          <w:rFonts w:hint="eastAsia" w:ascii="黑体" w:eastAsia="黑体"/>
          <w:snapToGrid w:val="0"/>
          <w:kern w:val="0"/>
        </w:rPr>
        <w:t>五、补贴操作及资金兑付</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农机购置补贴政策实施方式实行自主购机、定额补贴、县级结算、直补到卡（户），具体操作程序如下：</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（一）申请。</w:t>
      </w:r>
      <w:r>
        <w:rPr>
          <w:rFonts w:hint="eastAsia" w:ascii="仿宋_GB2312"/>
          <w:snapToGrid w:val="0"/>
          <w:kern w:val="0"/>
        </w:rPr>
        <w:t>申请者在补贴产品产销企业自主购买机具后，到购机者所在乡镇提出申请并提交补贴申请资料。申请者为个人的需提供：身份证原件及复印件、购机发票、本人银行存折（卡）原件及复印件；申请者为组织的需提供：营业执照原件及复印件、购机发票、与组织名称一致的银行账号原件及复印件。乡镇在收到补贴申请资料后应及时将申请者信息及机具信息录入农机购置补贴辅助管理软件系统，打印出《农机购置补贴指标确认通知书》（一式叁份，一份上交区农业局、一份存档、一份交给申请者）盖章并交申请者签名确认。同时，请申请者签订《农机购置补贴承诺书》并存档。</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对以下三种情形的申请者，另须按如下要求办理：</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1.对于购买安装类机具（如简易保鲜储藏设备、微灌设备、烘干机械、畜牧饲养机械、茶叶加工机械等）的申请者需要同时提供竣工确认书；</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kern w:val="0"/>
        </w:rPr>
        <w:t>2.对于</w:t>
      </w:r>
      <w:r>
        <w:rPr>
          <w:rFonts w:hint="eastAsia" w:ascii="仿宋_GB2312"/>
          <w:snapToGrid w:val="0"/>
          <w:color w:val="000000"/>
          <w:kern w:val="0"/>
        </w:rPr>
        <w:t>购置拖拉机、联合收割机的，其所有人要在领取</w:t>
      </w:r>
      <w:r>
        <w:rPr>
          <w:rFonts w:hint="eastAsia" w:ascii="仿宋_GB2312"/>
          <w:snapToGrid w:val="0"/>
          <w:kern w:val="0"/>
        </w:rPr>
        <w:t>《农机购置补贴指标确认通知书》之日起10个工作日内，到区</w:t>
      </w:r>
      <w:r>
        <w:rPr>
          <w:rFonts w:hint="eastAsia" w:ascii="仿宋_GB2312"/>
          <w:snapToGrid w:val="0"/>
          <w:color w:val="000000"/>
          <w:kern w:val="0"/>
        </w:rPr>
        <w:t>农机安全监理机构办理注册登记手续。区农机安全监理机构要在核发牌照之日起5个工作日内，将牌证办理情况报送区农业局（未依法办理注册登记手续的，补贴资金暂不兑付）；</w:t>
      </w:r>
    </w:p>
    <w:p>
      <w:pPr>
        <w:adjustRightInd w:val="0"/>
        <w:snapToGrid w:val="0"/>
        <w:spacing w:line="590" w:lineRule="exact"/>
        <w:ind w:firstLine="640" w:firstLineChars="200"/>
        <w:rPr>
          <w:rFonts w:ascii="仿宋_GB2312"/>
          <w:snapToGrid w:val="0"/>
          <w:kern w:val="0"/>
        </w:rPr>
      </w:pPr>
      <w:r>
        <w:rPr>
          <w:rFonts w:hint="eastAsia" w:ascii="仿宋_GB2312"/>
          <w:snapToGrid w:val="0"/>
          <w:kern w:val="0"/>
        </w:rPr>
        <w:t>3.对于购买其他单机补贴额在1万元及以上机具的申请者，需携带所购置机具提供给区农业局组织相关人员到现场核实，核实时要进行人机合影并上传到农机购置补贴辅助管理软件系统。</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（二）公示。</w:t>
      </w:r>
      <w:r>
        <w:rPr>
          <w:rFonts w:hint="eastAsia" w:ascii="仿宋_GB2312"/>
          <w:snapToGrid w:val="0"/>
          <w:kern w:val="0"/>
        </w:rPr>
        <w:t>区农业局在每批资金兑付前，将所受理的申请购机信息按乡镇制作《广东省农业机械购置补贴公示表》，在本地农机购置补贴信息公开专栏予以公示，同时交有关乡镇政府负责以适当方式进行公示（时限为7天），并公布乡镇政府和区农业局、财政部门的举报电话。</w:t>
      </w:r>
    </w:p>
    <w:p>
      <w:pPr>
        <w:adjustRightInd w:val="0"/>
        <w:snapToGrid w:val="0"/>
        <w:spacing w:line="590" w:lineRule="exact"/>
        <w:ind w:firstLine="640" w:firstLineChars="200"/>
        <w:rPr>
          <w:rFonts w:ascii="仿宋_GB2312"/>
          <w:snapToGrid w:val="0"/>
          <w:kern w:val="0"/>
        </w:rPr>
      </w:pPr>
      <w:r>
        <w:rPr>
          <w:rFonts w:hint="eastAsia" w:ascii="楷体_GB2312" w:hAnsi="楷体_GB2312" w:eastAsia="楷体_GB2312" w:cs="楷体_GB2312"/>
          <w:bCs/>
          <w:snapToGrid w:val="0"/>
          <w:kern w:val="0"/>
        </w:rPr>
        <w:t>（三）兑付。</w:t>
      </w:r>
      <w:r>
        <w:rPr>
          <w:rFonts w:hint="eastAsia" w:ascii="仿宋_GB2312"/>
          <w:snapToGrid w:val="0"/>
          <w:kern w:val="0"/>
        </w:rPr>
        <w:t>经公示无异议后，区农业局及时整理好农机购置补贴资金发放明细表送财政部门，由财政部门复核无误后，办理资金兑付手续。属于个人的，由区财政部门将补贴直接兑付到个人账户；属于组织的，采用国库集中支付，由区财政部门将补贴资金直接兑付到组织银行账户。</w:t>
      </w:r>
    </w:p>
    <w:p>
      <w:pPr>
        <w:adjustRightInd w:val="0"/>
        <w:snapToGrid w:val="0"/>
        <w:spacing w:line="590" w:lineRule="exact"/>
        <w:ind w:firstLine="640" w:firstLineChars="200"/>
        <w:rPr>
          <w:rFonts w:ascii="黑体" w:eastAsia="黑体"/>
          <w:snapToGrid w:val="0"/>
          <w:color w:val="000000"/>
          <w:kern w:val="0"/>
        </w:rPr>
      </w:pPr>
      <w:r>
        <w:rPr>
          <w:rFonts w:hint="eastAsia" w:ascii="黑体" w:eastAsia="黑体"/>
          <w:snapToGrid w:val="0"/>
          <w:color w:val="000000"/>
          <w:kern w:val="0"/>
        </w:rPr>
        <w:t>六、工作措施</w:t>
      </w:r>
    </w:p>
    <w:p>
      <w:pPr>
        <w:adjustRightInd w:val="0"/>
        <w:snapToGrid w:val="0"/>
        <w:spacing w:line="590" w:lineRule="exact"/>
        <w:ind w:firstLine="640" w:firstLineChars="200"/>
        <w:rPr>
          <w:rFonts w:ascii="仿宋_GB2312"/>
          <w:snapToGrid w:val="0"/>
          <w:color w:val="000000"/>
          <w:kern w:val="0"/>
        </w:rPr>
      </w:pPr>
      <w:r>
        <w:rPr>
          <w:rFonts w:hint="eastAsia" w:ascii="楷体_GB2312" w:eastAsia="楷体_GB2312"/>
          <w:snapToGrid w:val="0"/>
          <w:color w:val="000000"/>
          <w:kern w:val="0"/>
        </w:rPr>
        <w:t>（一）加强领导，密切配合。</w:t>
      </w:r>
      <w:r>
        <w:rPr>
          <w:rFonts w:hint="eastAsia" w:ascii="仿宋_GB2312"/>
          <w:snapToGrid w:val="0"/>
          <w:color w:val="000000"/>
          <w:kern w:val="0"/>
        </w:rPr>
        <w:t>区农业局、财政局、乡镇要进一步提高思想认识，加强组织领导，密切沟通配合，建立工作责任制，将任务和责任具体落实到岗位。要加强工作指导和监督检查，加大农机购置补贴绩效管理工作力度。</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区农业局要加强对乡镇农机购置补贴工作指导和监督检查、同时做好补贴机具抽查核实、补贴投诉调查处理督办等工作。</w:t>
      </w:r>
    </w:p>
    <w:p>
      <w:pPr>
        <w:tabs>
          <w:tab w:val="left" w:pos="900"/>
        </w:tabs>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区农业局、财政局，要在区政府领导下会同有关部门共同研究确定补贴资金使用和重点推广机具种类等事宜，联合对补贴政策实施进行监管。同时，强化区农业局和财政局约束机制，农机购置补贴重要工作事项须由集体研究确定。</w:t>
      </w:r>
    </w:p>
    <w:p>
      <w:pPr>
        <w:adjustRightInd w:val="0"/>
        <w:snapToGrid w:val="0"/>
        <w:spacing w:line="590" w:lineRule="exact"/>
        <w:ind w:firstLine="640" w:firstLineChars="200"/>
        <w:rPr>
          <w:rFonts w:ascii="仿宋_GB2312"/>
          <w:snapToGrid w:val="0"/>
          <w:color w:val="000000"/>
          <w:kern w:val="0"/>
        </w:rPr>
      </w:pPr>
      <w:r>
        <w:rPr>
          <w:rFonts w:hint="eastAsia" w:ascii="楷体_GB2312" w:eastAsia="楷体_GB2312"/>
          <w:snapToGrid w:val="0"/>
          <w:color w:val="000000"/>
          <w:kern w:val="0"/>
        </w:rPr>
        <w:t>（二）加强引导，科学调控。</w:t>
      </w:r>
      <w:r>
        <w:rPr>
          <w:rFonts w:hint="eastAsia" w:ascii="仿宋_GB2312"/>
          <w:snapToGrid w:val="0"/>
          <w:color w:val="000000"/>
          <w:kern w:val="0"/>
        </w:rPr>
        <w:t>要通过政策实施，促进农机装备结构布局优化，提高薄弱环节和主要农产品生产机械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adjustRightInd w:val="0"/>
        <w:snapToGrid w:val="0"/>
        <w:spacing w:line="590" w:lineRule="exact"/>
        <w:ind w:firstLine="640" w:firstLineChars="200"/>
        <w:rPr>
          <w:rFonts w:ascii="仿宋_GB2312"/>
          <w:snapToGrid w:val="0"/>
          <w:color w:val="000000"/>
          <w:kern w:val="0"/>
        </w:rPr>
      </w:pPr>
      <w:r>
        <w:rPr>
          <w:rFonts w:hint="eastAsia" w:ascii="楷体_GB2312" w:eastAsia="楷体_GB2312"/>
          <w:snapToGrid w:val="0"/>
          <w:color w:val="000000"/>
          <w:kern w:val="0"/>
        </w:rPr>
        <w:t>（三）规范操作，严格管理。</w:t>
      </w:r>
      <w:r>
        <w:rPr>
          <w:rFonts w:hint="eastAsia" w:ascii="仿宋_GB2312"/>
          <w:snapToGrid w:val="0"/>
          <w:color w:val="000000"/>
          <w:kern w:val="0"/>
        </w:rPr>
        <w:t xml:space="preserve">要公开公平公正确定补贴对象，严格执行公示制度，充分尊重申请者自主选择权。对补贴额较高和供需矛盾突出的机具要重点核实。采取补贴对象先购机再申请补贴。 </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全面深入推进农机购置补贴管理网络化，农业局、财政局、乡镇统一使用全国农机购置补贴辅助管理软件系统。要配合相关部门严厉打击窃取、倒卖、泄露补贴信息和电信诈骗等不法行为，保护农民合法权益。</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要依法开展补贴机具的质量调查，督促企业做好售后服务等工作。</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要加强对基层农机购置补贴工作人员培训和警示教育，提高基层人员素质和能力。</w:t>
      </w:r>
    </w:p>
    <w:p>
      <w:pPr>
        <w:adjustRightInd w:val="0"/>
        <w:snapToGrid w:val="0"/>
        <w:spacing w:line="590" w:lineRule="exact"/>
        <w:ind w:firstLine="640" w:firstLineChars="200"/>
        <w:rPr>
          <w:rFonts w:ascii="仿宋_GB2312"/>
          <w:snapToGrid w:val="0"/>
          <w:color w:val="000000"/>
          <w:kern w:val="0"/>
        </w:rPr>
      </w:pPr>
      <w:r>
        <w:rPr>
          <w:rFonts w:hint="eastAsia" w:ascii="楷体_GB2312" w:eastAsia="楷体_GB2312"/>
          <w:snapToGrid w:val="0"/>
          <w:color w:val="000000"/>
          <w:kern w:val="0"/>
        </w:rPr>
        <w:t>（四）公开信息，接受监督。</w:t>
      </w:r>
      <w:r>
        <w:rPr>
          <w:rFonts w:hint="eastAsia" w:ascii="仿宋_GB2312"/>
          <w:snapToGrid w:val="0"/>
          <w:color w:val="000000"/>
          <w:kern w:val="0"/>
        </w:rPr>
        <w:t>区农业局要通过广播、电视、报纸、网络、宣传册、明白纸、挂图等形式，积极宣传补贴政策。要建立完善农机购置补贴信息公开专栏，确保专栏有效运行。</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区农业局重点公开实施方案、补贴额一览表、操作程序、投诉咨询方式、资金规模和使用进度、补贴受益对象、违规现象和问题等。</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在年度补贴工作结束后，区农业局要以公告的形式将所有享受补贴的购机者信息及落实情况在梅县区农业信息网站上公布。</w:t>
      </w:r>
      <w:r>
        <w:rPr>
          <w:rFonts w:hint="eastAsia" w:ascii="楷体_GB2312" w:eastAsia="楷体_GB2312"/>
          <w:snapToGrid w:val="0"/>
          <w:color w:val="000000"/>
          <w:kern w:val="0"/>
        </w:rPr>
        <w:t>（五）加强监管，严惩违规。</w:t>
      </w:r>
      <w:r>
        <w:rPr>
          <w:rFonts w:hint="eastAsia" w:ascii="仿宋_GB2312"/>
          <w:snapToGrid w:val="0"/>
          <w:color w:val="000000"/>
          <w:kern w:val="0"/>
        </w:rPr>
        <w:t>区农业局、财政局、乡镇要按全面履行监管职责，以问题为导向，适时开展专项督导检查，强化监管，严惩违规，对违规现象和问题主动向社会公布。</w:t>
      </w:r>
    </w:p>
    <w:p>
      <w:pPr>
        <w:adjustRightInd w:val="0"/>
        <w:snapToGrid w:val="0"/>
        <w:spacing w:line="590" w:lineRule="exact"/>
        <w:ind w:firstLine="640" w:firstLineChars="200"/>
        <w:rPr>
          <w:rFonts w:ascii="仿宋_GB2312"/>
          <w:snapToGrid w:val="0"/>
          <w:color w:val="000000"/>
          <w:kern w:val="0"/>
        </w:rPr>
      </w:pPr>
      <w:r>
        <w:rPr>
          <w:rFonts w:hint="eastAsia" w:ascii="仿宋_GB2312"/>
          <w:snapToGrid w:val="0"/>
          <w:color w:val="000000"/>
          <w:kern w:val="0"/>
        </w:rPr>
        <w:t>要高度重视群众举报投诉受理查处工作。建立健全相关机制，通过电话、网络、信函等有效形式受理投诉。对实名投诉举报的问题和线索，要做到凡报必查。</w:t>
      </w:r>
    </w:p>
    <w:p>
      <w:pPr>
        <w:adjustRightInd w:val="0"/>
        <w:snapToGrid w:val="0"/>
        <w:spacing w:line="590" w:lineRule="exact"/>
        <w:ind w:firstLine="640" w:firstLineChars="200"/>
        <w:rPr>
          <w:rFonts w:ascii="仿宋_GB2312"/>
          <w:snapToGrid w:val="0"/>
          <w:color w:val="000000"/>
          <w:kern w:val="0"/>
        </w:rPr>
        <w:sectPr>
          <w:footerReference r:id="rId3" w:type="default"/>
          <w:pgSz w:w="11906" w:h="16838"/>
          <w:pgMar w:top="1871" w:right="1531" w:bottom="1871" w:left="1531" w:header="851" w:footer="1418" w:gutter="0"/>
          <w:cols w:space="720" w:num="1"/>
          <w:docGrid w:linePitch="312" w:charSpace="0"/>
        </w:sectPr>
      </w:pPr>
      <w:r>
        <w:rPr>
          <w:rFonts w:hint="eastAsia" w:ascii="仿宋_GB2312"/>
          <w:snapToGrid w:val="0"/>
          <w:color w:val="000000"/>
          <w:kern w:val="0"/>
        </w:rPr>
        <w:t>区农业局要对投诉集中、“三包”服务不到位、价格虚高、采取不正当竞争、出厂编号及铭牌不规范、虚假宣传、降低配置、以次充好、骗补套补等线索具体的投诉进行调查核实。并将有关情况和进一步处理建议报上级农机主管部门。农机生产和经销企业产品补贴资格或经销补贴产品的资格被暂停、取消，所引起的纠纷和经济损失由农机生产或经销企业自行承担。</w:t>
      </w:r>
    </w:p>
    <w:p>
      <w:pPr>
        <w:adjustRightInd w:val="0"/>
        <w:snapToGrid w:val="0"/>
        <w:spacing w:line="590" w:lineRule="exact"/>
        <w:rPr>
          <w:rFonts w:hint="eastAsia" w:ascii="黑体" w:hAnsi="黑体" w:eastAsia="黑体" w:cs="黑体"/>
          <w:snapToGrid w:val="0"/>
          <w:kern w:val="0"/>
        </w:rPr>
      </w:pPr>
      <w:r>
        <w:rPr>
          <w:rFonts w:hint="eastAsia" w:ascii="黑体" w:hAnsi="黑体" w:eastAsia="黑体" w:cs="黑体"/>
          <w:snapToGrid w:val="0"/>
          <w:kern w:val="0"/>
        </w:rPr>
        <w:t>附件：</w:t>
      </w:r>
    </w:p>
    <w:p>
      <w:pPr>
        <w:adjustRightInd w:val="0"/>
        <w:snapToGrid w:val="0"/>
        <w:spacing w:line="590" w:lineRule="exact"/>
        <w:ind w:firstLine="560" w:firstLineChars="200"/>
        <w:rPr>
          <w:rFonts w:hint="eastAsia" w:ascii="仿宋_GB2312" w:hAnsi="仿宋_GB2312" w:cs="仿宋_GB2312"/>
          <w:snapToGrid w:val="0"/>
          <w:kern w:val="0"/>
          <w:sz w:val="28"/>
          <w:szCs w:val="28"/>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2017年广东省中央财政农机购置补贴机具补贴额一览表</w:t>
      </w:r>
    </w:p>
    <w:tbl>
      <w:tblPr>
        <w:tblStyle w:val="17"/>
        <w:tblW w:w="156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5"/>
        <w:gridCol w:w="1095"/>
        <w:gridCol w:w="1140"/>
        <w:gridCol w:w="2010"/>
        <w:gridCol w:w="3405"/>
        <w:gridCol w:w="5460"/>
        <w:gridCol w:w="9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435"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1095"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机具大类</w:t>
            </w:r>
          </w:p>
        </w:tc>
        <w:tc>
          <w:tcPr>
            <w:tcW w:w="1140"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机具小类</w:t>
            </w:r>
          </w:p>
        </w:tc>
        <w:tc>
          <w:tcPr>
            <w:tcW w:w="2010"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机具品目</w:t>
            </w:r>
          </w:p>
        </w:tc>
        <w:tc>
          <w:tcPr>
            <w:tcW w:w="3405"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分档名称</w:t>
            </w:r>
          </w:p>
        </w:tc>
        <w:tc>
          <w:tcPr>
            <w:tcW w:w="5460"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基本配置和参数</w:t>
            </w:r>
          </w:p>
        </w:tc>
        <w:tc>
          <w:tcPr>
            <w:tcW w:w="900"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类型</w:t>
            </w:r>
          </w:p>
        </w:tc>
        <w:tc>
          <w:tcPr>
            <w:tcW w:w="1245" w:type="dxa"/>
            <w:tcBorders>
              <w:tl2br w:val="nil"/>
              <w:tr2bl w:val="nil"/>
            </w:tcBorders>
            <w:vAlign w:val="center"/>
          </w:tcPr>
          <w:p>
            <w:pPr>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2017年补贴额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翻转犁</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单体幅宽35cm以下，3-4铧翻转犁</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单体幅宽＜35cm；铧体个数3-4铧</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翻转犁</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单体幅宽35cm以下，5铧及以上翻转犁</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单体幅宽＜35cm；铧体个数≥5铧</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翻转犁</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单体幅宽35cm及以上，3-4铧翻转犁</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单体幅宽≥35cm；铧体个数3-4铧</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单轴1000-1500mm旋耕机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单轴；1000mm≤耕幅＜1500mm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单轴1500-2000mm旋耕机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单轴；1500mm≤耕幅＜2000mm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单轴2000-2500mm旋耕机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单轴；2000mm≤耕幅＜2500mm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单轴2500mm及以上旋耕机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单轴；耕幅≥2500mm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1200mm及以上履带自走式旋耕机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形式：履带自走式；耕幅≥1200mm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单轴700-1000mm旋耕机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单轴；700mm≤耕幅＜1000mm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双轴1000-1500mm旋耕机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双轴；1000mm≤耕幅＜1500mm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双轴1500-2000mm旋耕机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双轴；1500mm≤耕幅＜2000mm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双轴2000-2500mm旋耕机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双轴；2000mm≤耕幅＜2500mm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旋耕机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双轴2500mm及以上旋耕机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双轴；耕幅≥2500mm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耕整机（水田、旱田）</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功率4kW以下耕整机（水田、旱田）</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配套功率＜4kW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耕整机（水田、旱田）</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功率4kW及以上耕整机（水田、旱田）</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配套功率≥4kW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微耕机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功率4kW以下微耕机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配套功率＜4kW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微耕机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功率4kW及以上微耕机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配套功率≥4kW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田园管理机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功率4kW及以上田园管理机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配套功率≥4kW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开沟机（器）</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开沟深度50cm以下配套轮式拖拉机开沟机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配套轮式拖拉机；开沟深度＜50cm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深松机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4-5铲深松机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深松部件4-5个</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深松机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6铲及以上深松机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深松部件6个及以上</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深松机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4-5铲振动式、全方位式深松机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振动或全方位式；深松部件4-5个</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联合整地机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2-2.5m深松联合整地机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2m≤作业幅宽＜2.5m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整地机械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驱动耙</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2m以下驱动耙</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作业幅宽＜2m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整地机械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驱动耙</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2-3m驱动耙</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2m≤作业幅宽＜3m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整地机械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起垄机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微耕机、手扶拖拉机配套起垄机（器）</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配套微耕机、手扶拖拉机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整地机械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起垄机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1-2m起垄机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1m≤作业幅宽＜2m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耕整地机械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整地机械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起垄机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2-4m起垄机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2m≤作业幅宽＜4m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播种机械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根茎类种子播种机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2-3行根茎类种子播种机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2行≤播种行数≤3行</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播种机械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水稻（水旱）直播机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8行及以上水稻（水旱）直播机，牵引式</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8行及以上，牵引式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播种机械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水稻（水旱）直播机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8行及以上，自走四轮乘坐式水稻（水旱）直播机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8行及以上，自走四轮乘坐式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育苗机械设备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秧盘播种成套设备（含床土处理）</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生产率200-500(盘/h)秧盘播种成套设备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含铺底土、播种、洒水、覆土功能；200(盘/h)≤生产率＜500(盘/h)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育苗机械设备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秧盘播种成套设备（含床土处理）</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生产率500(盘/h)及以上秧盘播种成套设备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含铺底土、播种、洒水、覆土功能；生产率≥500(盘/h)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育苗机械设备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秧盘播种成套设备（含床土处理）</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床土处理设备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床土处理设备</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育苗机械设备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种子处理设备（采摘、调制、浮选、浸种、催芽、脱芒等）</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箱体式全自动温控，喷淋式种子催芽机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生产率≥400</w:t>
            </w:r>
            <w:r>
              <w:rPr>
                <w:rStyle w:val="23"/>
                <w:rFonts w:hAnsi="仿宋_GB2312"/>
                <w:sz w:val="18"/>
                <w:szCs w:val="18"/>
              </w:rPr>
              <w:t>㎏</w:t>
            </w:r>
            <w:r>
              <w:rPr>
                <w:rStyle w:val="22"/>
                <w:rFonts w:hAnsi="仿宋_GB2312"/>
                <w:sz w:val="18"/>
                <w:szCs w:val="18"/>
              </w:rPr>
              <w:t>/每批</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4行手扶步进式水稻插秧机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手扶步进式；4行</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6行及以上手扶步进式水稻插秧机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手扶步进式；6行及以上</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6行及以上独轮乘坐式水稻插秧机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独轮乘坐式；6行及以上</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4行四轮乘坐式水稻插秧机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四轮乘坐式；4行</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6-7行四轮乘坐式水稻插秧机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四轮乘坐式；6-7行</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水稻插秧机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8行及以上四轮乘坐式水稻插秧机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四轮乘坐式；8行及以上</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41580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栽植机械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甘蔗种植机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甘蔗联合种植机(90马力≤配套动力＜120马力）</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开行、切种、放种、消毒、施肥、覆土、淋水、盖膜、镇压联合作业，种植行数：2-3行，90≤配套动力＜120马力，轮式拖拉机，有效装载量1.5吨以上，悬挂式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种植施肥机械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地膜机械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地膜覆盖机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作业幅宽在120cm及以上的普通地膜覆盖机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机引式，作业幅宽≥120cm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动力喷雾机（含担架式、推车式机动喷雾机）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动力喷雾机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喷杆式喷雾机（含牵引式、自走式、悬挂式喷杆喷雾机）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12m以下悬挂及牵引式喷杆喷雾机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喷幅＜12m；形式：悬挂及牵引式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喷杆式喷雾机（含牵引式、自走式、悬挂式喷杆喷雾机）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12-18m悬挂及牵引式喷杆喷雾机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12m≤喷幅＜18m；形式：悬挂及牵引式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喷杆式喷雾机（含牵引式、自走式、悬挂式喷杆喷雾机）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18m及以上悬挂及牵引式喷杆喷雾机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喷幅≥18m；形式：悬挂及牵引式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喷杆式喷雾机（含牵引式、自走式、悬挂式喷杆喷雾机）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18马力以下自走式喷杆喷雾机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功率＜18马力；形式：自走式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喷杆式喷雾机（含牵引式、自走式、悬挂式喷杆喷雾机）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18-50马力自走式喷杆喷雾机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18马力≤功率＜50马力；形式：自走式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风送式喷雾机（含自走式、牵引式风送喷雾机）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药箱容积≥300L；喷幅20-35m</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自走式，药箱容积≥300L，20m≤喷幅＜35m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风送式喷雾机（含自走式、牵引式风送喷雾机）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药箱容积≥300L；喷幅≥35m自走式</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自走式，药箱容积≥300L；喷幅≥35m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植保机械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风送式喷雾机（含自走式、牵引式风送喷雾机）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药箱容积≥1000L，喷幅半径≥6m，牵引式</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牵引式,药箱容积≥1000L，喷幅半径≥6m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修剪机械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茶树修剪机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单人手提式茶树修剪机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自带动力；单人操作；作业幅宽＜1m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修剪机械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茶树修剪机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双人平行式茶树修剪机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自带动力；双人操作；作业幅宽≥1m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田间管理机械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中耕机械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培土机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配套动力功率≥3.5kW的培土机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配套动力功率≥3.5kW,离合器；旋耕变速箱；齿轮或链条传动，旋耕刀，扶手可调，传动装置、 底盘、 培土装置、行走轮</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0.3-0.6kg/s自走履带式谷物联合收割机（全喂入）；包含0.3-1.0kg/s自走履带式水稻联合收割机（全喂入）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0.3kg/s≤喂入量＜0.6kg/s ；自走履带式；喂入方式：全喂入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0.6-1kg/s自走履带式谷物联合收割机（全喂入）；包含1-1.5kg/s自走履带式水稻联合收割机（全喂入）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0.6kg/s≤喂入量＜1kg/s ；自走履带式；喂入方式：全喂入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1-1.5kg/s自走履带式谷物联合收割机（全喂入）；包含1.5-2.1kg/s自走履带式水稻联合收割机（全喂入）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1kg/s≤喂入量＜1.5kg/s；自走履带式；喂入方式：全喂入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1.5-2.1kg/s自走履带式谷物联合收割机（全喂入）；包含2.1-3kg/s自走履带式水稻联合收割机（全喂入）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1.5kg/s≤喂入量＜2.1kg/s；自走履带式；喂入方式：全喂入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2.1-3kg/s自走履带式谷物联合收割机（全喂入）；包含3-4kg/s自走履带式水稻联合收割机（全喂入）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2.1kg/s≤喂入量＜3kg/s；自走履带式；喂入方式：全喂入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3-4kg/s自走履带式谷物联合收割机（全喂入）；包含4kg/s及以上自走履带式水稻联合收割机（全喂入）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3kg/s≤喂入量＜4kg/s；自走履带式；喂入方式：全喂入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自走履带式谷物联合收割机（全喂入）</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4kg/s及以上自走履带式谷物联合收割机（全喂入）</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喂入量≥4kg/s；自走履带式；喂入方式：全喂入</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半喂入联合收割机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2行及以上、13-35马力的半喂入联合收割机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收获行数：2行及以上；喂入方式：半喂入；13≤功率&lt;35马力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半喂入联合收割机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3行35马力及以上半喂入联合收割机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收获行数：3行；喂入方式：半喂入；功率≥35马力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谷物收获机械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半喂入联合收割机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4行及以上35马力及以上半喂入联合收割机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收获行数≥4行；喂入方式：半喂入；功率≥35马力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花卉（茶叶）采收机械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采茶机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单人采茶机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单人操作</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花卉（茶叶）采收机械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采茶机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双人采茶机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双人操作</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籽粒作物收获机械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花生收获机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联合收获机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含挖掘、分离、摘过、集箱等功能。</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籽粒作物收获机械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花生收获机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花生摘果机，配套动力11kW及以上</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花生摘果机，配套动力≥11kW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薯类收获机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0.7-1m分段式薯类收获机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分段收获；0.7m≤作业幅宽＜1m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薯类收获机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1-1.5m分段式薯类收获机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分段收获；1m≤作业幅宽＜1.5m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薯类收获机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1.5m及以上分段式薯类收获机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分段收获；作业幅宽≥1.5m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90-100千瓦甘蔗联合收割机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甘蔗联合收割机,90kW≤功率&lt;100kW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100千瓦及以上甘蔗联合收获机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甘蔗联合收获机,功率≥100kW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根茎作物收获机械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甘蔗割铺机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甘蔗割铺机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甘蔗割铺机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青饲料收获机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260cm及以上自走圆盘式青饲料收获机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自走圆盘式；割幅≥260cm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捡拾压捆机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1.2-1.7m捡拾压捆机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1.2m≤捡拾宽度＜1.7m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捡拾压捆机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1.7-2.2m捡拾压捆机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1.7m≤捡拾宽度＜2.2m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饲料作物收获机械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捡拾压捆机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2.2m及以上捡拾压捆机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捡拾宽度≥2.2m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茎秆收集处理机械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秸秆粉碎还田机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1m以下秸秆粉碎还田机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作业幅宽＜1m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茎秆收集处理机械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秸秆粉碎还田机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1-1.5m秸秆粉碎还田机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1m≤作业幅宽＜1.5m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茎秆收集处理机械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秸秆粉碎还田机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1.5-2m秸秆粉碎还田机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1.5m≤作业幅宽＜2m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茎秆收集处理机械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秸秆粉碎还田机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2-2.5m秸秆粉碎还田机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2m≤作业幅宽＜2.5m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茎秆收集处理机械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秸秆粉碎还田机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2.5m及以上秸秆粉碎还田机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作业幅宽≥2.5m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脱粒机械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稻麦脱粒机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生产率300kg/h以下稻麦脱粒机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生产率＜300kg/h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脱粒机械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稻麦脱粒机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生产率300kg/h及以上稻麦脱粒机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生产率≥300kg/h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清选机械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粮食清选机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普通光电大米色选机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应用传统光电探测器技术</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清选机械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粮食清选机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300单元以下CCD图像传感器大米色选机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色选机执行单元数＜300；应用CCD图像传感器技术</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清选机械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粮食清选机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300单元及以上CCD图像传感器大米色选机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色选机执行单元数≥300；应用CCD图像传感器技术</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清选机械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粮食清选机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300单元以下CCD图像传感器杂粮色选机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色选机执行单元数＜300；应用CCD图像传感器技术</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清选机械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粮食清选机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300单元及以上CCD图像传感器杂粮色选机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色选机执行单元数≥300；应用CCD图像传感器技术</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批处理量4t以下循环式粮食烘干机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批处理量＜4t；循环式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批处理量4-10t循环式粮食烘干机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4t≤批处理量＜10t；循环式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批处理量10-20t循环式粮食烘干机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10t≤批处理量＜20t；循环式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29340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批处理量20-30t循环式粮食烘干机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20t≤批处理量＜30t；循环式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批处理量30t及以上循环式粮食烘干机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批处理量≥30t；循环式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粮食烘干机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处理量100t/d及以上连续式粮食烘干机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处理量≥100t/d；连续式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容积5-15m</w:t>
            </w:r>
            <w:r>
              <w:rPr>
                <w:rFonts w:hint="eastAsia" w:ascii="宋体" w:hAnsi="宋体" w:eastAsia="宋体" w:cs="宋体"/>
                <w:color w:val="000000"/>
                <w:kern w:val="0"/>
                <w:sz w:val="18"/>
                <w:szCs w:val="18"/>
              </w:rPr>
              <w:t>³</w:t>
            </w:r>
            <w:r>
              <w:rPr>
                <w:rFonts w:hint="eastAsia" w:ascii="仿宋_GB2312" w:hAnsi="仿宋_GB2312" w:cs="仿宋_GB2312"/>
                <w:color w:val="000000"/>
                <w:kern w:val="0"/>
                <w:sz w:val="18"/>
                <w:szCs w:val="18"/>
              </w:rPr>
              <w:t>果蔬烘干机（整体脱水）</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5m</w:t>
            </w:r>
            <w:r>
              <w:rPr>
                <w:rStyle w:val="23"/>
                <w:rFonts w:hAnsi="仿宋_GB2312"/>
                <w:sz w:val="18"/>
                <w:szCs w:val="18"/>
              </w:rPr>
              <w:t>³</w:t>
            </w:r>
            <w:r>
              <w:rPr>
                <w:rStyle w:val="22"/>
                <w:rFonts w:hAnsi="仿宋_GB2312"/>
                <w:sz w:val="18"/>
                <w:szCs w:val="18"/>
              </w:rPr>
              <w:t>≤容积＜15m</w:t>
            </w:r>
            <w:r>
              <w:rPr>
                <w:rStyle w:val="23"/>
                <w:rFonts w:hAnsi="仿宋_GB2312"/>
                <w:sz w:val="18"/>
                <w:szCs w:val="18"/>
              </w:rPr>
              <w:t>³</w:t>
            </w:r>
            <w:r>
              <w:rPr>
                <w:rStyle w:val="22"/>
                <w:rFonts w:hAnsi="仿宋_GB2312"/>
                <w:sz w:val="18"/>
                <w:szCs w:val="18"/>
              </w:rPr>
              <w:t>；整体脱水</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容积15m</w:t>
            </w:r>
            <w:r>
              <w:rPr>
                <w:rStyle w:val="23"/>
                <w:rFonts w:hAnsi="仿宋_GB2312"/>
                <w:sz w:val="18"/>
                <w:szCs w:val="18"/>
              </w:rPr>
              <w:t>³</w:t>
            </w:r>
            <w:r>
              <w:rPr>
                <w:rStyle w:val="22"/>
                <w:rFonts w:hAnsi="仿宋_GB2312"/>
                <w:sz w:val="18"/>
                <w:szCs w:val="18"/>
              </w:rPr>
              <w:t>及以上果蔬烘干机（整体脱水）</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容积≥15m</w:t>
            </w:r>
            <w:r>
              <w:rPr>
                <w:rStyle w:val="23"/>
                <w:rFonts w:hAnsi="仿宋_GB2312"/>
                <w:sz w:val="18"/>
                <w:szCs w:val="18"/>
              </w:rPr>
              <w:t>³</w:t>
            </w:r>
            <w:r>
              <w:rPr>
                <w:rStyle w:val="22"/>
                <w:rFonts w:hAnsi="仿宋_GB2312"/>
                <w:sz w:val="18"/>
                <w:szCs w:val="18"/>
              </w:rPr>
              <w:t>；整体脱水</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热风炉</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供热量600-800MJ/h</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600MJ/h≤供热量＜800MJ/h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干燥机械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热风炉</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供热量大于1200MJ/h</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供热量≥1200MJ/h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仓储机械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简易保鲜储藏设备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库容50-100m</w:t>
            </w:r>
            <w:r>
              <w:rPr>
                <w:rFonts w:hint="eastAsia" w:ascii="宋体" w:hAnsi="宋体" w:eastAsia="宋体" w:cs="宋体"/>
                <w:color w:val="000000"/>
                <w:kern w:val="0"/>
                <w:sz w:val="18"/>
                <w:szCs w:val="18"/>
              </w:rPr>
              <w:t>³</w:t>
            </w:r>
            <w:r>
              <w:rPr>
                <w:rFonts w:hint="eastAsia" w:ascii="仿宋_GB2312" w:hAnsi="仿宋_GB2312" w:cs="仿宋_GB2312"/>
                <w:color w:val="000000"/>
                <w:kern w:val="0"/>
                <w:sz w:val="18"/>
                <w:szCs w:val="18"/>
              </w:rPr>
              <w:t>简易保鲜储藏设备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50m</w:t>
            </w:r>
            <w:r>
              <w:rPr>
                <w:rStyle w:val="23"/>
                <w:rFonts w:hAnsi="仿宋_GB2312"/>
                <w:sz w:val="18"/>
                <w:szCs w:val="18"/>
              </w:rPr>
              <w:t>³</w:t>
            </w:r>
            <w:r>
              <w:rPr>
                <w:rStyle w:val="22"/>
                <w:rFonts w:hAnsi="仿宋_GB2312"/>
                <w:sz w:val="18"/>
                <w:szCs w:val="18"/>
              </w:rPr>
              <w:t>≤库容＜100m</w:t>
            </w:r>
            <w:r>
              <w:rPr>
                <w:rStyle w:val="23"/>
                <w:rFonts w:hAnsi="仿宋_GB2312"/>
                <w:sz w:val="18"/>
                <w:szCs w:val="18"/>
              </w:rPr>
              <w:t>³</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115元/m</w:t>
            </w:r>
            <w:r>
              <w:rPr>
                <w:rStyle w:val="23"/>
                <w:rFonts w:hAnsi="仿宋_GB2312"/>
                <w:sz w:val="18"/>
                <w:szCs w:val="18"/>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仓储机械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简易保鲜储藏设备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库容100-200m</w:t>
            </w:r>
            <w:r>
              <w:rPr>
                <w:rFonts w:hint="eastAsia" w:ascii="宋体" w:hAnsi="宋体" w:eastAsia="宋体" w:cs="宋体"/>
                <w:color w:val="000000"/>
                <w:kern w:val="0"/>
                <w:sz w:val="18"/>
                <w:szCs w:val="18"/>
              </w:rPr>
              <w:t>³</w:t>
            </w:r>
            <w:r>
              <w:rPr>
                <w:rFonts w:hint="eastAsia" w:ascii="仿宋_GB2312" w:hAnsi="仿宋_GB2312" w:cs="仿宋_GB2312"/>
                <w:color w:val="000000"/>
                <w:kern w:val="0"/>
                <w:sz w:val="18"/>
                <w:szCs w:val="18"/>
              </w:rPr>
              <w:t>简易保鲜储藏设备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100m</w:t>
            </w:r>
            <w:r>
              <w:rPr>
                <w:rStyle w:val="23"/>
                <w:rFonts w:hAnsi="仿宋_GB2312"/>
                <w:sz w:val="18"/>
                <w:szCs w:val="18"/>
              </w:rPr>
              <w:t>³</w:t>
            </w:r>
            <w:r>
              <w:rPr>
                <w:rStyle w:val="22"/>
                <w:rFonts w:hAnsi="仿宋_GB2312"/>
                <w:sz w:val="18"/>
                <w:szCs w:val="18"/>
              </w:rPr>
              <w:t>≤库容＜200m</w:t>
            </w:r>
            <w:r>
              <w:rPr>
                <w:rStyle w:val="23"/>
                <w:rFonts w:hAnsi="仿宋_GB2312"/>
                <w:sz w:val="18"/>
                <w:szCs w:val="18"/>
              </w:rPr>
              <w:t>³</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110元/m</w:t>
            </w:r>
            <w:r>
              <w:rPr>
                <w:rStyle w:val="23"/>
                <w:rFonts w:hAnsi="仿宋_GB2312"/>
                <w:sz w:val="18"/>
                <w:szCs w:val="18"/>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仓储机械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简易保鲜储藏设备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库容200-400m</w:t>
            </w:r>
            <w:r>
              <w:rPr>
                <w:rFonts w:hint="eastAsia" w:ascii="宋体" w:hAnsi="宋体" w:eastAsia="宋体" w:cs="宋体"/>
                <w:color w:val="000000"/>
                <w:kern w:val="0"/>
                <w:sz w:val="18"/>
                <w:szCs w:val="18"/>
              </w:rPr>
              <w:t>³</w:t>
            </w:r>
            <w:r>
              <w:rPr>
                <w:rFonts w:hint="eastAsia" w:ascii="仿宋_GB2312" w:hAnsi="仿宋_GB2312" w:cs="仿宋_GB2312"/>
                <w:color w:val="000000"/>
                <w:kern w:val="0"/>
                <w:sz w:val="18"/>
                <w:szCs w:val="18"/>
              </w:rPr>
              <w:t>简易保鲜储藏设备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200m</w:t>
            </w:r>
            <w:r>
              <w:rPr>
                <w:rStyle w:val="23"/>
                <w:rFonts w:hAnsi="仿宋_GB2312"/>
                <w:sz w:val="18"/>
                <w:szCs w:val="18"/>
              </w:rPr>
              <w:t>³</w:t>
            </w:r>
            <w:r>
              <w:rPr>
                <w:rStyle w:val="22"/>
                <w:rFonts w:hAnsi="仿宋_GB2312"/>
                <w:sz w:val="18"/>
                <w:szCs w:val="18"/>
              </w:rPr>
              <w:t>≤库容＜400m</w:t>
            </w:r>
            <w:r>
              <w:rPr>
                <w:rStyle w:val="23"/>
                <w:rFonts w:hAnsi="仿宋_GB2312"/>
                <w:sz w:val="18"/>
                <w:szCs w:val="18"/>
              </w:rPr>
              <w:t>³</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40元/m</w:t>
            </w:r>
            <w:r>
              <w:rPr>
                <w:rStyle w:val="23"/>
                <w:rFonts w:hAnsi="仿宋_GB2312"/>
                <w:sz w:val="18"/>
                <w:szCs w:val="18"/>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收获后处理机械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仓储机械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简易保鲜储藏设备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库容400m</w:t>
            </w:r>
            <w:r>
              <w:rPr>
                <w:rStyle w:val="23"/>
                <w:rFonts w:hAnsi="仿宋_GB2312"/>
                <w:sz w:val="18"/>
                <w:szCs w:val="18"/>
              </w:rPr>
              <w:t>³</w:t>
            </w:r>
            <w:r>
              <w:rPr>
                <w:rStyle w:val="22"/>
                <w:rFonts w:hAnsi="仿宋_GB2312"/>
                <w:sz w:val="18"/>
                <w:szCs w:val="18"/>
              </w:rPr>
              <w:t>及以上简易保鲜储藏设备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库容≥ 400m</w:t>
            </w:r>
            <w:r>
              <w:rPr>
                <w:rStyle w:val="23"/>
                <w:rFonts w:hAnsi="仿宋_GB2312"/>
                <w:sz w:val="18"/>
                <w:szCs w:val="18"/>
              </w:rPr>
              <w:t>³</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50元/m</w:t>
            </w:r>
            <w:r>
              <w:rPr>
                <w:rStyle w:val="23"/>
                <w:rFonts w:hAnsi="仿宋_GB2312"/>
                <w:sz w:val="18"/>
                <w:szCs w:val="18"/>
              </w:rPr>
              <w:t>³</w:t>
            </w:r>
            <w:r>
              <w:rPr>
                <w:rStyle w:val="22"/>
                <w:rFonts w:hAnsi="仿宋_GB2312"/>
                <w:sz w:val="18"/>
                <w:szCs w:val="18"/>
              </w:rPr>
              <w:t>（上限5万）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碾米机械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碾米机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2.2kW及以上碾米机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功率≥2.2kW，电机1台、碾米装置一套。</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碾米机械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碾米机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7.5kW及以上碾米加工成套设备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功率≥7.5kW，剥壳机一台，清选机一台，碾米装置一套</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水果分级机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机械鲜果分选，生产率3t/h及以上水果分级机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机械鲜果分选；生产率≥3t/h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水果分级机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光电式重量分选，分级数8-16级，生产率3t/h及以上水果分级机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光电式重量分选；8≤分级数＜16；生产率≥3t/h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水果打蜡机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生产率≥3t/h的打蜡机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生产率≥3t/h；提升机构、清洗烘干机、打蜡机；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果蔬清洗机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1.0-2.5t/h水果清洗机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1.0t/h≤生产率＜2.5t/h水果清洗机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果蔬清洗机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5t/h及以上水果清洗机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生产率≥5t/h水果清洗机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茶叶杀青机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滚筒直径30-40cm杀青机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30cm≤滚筒直径＜40cm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茶叶杀青机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滚筒直径40-60cm杀青机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40cm≤滚筒直径＜60cm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茶叶杀青机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滚筒直径60cm及以上杀青机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滚筒直径≥60cm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茶叶杀青机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燃气式杀青机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杀青方式：燃气式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茶叶杀青机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其它杀青机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杀青方式：蒸汽、微波、电磁、高温热风</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茶叶揉捻机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揉筒直径35cm以下揉捻机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揉筒直径＜35cm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茶叶揉捻机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揉筒直径35-50cm揉捻机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35cm≤揉筒直径＜50cm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茶叶揉捻机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揉筒直径50-60cm揉捻机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50cm≤揉筒直径＜60cm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茶叶揉捻机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揉筒直径60cm及以上揉捻机（含揉捻机组）</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揉筒直径≥60cm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非全自动茶叶炒干机（含扁形茶炒制机）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非全自动茶叶炒干机、扁形茶炒制机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锅槽面积0.5-1</w:t>
            </w:r>
            <w:r>
              <w:rPr>
                <w:rFonts w:hint="eastAsia" w:ascii="宋体" w:hAnsi="宋体" w:eastAsia="宋体" w:cs="宋体"/>
                <w:color w:val="000000"/>
                <w:kern w:val="0"/>
                <w:sz w:val="18"/>
                <w:szCs w:val="18"/>
              </w:rPr>
              <w:t>㎡</w:t>
            </w:r>
            <w:r>
              <w:rPr>
                <w:rFonts w:hint="eastAsia" w:ascii="仿宋_GB2312" w:hAnsi="仿宋_GB2312" w:cs="仿宋_GB2312"/>
                <w:color w:val="000000"/>
                <w:kern w:val="0"/>
                <w:sz w:val="18"/>
                <w:szCs w:val="18"/>
              </w:rPr>
              <w:t>理条烘干机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理条烘干机；0.5</w:t>
            </w:r>
            <w:r>
              <w:rPr>
                <w:rStyle w:val="23"/>
                <w:rFonts w:hAnsi="仿宋_GB2312"/>
                <w:sz w:val="18"/>
                <w:szCs w:val="18"/>
              </w:rPr>
              <w:t>㎡</w:t>
            </w:r>
            <w:r>
              <w:rPr>
                <w:rStyle w:val="22"/>
                <w:rFonts w:hAnsi="仿宋_GB2312"/>
                <w:sz w:val="18"/>
                <w:szCs w:val="18"/>
              </w:rPr>
              <w:t>≤锅槽面积＜1</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锅槽面积1-2.5</w:t>
            </w:r>
            <w:r>
              <w:rPr>
                <w:rFonts w:hint="eastAsia" w:ascii="宋体" w:hAnsi="宋体" w:eastAsia="宋体" w:cs="宋体"/>
                <w:color w:val="000000"/>
                <w:kern w:val="0"/>
                <w:sz w:val="18"/>
                <w:szCs w:val="18"/>
              </w:rPr>
              <w:t>㎡</w:t>
            </w:r>
            <w:r>
              <w:rPr>
                <w:rFonts w:hint="eastAsia" w:ascii="仿宋_GB2312" w:hAnsi="仿宋_GB2312" w:cs="仿宋_GB2312"/>
                <w:color w:val="000000"/>
                <w:kern w:val="0"/>
                <w:sz w:val="18"/>
                <w:szCs w:val="18"/>
              </w:rPr>
              <w:t>理条烘干机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理条烘干机；1</w:t>
            </w:r>
            <w:r>
              <w:rPr>
                <w:rStyle w:val="23"/>
                <w:rFonts w:hAnsi="仿宋_GB2312"/>
                <w:sz w:val="18"/>
                <w:szCs w:val="18"/>
              </w:rPr>
              <w:t>㎡</w:t>
            </w:r>
            <w:r>
              <w:rPr>
                <w:rStyle w:val="22"/>
                <w:rFonts w:hAnsi="仿宋_GB2312"/>
                <w:sz w:val="18"/>
                <w:szCs w:val="18"/>
              </w:rPr>
              <w:t>≤锅槽面积＜2.5</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1-2锅（槽）全自动茶叶炒干机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全自动控制作业；1-2锅（槽）</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烘干面积10</w:t>
            </w:r>
            <w:r>
              <w:rPr>
                <w:rStyle w:val="23"/>
                <w:rFonts w:hAnsi="仿宋_GB2312"/>
                <w:sz w:val="18"/>
                <w:szCs w:val="18"/>
              </w:rPr>
              <w:t>㎡</w:t>
            </w:r>
            <w:r>
              <w:rPr>
                <w:rStyle w:val="22"/>
                <w:rFonts w:hAnsi="仿宋_GB2312"/>
                <w:sz w:val="18"/>
                <w:szCs w:val="18"/>
              </w:rPr>
              <w:t>以下连续自动式茶叶烘干机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连续自动式茶叶烘干机；烘干面积＜10</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烘干面积10</w:t>
            </w:r>
            <w:r>
              <w:rPr>
                <w:rStyle w:val="23"/>
                <w:rFonts w:hAnsi="仿宋_GB2312"/>
                <w:sz w:val="18"/>
                <w:szCs w:val="18"/>
              </w:rPr>
              <w:t>㎡</w:t>
            </w:r>
            <w:r>
              <w:rPr>
                <w:rStyle w:val="22"/>
                <w:rFonts w:hAnsi="仿宋_GB2312"/>
                <w:sz w:val="18"/>
                <w:szCs w:val="18"/>
              </w:rPr>
              <w:t>及以上连续自动式茶叶烘干机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连续自动式茶叶烘干机；烘干面积≥10</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烘干面积10</w:t>
            </w:r>
            <w:r>
              <w:rPr>
                <w:rStyle w:val="23"/>
                <w:rFonts w:hAnsi="仿宋_GB2312"/>
                <w:sz w:val="18"/>
                <w:szCs w:val="18"/>
              </w:rPr>
              <w:t>㎡</w:t>
            </w:r>
            <w:r>
              <w:rPr>
                <w:rStyle w:val="22"/>
                <w:rFonts w:hAnsi="仿宋_GB2312"/>
                <w:sz w:val="18"/>
                <w:szCs w:val="18"/>
              </w:rPr>
              <w:t>以下百叶式茶叶烘干机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百叶式茶叶烘干机；烘干面积＜10</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茶叶炒（烘）干机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烘干面积10</w:t>
            </w:r>
            <w:r>
              <w:rPr>
                <w:rStyle w:val="23"/>
                <w:rFonts w:hAnsi="仿宋_GB2312"/>
                <w:sz w:val="18"/>
                <w:szCs w:val="18"/>
              </w:rPr>
              <w:t>㎡</w:t>
            </w:r>
            <w:r>
              <w:rPr>
                <w:rStyle w:val="22"/>
                <w:rFonts w:hAnsi="仿宋_GB2312"/>
                <w:sz w:val="18"/>
                <w:szCs w:val="18"/>
              </w:rPr>
              <w:t>及以上百叶式茶叶烘干机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百叶式茶叶烘干机；烘干面积≥10</w:t>
            </w:r>
            <w:r>
              <w:rPr>
                <w:rStyle w:val="23"/>
                <w:rFonts w:hAnsi="仿宋_GB2312"/>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茶叶筛选机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通道数为63-127茶叶色选机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茶叶色选机，63≤通道数＜128</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茶叶筛选机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通道数128及以上茶叶色选机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茶叶色选机，通道数≥128</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农产品初加工机械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茶叶加工机械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茶叶筛选机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其他茶叶筛选机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其他茶叶筛选机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排灌机械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水泵</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潜水泵</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2.2kW以下潜水泵</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电机功率＜2.2kW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排灌机械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水泵</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潜水泵</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2.2-7.5kW潜水泵</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2.2kW≤电机功率＜7.5kW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排灌机械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水泵</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潜水泵</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7.5-9.2kW潜水泵</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7.5kW≤电机功率＜9.2kW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排灌机械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水泵</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潜水泵</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9.2-18.5kW潜水泵</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9.2kW≤电机功率＜18.5kW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排灌机械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喷灌机械设备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喷灌机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汽油机轻小型机组式喷灌机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汽油机；轻小型机组式喷灌机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铡草机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1-3t/h铡草机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1t/h≤生产率＜3t/h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铡草机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3-6t/h铡草机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3t/h≤生产率＜6t/h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铡草机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6-9t/h铡草机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6t/h≤生产率＜9t/h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铡草机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9-15t/h铡草机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9t/h≤生产率＜15t/h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揉丝机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1t/h以下揉丝机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生产率＜1t/h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揉丝机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1-2t/h揉丝机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1t/h≤生产率＜2t/h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揉丝机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2-4t/h揉丝机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2t/h≤生产率＜4t/h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揉丝机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6-10t/h揉丝机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6t/h≤生产率＜10t/h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揉丝机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10-15t/h揉丝机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10t/h≤生产率＜15t/h</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饲料粉碎机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400mm以下饲料粉碎机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转子直径＜400mm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饲料粉碎机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400-550mm饲料粉碎机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400mm≤转子直径＜550mm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饲料混合机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w:t>
            </w:r>
            <w:r>
              <w:rPr>
                <w:rStyle w:val="21"/>
                <w:rFonts w:hAnsi="仿宋_GB2312"/>
                <w:sz w:val="18"/>
                <w:szCs w:val="18"/>
              </w:rPr>
              <w:t>3</w:t>
            </w:r>
            <w:r>
              <w:rPr>
                <w:rStyle w:val="22"/>
                <w:rFonts w:hAnsi="仿宋_GB2312"/>
                <w:sz w:val="18"/>
                <w:szCs w:val="18"/>
              </w:rPr>
              <w:t>及以上立式混合机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混合室容积≥2m</w:t>
            </w:r>
            <w:r>
              <w:rPr>
                <w:rStyle w:val="21"/>
                <w:rFonts w:hAnsi="仿宋_GB2312"/>
                <w:sz w:val="18"/>
                <w:szCs w:val="18"/>
              </w:rPr>
              <w:t>3</w:t>
            </w:r>
            <w:r>
              <w:rPr>
                <w:rStyle w:val="22"/>
                <w:rFonts w:hAnsi="仿宋_GB2312"/>
                <w:sz w:val="18"/>
                <w:szCs w:val="18"/>
              </w:rPr>
              <w:t>；立式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饲料混合机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w:t>
            </w:r>
            <w:r>
              <w:rPr>
                <w:rStyle w:val="21"/>
                <w:rFonts w:hAnsi="仿宋_GB2312"/>
                <w:sz w:val="18"/>
                <w:szCs w:val="18"/>
              </w:rPr>
              <w:t>3</w:t>
            </w:r>
            <w:r>
              <w:rPr>
                <w:rStyle w:val="22"/>
                <w:rFonts w:hAnsi="仿宋_GB2312"/>
                <w:sz w:val="18"/>
                <w:szCs w:val="18"/>
              </w:rPr>
              <w:t>以下立式混合机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混合室容积＜2m</w:t>
            </w:r>
            <w:r>
              <w:rPr>
                <w:rStyle w:val="21"/>
                <w:rFonts w:hAnsi="仿宋_GB2312"/>
                <w:sz w:val="18"/>
                <w:szCs w:val="18"/>
              </w:rPr>
              <w:t>3</w:t>
            </w:r>
            <w:r>
              <w:rPr>
                <w:rStyle w:val="22"/>
                <w:rFonts w:hAnsi="仿宋_GB2312"/>
                <w:sz w:val="18"/>
                <w:szCs w:val="18"/>
              </w:rPr>
              <w:t>；立式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饲料混合机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w:t>
            </w:r>
            <w:r>
              <w:rPr>
                <w:rStyle w:val="21"/>
                <w:rFonts w:hAnsi="仿宋_GB2312"/>
                <w:sz w:val="18"/>
                <w:szCs w:val="18"/>
              </w:rPr>
              <w:t>3</w:t>
            </w:r>
            <w:r>
              <w:rPr>
                <w:rStyle w:val="22"/>
                <w:rFonts w:hAnsi="仿宋_GB2312"/>
                <w:sz w:val="18"/>
                <w:szCs w:val="18"/>
              </w:rPr>
              <w:t>以下卧式（单轴）混合机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混合室容积＜2m</w:t>
            </w:r>
            <w:r>
              <w:rPr>
                <w:rStyle w:val="21"/>
                <w:rFonts w:hAnsi="仿宋_GB2312"/>
                <w:sz w:val="18"/>
                <w:szCs w:val="18"/>
              </w:rPr>
              <w:t>3</w:t>
            </w:r>
            <w:r>
              <w:rPr>
                <w:rStyle w:val="22"/>
                <w:rFonts w:hAnsi="仿宋_GB2312"/>
                <w:sz w:val="18"/>
                <w:szCs w:val="18"/>
              </w:rPr>
              <w:t>；卧式；单轴</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饲料混合机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2m</w:t>
            </w:r>
            <w:r>
              <w:rPr>
                <w:rStyle w:val="21"/>
                <w:rFonts w:hAnsi="仿宋_GB2312"/>
                <w:sz w:val="18"/>
                <w:szCs w:val="18"/>
              </w:rPr>
              <w:t>3</w:t>
            </w:r>
            <w:r>
              <w:rPr>
                <w:rStyle w:val="22"/>
                <w:rFonts w:hAnsi="仿宋_GB2312"/>
                <w:sz w:val="18"/>
                <w:szCs w:val="18"/>
              </w:rPr>
              <w:t>及以上卧式（单轴）混合机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混合室容积≥2m</w:t>
            </w:r>
            <w:r>
              <w:rPr>
                <w:rStyle w:val="21"/>
                <w:rFonts w:hAnsi="仿宋_GB2312"/>
                <w:sz w:val="18"/>
                <w:szCs w:val="18"/>
              </w:rPr>
              <w:t>3</w:t>
            </w:r>
            <w:r>
              <w:rPr>
                <w:rStyle w:val="22"/>
                <w:rFonts w:hAnsi="仿宋_GB2312"/>
                <w:sz w:val="18"/>
                <w:szCs w:val="18"/>
              </w:rPr>
              <w:t>；卧式；单轴</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饲料混合机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卧式（双轴）混合机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卧式；双轴</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饲料搅拌机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4-9m</w:t>
            </w:r>
            <w:r>
              <w:rPr>
                <w:rStyle w:val="21"/>
                <w:rFonts w:hAnsi="仿宋_GB2312"/>
                <w:sz w:val="18"/>
                <w:szCs w:val="18"/>
              </w:rPr>
              <w:t>3</w:t>
            </w:r>
            <w:r>
              <w:rPr>
                <w:rStyle w:val="22"/>
                <w:rFonts w:hAnsi="仿宋_GB2312"/>
                <w:sz w:val="18"/>
                <w:szCs w:val="18"/>
              </w:rPr>
              <w:t>饲料全混合日粮制备机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4m</w:t>
            </w:r>
            <w:r>
              <w:rPr>
                <w:rStyle w:val="21"/>
                <w:rFonts w:hAnsi="仿宋_GB2312"/>
                <w:sz w:val="18"/>
                <w:szCs w:val="18"/>
              </w:rPr>
              <w:t>3</w:t>
            </w:r>
            <w:r>
              <w:rPr>
                <w:rStyle w:val="22"/>
                <w:rFonts w:hAnsi="仿宋_GB2312"/>
                <w:sz w:val="18"/>
                <w:szCs w:val="18"/>
              </w:rPr>
              <w:t>≤搅拌室容积＜9m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饲料搅拌机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9-12m</w:t>
            </w:r>
            <w:r>
              <w:rPr>
                <w:rStyle w:val="21"/>
                <w:rFonts w:hAnsi="仿宋_GB2312"/>
                <w:sz w:val="18"/>
                <w:szCs w:val="18"/>
              </w:rPr>
              <w:t>3</w:t>
            </w:r>
            <w:r>
              <w:rPr>
                <w:rStyle w:val="22"/>
                <w:rFonts w:hAnsi="仿宋_GB2312"/>
                <w:sz w:val="18"/>
                <w:szCs w:val="18"/>
              </w:rPr>
              <w:t>饲料全混合日粮制备机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9m</w:t>
            </w:r>
            <w:r>
              <w:rPr>
                <w:rStyle w:val="21"/>
                <w:rFonts w:hAnsi="仿宋_GB2312"/>
                <w:sz w:val="18"/>
                <w:szCs w:val="18"/>
              </w:rPr>
              <w:t>3</w:t>
            </w:r>
            <w:r>
              <w:rPr>
                <w:rStyle w:val="22"/>
                <w:rFonts w:hAnsi="仿宋_GB2312"/>
                <w:sz w:val="18"/>
                <w:szCs w:val="18"/>
              </w:rPr>
              <w:t>≤搅拌室容积＜12m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饲料（草）</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饲料搅拌机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12m</w:t>
            </w:r>
            <w:r>
              <w:rPr>
                <w:rStyle w:val="21"/>
                <w:rFonts w:hAnsi="仿宋_GB2312"/>
                <w:sz w:val="18"/>
                <w:szCs w:val="18"/>
              </w:rPr>
              <w:t>3</w:t>
            </w:r>
            <w:r>
              <w:rPr>
                <w:rStyle w:val="22"/>
                <w:rFonts w:hAnsi="仿宋_GB2312"/>
                <w:sz w:val="18"/>
                <w:szCs w:val="18"/>
              </w:rPr>
              <w:t>及以上饲料全混合日粮制备机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搅拌室容积≥12m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孵化机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10000-50000枚孵化机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10000枚≤蛋容量＜50000枚</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孵化机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50000枚及以上孵化机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蛋容量≥50000枚</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喂料机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100-200m索盘式喂（送）料机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索盘式；100m≤送料长度＜200m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喂料机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200m及以上索盘式喂（送）料机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索盘式；送料长度≥200m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喂料机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1.5kW、40m-60m螺旋喂料机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功率≥1.5kW；40m≤输送长度&lt;60m</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喂料机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1.5kW、60m以上螺旋喂料机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功率≥1.5kW；60m≤输送长度</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喂料机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自由采食装置</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自由采食装置</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清粪机（车）</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带式清粪机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鸡舍用带式清粪机，单层每层面积≥100m</w:t>
            </w:r>
            <w:r>
              <w:rPr>
                <w:rStyle w:val="21"/>
                <w:rFonts w:hAnsi="仿宋_GB2312"/>
                <w:sz w:val="18"/>
                <w:szCs w:val="18"/>
              </w:rPr>
              <w:t>2</w:t>
            </w:r>
            <w:r>
              <w:rPr>
                <w:rStyle w:val="22"/>
                <w:rFonts w:hAnsi="仿宋_GB2312"/>
                <w:sz w:val="18"/>
                <w:szCs w:val="18"/>
              </w:rPr>
              <w:t>（按每层计算补贴额）。</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畜牧饲养机械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水帘降温设备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水帘降温设备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功率≥1.1kW，配套水帘≥4</w:t>
            </w:r>
            <w:r>
              <w:rPr>
                <w:rFonts w:hint="eastAsia" w:ascii="宋体" w:hAnsi="宋体" w:eastAsia="宋体" w:cs="宋体"/>
                <w:color w:val="000000"/>
                <w:kern w:val="0"/>
                <w:sz w:val="18"/>
                <w:szCs w:val="18"/>
              </w:rPr>
              <w:t>㎡</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挤奶机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14杯组平面式挤奶机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杯组数：14；形式：平面式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挤奶机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16杯组及以上平面式挤奶机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杯组数≥16；形式：平面式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挤奶机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32杯组手动脱杯中置（鱼骨）式挤奶机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杯组数：32；脱杯方式：手动；形式：中置（鱼骨）式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挤奶机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14杯组及以上自动脱杯中置（鱼骨）式挤奶机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杯组数≥14；脱杯方式：自动；形式：中置（鱼骨）式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挤奶机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16杯组及以上自动脱杯并列（转盘）式挤奶机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杯组数≥16；脱杯方式：自动；形式：并列（转盘）式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冷藏罐</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3000-6000L非全自动清洗冷藏罐</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3000L≤容量＜6000L；清洗方式：非全自动清洗</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冷藏罐</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6000L及以上全自动清洗冷藏罐</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容量≥6000L；清洗方式：全自动清洗</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畜产品采集加工机械设备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冷藏罐</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6000L及以上非全自动清洗冷藏罐</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容量≥6000L；清洗方式：非全自动清洗</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增氧机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普通型增氧机、1.5kW及以上水车式增氧机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普通型增氧机、1.5kW及以上水车式增氧机</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增氧机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微孔曝气式增氧机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曝气式增氧机；功率≥1kW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网箱养殖设备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280-1200m</w:t>
            </w:r>
            <w:r>
              <w:rPr>
                <w:rStyle w:val="21"/>
                <w:rFonts w:hAnsi="仿宋_GB2312"/>
                <w:sz w:val="18"/>
                <w:szCs w:val="18"/>
              </w:rPr>
              <w:t>3</w:t>
            </w:r>
            <w:r>
              <w:rPr>
                <w:rStyle w:val="22"/>
                <w:rFonts w:hAnsi="仿宋_GB2312"/>
                <w:sz w:val="18"/>
                <w:szCs w:val="18"/>
              </w:rPr>
              <w:t>简易网箱（带框架、不带浮筒/浮架）</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280m</w:t>
            </w:r>
            <w:r>
              <w:rPr>
                <w:rStyle w:val="21"/>
                <w:rFonts w:hAnsi="仿宋_GB2312"/>
                <w:sz w:val="18"/>
                <w:szCs w:val="18"/>
              </w:rPr>
              <w:t>3</w:t>
            </w:r>
            <w:r>
              <w:rPr>
                <w:rStyle w:val="22"/>
                <w:rFonts w:hAnsi="仿宋_GB2312"/>
                <w:sz w:val="18"/>
                <w:szCs w:val="18"/>
              </w:rPr>
              <w:t>≤容积&lt;1200m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网箱养殖设备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大于1200m</w:t>
            </w:r>
            <w:r>
              <w:rPr>
                <w:rStyle w:val="21"/>
                <w:rFonts w:hAnsi="仿宋_GB2312"/>
                <w:sz w:val="18"/>
                <w:szCs w:val="18"/>
              </w:rPr>
              <w:t>3</w:t>
            </w:r>
            <w:r>
              <w:rPr>
                <w:rStyle w:val="22"/>
                <w:rFonts w:hAnsi="仿宋_GB2312"/>
                <w:sz w:val="18"/>
                <w:szCs w:val="18"/>
              </w:rPr>
              <w:t>简易网箱（带框架、不带浮筒/浮架）</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容积≥1200m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网箱养殖设备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70-210m</w:t>
            </w:r>
            <w:r>
              <w:rPr>
                <w:rStyle w:val="21"/>
                <w:rFonts w:hAnsi="仿宋_GB2312"/>
                <w:sz w:val="18"/>
                <w:szCs w:val="18"/>
              </w:rPr>
              <w:t>3</w:t>
            </w:r>
            <w:r>
              <w:rPr>
                <w:rStyle w:val="22"/>
                <w:rFonts w:hAnsi="仿宋_GB2312"/>
                <w:sz w:val="18"/>
                <w:szCs w:val="18"/>
              </w:rPr>
              <w:t>浮动式网箱（带浮筒、浮架/框架）</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70m</w:t>
            </w:r>
            <w:r>
              <w:rPr>
                <w:rStyle w:val="21"/>
                <w:rFonts w:hAnsi="仿宋_GB2312"/>
                <w:sz w:val="18"/>
                <w:szCs w:val="18"/>
              </w:rPr>
              <w:t>3</w:t>
            </w:r>
            <w:r>
              <w:rPr>
                <w:rStyle w:val="22"/>
                <w:rFonts w:hAnsi="仿宋_GB2312"/>
                <w:sz w:val="18"/>
                <w:szCs w:val="18"/>
              </w:rPr>
              <w:t>≤容积&lt;210m</w:t>
            </w:r>
            <w:r>
              <w:rPr>
                <w:rStyle w:val="21"/>
                <w:rFonts w:hAnsi="仿宋_GB2312"/>
                <w:sz w:val="18"/>
                <w:szCs w:val="18"/>
              </w:rPr>
              <w:t>3</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畜牧水产养殖机械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水产养殖机械</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水体净化处理设备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水体净化处理设备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带增氧功能，且有匀（调）水、加温或消毒功能的水体净化处理设备</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20-25马力两轮驱动拖拉机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20马力≤功率＜25马力；驱动方式：两轮驱动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30-35马力两轮驱动拖拉机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30马力≤功率＜35马力；驱动方式：两轮驱动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35-40马力两轮驱动拖拉机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35马力≤功率＜40马力；驱动方式：两轮驱动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40-45马力两轮驱动拖拉机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40马力≤功率＜45马力；驱动方式：两轮驱动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45-50马力两轮驱动拖拉机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45马力≤功率＜50马力；驱动方式：两轮驱动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50-55马力两轮驱动拖拉机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50马力≤功率＜55马力；驱动方式：两轮驱动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55-60马力两轮驱动拖拉机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55马力≤功率＜60马力；驱动方式：两轮驱动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60-65马力两轮驱动拖拉机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60马力≤功率＜65马力；驱动方式：两轮驱动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65-70马力两轮驱动拖拉机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65马力≤功率＜70马力；驱动方式：两轮驱动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70-75马力两轮驱动拖拉机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70马力≤功率＜75马力；驱动方式：两轮驱动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75-80马力两轮驱动拖拉机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75马力≤功率＜80马力；驱动方式：两轮驱动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80-85马力两轮驱动拖拉机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80马力≤功率＜85马力；驱动方式：两轮驱动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85-90马力两轮驱动拖拉机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85马力≤功率＜90马力；驱动方式：两轮驱动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90-95马力两轮驱动拖拉机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90马力≤功率＜95马力；驱动方式：两轮驱动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95-100马力两轮驱动拖拉机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95马力≤功率＜100马力；驱动方式：两轮驱动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100马力及以上两轮驱动拖拉机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功率≥100马力；驱动方式：两轮驱动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25-30马力四轮驱动拖拉机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25马力≤功率＜30马力；驱动方式：四轮驱动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30-35马力四轮驱动拖拉机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30马力≤功率＜35马力；驱动方式：四轮驱动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35-40马力四轮驱动拖拉机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35马力≤功率＜40马力；驱动方式：四轮驱动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40-45马力四轮驱动拖拉机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40马力≤功率＜45马力；驱动方式：四轮驱动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45-50马力四轮驱动拖拉机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45马力≤功率＜50马力；驱动方式：四轮驱动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50-55马力四轮驱动拖拉机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50马力≤功率＜55马力；驱动方式：四轮驱动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55-60马力四轮驱动拖拉机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55马力≤功率＜60马力；驱动方式：四轮驱动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60-65马力四轮驱动拖拉机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60马力≤功率＜65马力；驱动方式：四轮驱动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65-70马力四轮驱动拖拉机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65马力≤功率＜70马力；驱动方式：四轮驱动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19660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70-75马力四轮驱动拖拉机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70马力≤功率＜75马力；驱动方式：四轮驱动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75-80马力四轮驱动拖拉机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75马力≤功率＜80马力；驱动方式：四轮驱动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80-85马力四轮驱动拖拉机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80马力≤功率＜85马力；驱动方式：四轮驱动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85-90马力四轮驱动拖拉机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85马力≤功率＜90马力；驱动方式：四轮驱动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28170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90-95马力四轮驱动拖拉机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90马力≤功率＜95马力；驱动方式：四轮驱动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95-100马力四轮驱动拖拉机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95马力≤功率＜100马力；驱动方式：四轮驱动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100-110马力四轮驱动拖拉机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100马力≤功率＜110马力；驱动方式：四轮驱动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110-120马力四轮驱动拖拉机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110马力≤功率＜120马力；驱动方式：四轮驱动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36270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120-130马力四轮驱动拖拉机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120马力≤功率＜130马力；驱动方式：四轮驱动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130-140马力四轮驱动拖拉机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130马力≤功率＜140马力；驱动方式：四轮驱动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140-150马力四轮驱动拖拉机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140马力≤功率＜150马力；驱动方式：四轮驱动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150-180马力四轮驱动拖拉机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150马力≤功率＜180马力；驱动方式：四轮驱动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180-200马力四轮驱动拖拉机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180马力≤功率＜200马力；驱动方式：四轮驱动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200-210马力四轮驱动拖拉机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200马力≤功率＜210马力；驱动方式：四轮驱动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轮式拖拉机(不含皮带传动轮式拖拉机）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210马力及以上四轮驱动拖拉机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功率≥210马力；驱动方式：四轮驱动</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手扶拖拉机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4-8马力皮带传动手扶拖拉机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传动方式：皮带传动；4马力≤功率＜8马力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手扶拖拉机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8马力及以上皮带传动手扶拖拉机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传动方式：皮带传动；功率≥8马力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手扶拖拉机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11马力及以上直联传动手扶拖拉机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传动方式：直联传动；功率≥11马力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轻型履带式拖拉机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轻型履带式；50马力≤配套动力≤80马力</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50-60马力履带式拖拉机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50马力≤功率＜60马力；驱动方式：履带式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16380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60-70马力履带式拖拉机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60马</w:t>
            </w:r>
            <w:bookmarkStart w:id="0" w:name="_GoBack"/>
            <w:bookmarkEnd w:id="0"/>
            <w:r>
              <w:rPr>
                <w:rFonts w:hint="eastAsia" w:ascii="仿宋_GB2312" w:hAnsi="仿宋_GB2312" w:cs="仿宋_GB2312"/>
                <w:color w:val="000000"/>
                <w:kern w:val="0"/>
                <w:sz w:val="18"/>
                <w:szCs w:val="18"/>
              </w:rPr>
              <w:t>力≤功率＜70马力；驱动方式：履带式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17990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70-80马力履带式拖拉机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70马力≤功率＜80马力；驱动方式：履带式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80-90马力履带式拖拉机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80马力≤功率＜90马力；驱动方式：履带式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228</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90-100马力履带式拖拉机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90马力≤功率＜100马力；驱动方式：履带式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229</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100-110马力履带式拖拉机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100马力≤功率＜110马力；驱动方式：履带式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230</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120-130马力履带式拖拉机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120马力≤功率＜130马力；驱动方式：履带式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231</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动力机械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拖拉机</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履带式拖拉机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130-140马力履带式拖拉机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130马力≤功率＜140马力；驱动方式：履带式</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232</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固液分离机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电机总功率5kW以下固液分离机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电机总功率＜5kW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233</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固液分离机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电机总功率5-10kW固液分离机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5kW≤电机总功率＜10kW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234</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固液分离机</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电机总功率10kW及以上固液分离机</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电机总功率≥10kW</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235</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病死畜禽无害化处理设备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处理量100-400kg病死畜禽无害化处理设备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100kg≤单批次处理量</w:t>
            </w:r>
            <w:r>
              <w:rPr>
                <w:rStyle w:val="23"/>
                <w:rFonts w:hAnsi="仿宋_GB2312"/>
                <w:sz w:val="18"/>
                <w:szCs w:val="18"/>
              </w:rPr>
              <w:t>﹤</w:t>
            </w:r>
            <w:r>
              <w:rPr>
                <w:rStyle w:val="22"/>
                <w:rFonts w:hAnsi="仿宋_GB2312"/>
                <w:sz w:val="18"/>
                <w:szCs w:val="18"/>
              </w:rPr>
              <w:t>400kg，并采用生物降解技术，配套除臭装置</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236</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病死畜禽无害化处理设备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处理量400-800kg病死畜禽无害化处理设备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400kg≤单批次处理量</w:t>
            </w:r>
            <w:r>
              <w:rPr>
                <w:rStyle w:val="23"/>
                <w:rFonts w:hAnsi="仿宋_GB2312"/>
                <w:sz w:val="18"/>
                <w:szCs w:val="18"/>
              </w:rPr>
              <w:t>﹤</w:t>
            </w:r>
            <w:r>
              <w:rPr>
                <w:rStyle w:val="22"/>
                <w:rFonts w:hAnsi="仿宋_GB2312"/>
                <w:sz w:val="18"/>
                <w:szCs w:val="18"/>
              </w:rPr>
              <w:t>800kg，并采用生物降解技术，配套除臭装置</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237</w:t>
            </w:r>
          </w:p>
        </w:tc>
        <w:tc>
          <w:tcPr>
            <w:tcW w:w="109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其他机械</w:t>
            </w:r>
          </w:p>
        </w:tc>
        <w:tc>
          <w:tcPr>
            <w:tcW w:w="114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废弃物处理</w:t>
            </w:r>
          </w:p>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设备</w:t>
            </w:r>
          </w:p>
        </w:tc>
        <w:tc>
          <w:tcPr>
            <w:tcW w:w="201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病死畜禽无害化处理设备</w:t>
            </w:r>
          </w:p>
        </w:tc>
        <w:tc>
          <w:tcPr>
            <w:tcW w:w="3405"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处理量800kg及以上病死畜禽无害化处理设备</w:t>
            </w:r>
          </w:p>
        </w:tc>
        <w:tc>
          <w:tcPr>
            <w:tcW w:w="5460" w:type="dxa"/>
            <w:tcBorders>
              <w:tl2br w:val="nil"/>
              <w:tr2bl w:val="nil"/>
            </w:tcBorders>
            <w:vAlign w:val="center"/>
          </w:tcPr>
          <w:p>
            <w:pPr>
              <w:adjustRightInd w:val="0"/>
              <w:snapToGrid w:val="0"/>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单批次处理量≥800kg，并采用生物降解技术，配套除臭装置</w:t>
            </w:r>
          </w:p>
        </w:tc>
        <w:tc>
          <w:tcPr>
            <w:tcW w:w="900"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非通用类</w:t>
            </w:r>
          </w:p>
        </w:tc>
        <w:tc>
          <w:tcPr>
            <w:tcW w:w="1245" w:type="dxa"/>
            <w:tcBorders>
              <w:tl2br w:val="nil"/>
              <w:tr2bl w:val="nil"/>
            </w:tcBorders>
            <w:vAlign w:val="center"/>
          </w:tcPr>
          <w:p>
            <w:pPr>
              <w:adjustRightInd w:val="0"/>
              <w:snapToGrid w:val="0"/>
              <w:jc w:val="center"/>
              <w:textAlignment w:val="center"/>
              <w:rPr>
                <w:rFonts w:hint="eastAsia" w:ascii="仿宋_GB2312" w:hAnsi="仿宋_GB2312" w:cs="仿宋_GB2312"/>
                <w:color w:val="000000"/>
                <w:sz w:val="18"/>
                <w:szCs w:val="18"/>
              </w:rPr>
            </w:pPr>
            <w:r>
              <w:rPr>
                <w:rFonts w:hint="eastAsia" w:ascii="仿宋_GB2312" w:hAnsi="仿宋_GB2312" w:cs="仿宋_GB2312"/>
                <w:color w:val="000000"/>
                <w:kern w:val="0"/>
                <w:sz w:val="18"/>
                <w:szCs w:val="18"/>
              </w:rPr>
              <w:t>50000</w:t>
            </w:r>
          </w:p>
        </w:tc>
      </w:tr>
    </w:tbl>
    <w:p>
      <w:pPr>
        <w:adjustRightInd w:val="0"/>
        <w:snapToGrid w:val="0"/>
        <w:spacing w:line="590" w:lineRule="exact"/>
        <w:rPr>
          <w:rFonts w:ascii="仿宋_GB2312"/>
          <w:snapToGrid w:val="0"/>
          <w:kern w:val="0"/>
        </w:rPr>
      </w:pPr>
    </w:p>
    <w:p>
      <w:pPr>
        <w:adjustRightInd w:val="0"/>
        <w:snapToGrid w:val="0"/>
        <w:spacing w:line="590" w:lineRule="exact"/>
        <w:rPr>
          <w:rFonts w:ascii="仿宋_GB2312"/>
          <w:snapToGrid w:val="0"/>
          <w:kern w:val="0"/>
        </w:rPr>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28"/>
        <w:szCs w:val="28"/>
      </w:rPr>
    </w:pPr>
    <w:r>
      <w:rPr>
        <w:rStyle w:val="8"/>
        <w:rFonts w:hint="eastAsia" w:ascii="仿宋_GB2312"/>
        <w:sz w:val="28"/>
        <w:szCs w:val="28"/>
      </w:rPr>
      <w:t xml:space="preserve">— </w:t>
    </w:r>
    <w:r>
      <w:rPr>
        <w:rFonts w:hint="eastAsia" w:ascii="仿宋_GB2312"/>
        <w:sz w:val="28"/>
        <w:szCs w:val="28"/>
      </w:rPr>
      <w:fldChar w:fldCharType="begin"/>
    </w:r>
    <w:r>
      <w:rPr>
        <w:rStyle w:val="8"/>
        <w:rFonts w:hint="eastAsia" w:ascii="仿宋_GB2312"/>
        <w:sz w:val="28"/>
        <w:szCs w:val="28"/>
      </w:rPr>
      <w:instrText xml:space="preserve">PAGE  </w:instrText>
    </w:r>
    <w:r>
      <w:rPr>
        <w:rFonts w:hint="eastAsia" w:ascii="仿宋_GB2312"/>
        <w:sz w:val="28"/>
        <w:szCs w:val="28"/>
      </w:rPr>
      <w:fldChar w:fldCharType="separate"/>
    </w:r>
    <w:r>
      <w:rPr>
        <w:rStyle w:val="8"/>
        <w:rFonts w:ascii="仿宋_GB2312"/>
        <w:sz w:val="28"/>
        <w:szCs w:val="28"/>
      </w:rPr>
      <w:t>1</w:t>
    </w:r>
    <w:r>
      <w:rPr>
        <w:rFonts w:hint="eastAsia" w:ascii="仿宋_GB2312"/>
        <w:sz w:val="28"/>
        <w:szCs w:val="28"/>
      </w:rPr>
      <w:fldChar w:fldCharType="end"/>
    </w:r>
    <w:r>
      <w:rPr>
        <w:rStyle w:val="8"/>
        <w:rFonts w:hint="eastAsia" w:ascii="仿宋_GB2312"/>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2D70"/>
    <w:rsid w:val="00030B3F"/>
    <w:rsid w:val="0003327B"/>
    <w:rsid w:val="000409B3"/>
    <w:rsid w:val="00057CBA"/>
    <w:rsid w:val="0006588E"/>
    <w:rsid w:val="00083D19"/>
    <w:rsid w:val="0008769C"/>
    <w:rsid w:val="00091AB7"/>
    <w:rsid w:val="00096991"/>
    <w:rsid w:val="000B2754"/>
    <w:rsid w:val="0010017D"/>
    <w:rsid w:val="001B181B"/>
    <w:rsid w:val="001F486B"/>
    <w:rsid w:val="0023150D"/>
    <w:rsid w:val="002426C5"/>
    <w:rsid w:val="0025292F"/>
    <w:rsid w:val="00285CFB"/>
    <w:rsid w:val="002A7DEE"/>
    <w:rsid w:val="002B4380"/>
    <w:rsid w:val="002C496C"/>
    <w:rsid w:val="00310638"/>
    <w:rsid w:val="0034691A"/>
    <w:rsid w:val="003564AF"/>
    <w:rsid w:val="003A2249"/>
    <w:rsid w:val="003A517E"/>
    <w:rsid w:val="003D10F4"/>
    <w:rsid w:val="003E2CCE"/>
    <w:rsid w:val="004041C5"/>
    <w:rsid w:val="00416DA9"/>
    <w:rsid w:val="00443134"/>
    <w:rsid w:val="00457D96"/>
    <w:rsid w:val="00463AA1"/>
    <w:rsid w:val="004A1402"/>
    <w:rsid w:val="004A7FB1"/>
    <w:rsid w:val="005066A2"/>
    <w:rsid w:val="0054611C"/>
    <w:rsid w:val="00571C7C"/>
    <w:rsid w:val="00595EB0"/>
    <w:rsid w:val="005A00A6"/>
    <w:rsid w:val="006134DF"/>
    <w:rsid w:val="0063596F"/>
    <w:rsid w:val="00642982"/>
    <w:rsid w:val="0065344F"/>
    <w:rsid w:val="006573AC"/>
    <w:rsid w:val="00657B0C"/>
    <w:rsid w:val="00666224"/>
    <w:rsid w:val="00684673"/>
    <w:rsid w:val="00684915"/>
    <w:rsid w:val="006E1695"/>
    <w:rsid w:val="006E58E2"/>
    <w:rsid w:val="00705AFD"/>
    <w:rsid w:val="007172EB"/>
    <w:rsid w:val="0074296B"/>
    <w:rsid w:val="007F59EC"/>
    <w:rsid w:val="00805F3D"/>
    <w:rsid w:val="0085249F"/>
    <w:rsid w:val="00874CCE"/>
    <w:rsid w:val="00895C64"/>
    <w:rsid w:val="008A2D70"/>
    <w:rsid w:val="008B18B0"/>
    <w:rsid w:val="008C71BF"/>
    <w:rsid w:val="0096219D"/>
    <w:rsid w:val="009B17B5"/>
    <w:rsid w:val="009D6346"/>
    <w:rsid w:val="009E0449"/>
    <w:rsid w:val="009F35E6"/>
    <w:rsid w:val="009F3874"/>
    <w:rsid w:val="00A56FB8"/>
    <w:rsid w:val="00A75BC0"/>
    <w:rsid w:val="00A772A3"/>
    <w:rsid w:val="00A97213"/>
    <w:rsid w:val="00B23CC8"/>
    <w:rsid w:val="00B3374F"/>
    <w:rsid w:val="00B53051"/>
    <w:rsid w:val="00B617D0"/>
    <w:rsid w:val="00B8443F"/>
    <w:rsid w:val="00B87C8E"/>
    <w:rsid w:val="00C1733D"/>
    <w:rsid w:val="00C3610E"/>
    <w:rsid w:val="00C73066"/>
    <w:rsid w:val="00CE49E0"/>
    <w:rsid w:val="00CF6FE7"/>
    <w:rsid w:val="00D0793C"/>
    <w:rsid w:val="00D26E9C"/>
    <w:rsid w:val="00D737DE"/>
    <w:rsid w:val="00DE4F4A"/>
    <w:rsid w:val="00DF4B12"/>
    <w:rsid w:val="00E26610"/>
    <w:rsid w:val="00E32C1A"/>
    <w:rsid w:val="00E4343D"/>
    <w:rsid w:val="00E45714"/>
    <w:rsid w:val="00F432A3"/>
    <w:rsid w:val="00FF1921"/>
    <w:rsid w:val="652E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semiHidden="0" w:name="HTML Acronym"/>
    <w:lsdException w:uiPriority="99" w:name="HTML Address"/>
    <w:lsdException w:uiPriority="99" w:semiHidden="0" w:name="HTML Cite"/>
    <w:lsdException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0"/>
    <w:qFormat/>
    <w:uiPriority w:val="9"/>
    <w:pPr>
      <w:spacing w:line="900" w:lineRule="atLeast"/>
      <w:jc w:val="left"/>
      <w:outlineLvl w:val="0"/>
    </w:pPr>
    <w:rPr>
      <w:rFonts w:hint="eastAsia" w:ascii="宋体" w:hAnsi="宋体" w:eastAsia="宋体" w:cs="宋体"/>
      <w:b/>
      <w:color w:val="CC0000"/>
      <w:kern w:val="44"/>
      <w:sz w:val="33"/>
      <w:szCs w:val="33"/>
    </w:rPr>
  </w:style>
  <w:style w:type="character" w:default="1" w:styleId="6">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page number"/>
    <w:basedOn w:val="6"/>
    <w:uiPriority w:val="99"/>
  </w:style>
  <w:style w:type="character" w:styleId="9">
    <w:name w:val="FollowedHyperlink"/>
    <w:basedOn w:val="6"/>
    <w:unhideWhenUsed/>
    <w:uiPriority w:val="99"/>
    <w:rPr>
      <w:color w:val="333333"/>
      <w:u w:val="none"/>
    </w:rPr>
  </w:style>
  <w:style w:type="character" w:styleId="10">
    <w:name w:val="Emphasis"/>
    <w:basedOn w:val="6"/>
    <w:qFormat/>
    <w:uiPriority w:val="20"/>
  </w:style>
  <w:style w:type="character" w:styleId="11">
    <w:name w:val="HTML Definition"/>
    <w:basedOn w:val="6"/>
    <w:unhideWhenUsed/>
    <w:qFormat/>
    <w:uiPriority w:val="99"/>
  </w:style>
  <w:style w:type="character" w:styleId="12">
    <w:name w:val="HTML Acronym"/>
    <w:basedOn w:val="6"/>
    <w:unhideWhenUsed/>
    <w:uiPriority w:val="99"/>
  </w:style>
  <w:style w:type="character" w:styleId="13">
    <w:name w:val="HTML Variable"/>
    <w:basedOn w:val="6"/>
    <w:unhideWhenUsed/>
    <w:uiPriority w:val="99"/>
  </w:style>
  <w:style w:type="character" w:styleId="14">
    <w:name w:val="Hyperlink"/>
    <w:basedOn w:val="6"/>
    <w:unhideWhenUsed/>
    <w:uiPriority w:val="99"/>
    <w:rPr>
      <w:color w:val="333333"/>
      <w:u w:val="none"/>
    </w:rPr>
  </w:style>
  <w:style w:type="character" w:styleId="15">
    <w:name w:val="HTML Code"/>
    <w:basedOn w:val="6"/>
    <w:unhideWhenUsed/>
    <w:uiPriority w:val="99"/>
    <w:rPr>
      <w:rFonts w:ascii="Arial" w:hAnsi="Arial" w:cs="Arial"/>
      <w:color w:val="333333"/>
      <w:sz w:val="18"/>
      <w:szCs w:val="18"/>
    </w:rPr>
  </w:style>
  <w:style w:type="character" w:styleId="16">
    <w:name w:val="HTML Cite"/>
    <w:basedOn w:val="6"/>
    <w:unhideWhenUsed/>
    <w:uiPriority w:val="99"/>
  </w:style>
  <w:style w:type="character" w:customStyle="1" w:styleId="18">
    <w:name w:val="页脚 Char"/>
    <w:basedOn w:val="6"/>
    <w:link w:val="3"/>
    <w:uiPriority w:val="0"/>
    <w:rPr>
      <w:rFonts w:ascii="Times New Roman" w:hAnsi="Times New Roman" w:eastAsia="仿宋_GB2312" w:cs="Times New Roman"/>
      <w:sz w:val="18"/>
      <w:szCs w:val="18"/>
    </w:rPr>
  </w:style>
  <w:style w:type="character" w:customStyle="1" w:styleId="19">
    <w:name w:val="页眉 Char"/>
    <w:basedOn w:val="6"/>
    <w:link w:val="4"/>
    <w:semiHidden/>
    <w:uiPriority w:val="99"/>
    <w:rPr>
      <w:rFonts w:ascii="Times New Roman" w:hAnsi="Times New Roman" w:eastAsia="仿宋_GB2312" w:cs="Times New Roman"/>
      <w:sz w:val="18"/>
      <w:szCs w:val="18"/>
    </w:rPr>
  </w:style>
  <w:style w:type="character" w:customStyle="1" w:styleId="20">
    <w:name w:val="标题 1 Char"/>
    <w:basedOn w:val="6"/>
    <w:link w:val="2"/>
    <w:uiPriority w:val="9"/>
    <w:rPr>
      <w:rFonts w:ascii="宋体" w:hAnsi="宋体" w:eastAsia="宋体" w:cs="宋体"/>
      <w:b/>
      <w:color w:val="CC0000"/>
      <w:kern w:val="44"/>
      <w:sz w:val="33"/>
      <w:szCs w:val="33"/>
    </w:rPr>
  </w:style>
  <w:style w:type="character" w:customStyle="1" w:styleId="21">
    <w:name w:val="font01"/>
    <w:basedOn w:val="6"/>
    <w:qFormat/>
    <w:uiPriority w:val="0"/>
    <w:rPr>
      <w:rFonts w:hint="eastAsia" w:ascii="仿宋_GB2312" w:eastAsia="仿宋_GB2312" w:cs="仿宋_GB2312"/>
      <w:color w:val="000000"/>
      <w:sz w:val="16"/>
      <w:szCs w:val="16"/>
      <w:u w:val="none"/>
      <w:vertAlign w:val="superscript"/>
    </w:rPr>
  </w:style>
  <w:style w:type="character" w:customStyle="1" w:styleId="22">
    <w:name w:val="font21"/>
    <w:basedOn w:val="6"/>
    <w:uiPriority w:val="0"/>
    <w:rPr>
      <w:rFonts w:hint="eastAsia" w:ascii="仿宋_GB2312" w:eastAsia="仿宋_GB2312" w:cs="仿宋_GB2312"/>
      <w:color w:val="000000"/>
      <w:sz w:val="16"/>
      <w:szCs w:val="16"/>
      <w:u w:val="none"/>
    </w:rPr>
  </w:style>
  <w:style w:type="character" w:customStyle="1" w:styleId="23">
    <w:name w:val="font11"/>
    <w:basedOn w:val="6"/>
    <w:uiPriority w:val="0"/>
    <w:rPr>
      <w:rFonts w:hint="eastAsia" w:ascii="宋体" w:hAnsi="宋体" w:eastAsia="宋体" w:cs="宋体"/>
      <w:color w:val="000000"/>
      <w:sz w:val="16"/>
      <w:szCs w:val="16"/>
      <w:u w:val="none"/>
    </w:rPr>
  </w:style>
  <w:style w:type="paragraph" w:customStyle="1" w:styleId="24">
    <w:name w:val=" Char Char Char Char Char Char"/>
    <w:basedOn w:val="1"/>
    <w:qFormat/>
    <w:uiPriority w:val="0"/>
    <w:pPr>
      <w:widowControl/>
      <w:spacing w:after="16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梅县农业局</Company>
  <Pages>35</Pages>
  <Words>3357</Words>
  <Characters>19139</Characters>
  <Lines>159</Lines>
  <Paragraphs>44</Paragraphs>
  <TotalTime>0</TotalTime>
  <ScaleCrop>false</ScaleCrop>
  <LinksUpToDate>false</LinksUpToDate>
  <CharactersWithSpaces>22452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2017-02-09T03:14:00Z</dcterms:created>
  <dc:creator>雨林木风</dc:creator>
  <cp:lastModifiedBy>梅县区农业局</cp:lastModifiedBy>
  <cp:lastPrinted>2017-02-14T01:28:00Z</cp:lastPrinted>
  <dcterms:modified xsi:type="dcterms:W3CDTF">2017-09-18T10:14:54Z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