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云浮市云</w:t>
      </w:r>
      <w:r>
        <w:rPr>
          <w:rFonts w:hint="eastAsia" w:ascii="方正小标宋简体" w:eastAsia="方正小标宋简体"/>
          <w:sz w:val="44"/>
          <w:szCs w:val="44"/>
          <w:lang w:val="en-US" w:eastAsia="zh-CN"/>
        </w:rPr>
        <w:t>城</w:t>
      </w:r>
      <w:r>
        <w:rPr>
          <w:rFonts w:hint="eastAsia" w:ascii="方正小标宋简体" w:eastAsia="方正小标宋简体"/>
          <w:sz w:val="44"/>
          <w:szCs w:val="44"/>
        </w:rPr>
        <w:t>区2017年中央财政农业机械</w:t>
      </w:r>
    </w:p>
    <w:p>
      <w:pPr>
        <w:jc w:val="center"/>
        <w:rPr>
          <w:rFonts w:hint="eastAsia" w:ascii="方正小标宋简体" w:eastAsia="方正小标宋简体"/>
          <w:sz w:val="44"/>
          <w:szCs w:val="44"/>
        </w:rPr>
      </w:pPr>
      <w:r>
        <w:rPr>
          <w:rFonts w:hint="eastAsia" w:ascii="方正小标宋简体" w:eastAsia="方正小标宋简体"/>
          <w:sz w:val="44"/>
          <w:szCs w:val="44"/>
        </w:rPr>
        <w:t>购置补贴实施方案</w:t>
      </w:r>
    </w:p>
    <w:p>
      <w:pPr>
        <w:ind w:firstLine="640" w:firstLineChars="200"/>
        <w:rPr>
          <w:rFonts w:hint="eastAsia" w:ascii="仿宋_GB2312" w:eastAsia="仿宋_GB2312"/>
          <w:sz w:val="32"/>
          <w:szCs w:val="32"/>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为进一步实施好农业机械购置补贴政策，推进我区农业机械化又好又快发展，根据省农业厅、财政厅《广东省2015—2017年中央财政农业机械购置补贴实施方案》（粤农2015〕35）号的有关要求，制定本实施方案。</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一、总体要求</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转变农机化发展方式为主线，以调整优化农机装备结构、提升农机化作业水平为主要任务，加快推进主要农作物关键环节机械化。注重突出重点，提高农机化发展的质量和水平；注重统筹兼顾，协调推进农机化发展；注重扶优扶强，大力推广先进适用、技术成熟、安全可靠、节能环保、“三包”到位的机具。实行阳光操作，加强工作监管和廉政风险防范，强化绩效考核，进一步推进补贴政策执行过程公平公开；充分发挥市场机制作用，切实保障农民选择购买农机的自主权；充分发挥补贴政策的引导作用，调动农民购买和使用农机的积极性，促进农业机械化又好又快发展。</w:t>
      </w:r>
    </w:p>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二、实施范围及资金计划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农机购置补贴政策继续覆盖全区所有乡镇。2017年，使用省农业厅、财政厅下达给我区中央财政农机购置补贴资金为2016年的结余资金44.7240万元。上年结转资金</w:t>
      </w:r>
      <w:r>
        <w:rPr>
          <w:rFonts w:hint="eastAsia" w:ascii="仿宋_GB2312" w:hAnsi="仿宋_GB2312" w:eastAsia="仿宋_GB2312" w:cs="仿宋_GB2312"/>
          <w:sz w:val="32"/>
          <w:szCs w:val="32"/>
        </w:rPr>
        <w:t>可继续在下年使用，连续两年未用完的结转资金，按有关规定处理。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三、补贴范围及标准</w:t>
      </w:r>
    </w:p>
    <w:p>
      <w:pPr>
        <w:pStyle w:val="14"/>
        <w:widowControl/>
        <w:snapToGrid w:val="0"/>
        <w:spacing w:line="360" w:lineRule="auto"/>
        <w:jc w:val="left"/>
        <w:rPr>
          <w:rFonts w:hint="eastAsia" w:ascii="宋体" w:hAnsi="宋体" w:eastAsia="宋体" w:cs="仿宋"/>
          <w:bCs/>
          <w:snapToGrid w:val="0"/>
          <w:kern w:val="0"/>
          <w:sz w:val="32"/>
        </w:rPr>
      </w:pPr>
      <w:r>
        <w:rPr>
          <w:rFonts w:hint="eastAsia" w:ascii="宋体" w:hAnsi="宋体" w:eastAsia="宋体"/>
          <w:snapToGrid w:val="0"/>
          <w:kern w:val="0"/>
          <w:sz w:val="32"/>
        </w:rPr>
        <w:t>（一）</w:t>
      </w:r>
      <w:r>
        <w:rPr>
          <w:rFonts w:hint="eastAsia" w:ascii="宋体" w:hAnsi="宋体" w:eastAsia="宋体" w:cs="仿宋"/>
          <w:bCs/>
          <w:snapToGrid w:val="0"/>
          <w:kern w:val="0"/>
          <w:sz w:val="32"/>
        </w:rPr>
        <w:t>按照《关于做好2017年中央财政农机购置补贴实施工作的通知》（粤农函〔2017〕232号 ）要求，我</w:t>
      </w:r>
      <w:r>
        <w:rPr>
          <w:rFonts w:hint="eastAsia" w:ascii="宋体" w:hAnsi="宋体" w:cs="仿宋"/>
          <w:bCs/>
          <w:snapToGrid w:val="0"/>
          <w:kern w:val="0"/>
          <w:sz w:val="32"/>
          <w:lang w:val="en-US" w:eastAsia="zh-CN"/>
        </w:rPr>
        <w:t>区</w:t>
      </w:r>
      <w:r>
        <w:rPr>
          <w:rFonts w:hint="eastAsia" w:ascii="宋体" w:hAnsi="宋体" w:eastAsia="宋体" w:cs="仿宋"/>
          <w:bCs/>
          <w:snapToGrid w:val="0"/>
          <w:kern w:val="0"/>
          <w:sz w:val="32"/>
        </w:rPr>
        <w:t>确定机具种类范围具体包括：耕整地机械、收获后处理机械、农产品初加工机械、畜牧水产养殖机械、动力机械和其他机械等（见附件1）。2017年，扩大了敞开补贴范围，对水稻插秧机、自走履带式谷物联合收割机（全喂入）、半喂入联合收割机、粮食烘干机、大中型轮式拖拉机、甘蔗种植机、甘蔗收获机、花生收获机、薯类收获机、动力（喷杆式、风送式）喷雾机、深松机、旋耕机、微耕机、起垄机、增氧机实行敞开补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㈡补贴机具产品资质。补贴机具必须是中华人民共和国境内生产的产品。除新产品补贴试点外，补贴机具应是已获</w:t>
      </w:r>
      <w:bookmarkStart w:id="0" w:name="_GoBack"/>
      <w:bookmarkEnd w:id="0"/>
      <w:r>
        <w:rPr>
          <w:rFonts w:hint="eastAsia" w:ascii="仿宋_GB2312" w:hAnsi="仿宋_GB2312" w:eastAsia="仿宋_GB2312" w:cs="仿宋_GB2312"/>
          <w:sz w:val="32"/>
          <w:szCs w:val="32"/>
        </w:rPr>
        <w:t>得国家或省级有效推广鉴定证书的产品。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补贴机具产品须在明显位置固定有生产企业、产品名称和型号、出厂编号、生产日期、执行标准等信息的永久性铭牌。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已被取消补贴资格，或者不符合认证管理、许可证管理等的产品，不能给予补贴。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补贴标准。中央财政农机购置补贴资金实行定额补贴，即同一种类、同一档次农业机械在省域内实行统一的补贴标准。属农业部统一进行分类分档并确定最高补贴额的补贴机具品目，原则上参照农业部的分类分档及最高补贴额执行，其余机具品目由省农业厅按照农业部的相关要求进行分类分档及确定补贴额，编制补贴额一览表后统一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农机产品每档次补贴额原则上按不超过该档产品上年平均销售价格的30%测算，单机补贴额不超过5万元；挤奶机、烘干机单机补贴额不超过12万元；100马力以上大型拖拉机、大型联合收割机单机补贴额不超过15万元；200马力以上拖拉机单机补贴额不超过25万元；大型甘蔗收获机单机补贴不超过40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开展补贴产品市场销售情况的调查摸底，跟踪市场变化情况，要从质量、使用、服务等方面加强监管，发现机具补贴额异常的（偏高或偏低）要及时向省农业厅汇报。涉及中央资金补贴的通用类机具补贴额调整的，由省农业厅抄报农业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四、补贴对象确定和经销企业公布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㈠补贴对象。补贴对象为直接从事农业生产的个人和农业生产经营组织。在申请补贴对象较多造成补贴资金指标不足时，要按照公平公正公开的原则确定。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对已经报废老旧农机并取得拆解回收证明的补贴对象，可优先补贴。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因补贴资金规模所限当年未能享受到补贴的购机者，可在下一年度优先补贴，并按新的补贴额执行。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补贴对象可自主选择补贴产品经销企业购机，也可通过生产企业直销等方式购机。按照权责一致原则，补贴对象应对自主购机行为和购买机具的真实性负责，承担相应风险与责任。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补贴限额。当地当年中央财政农机购置补贴资金指标超过40万元的：个人年度内享受补贴的资金总额不得超过40万元且不得超过本地当年补贴资金计划的20%；单个农业生产经营组织年度内享受补贴的资金总额不得超过100万元且不得超过本地当年补贴资金计划的40%。当地当年中央财政农机购置补贴资金指标少于40万元（包含40万）的，要按尽量扩大受益面，公平、公正的原则确定补贴对象。对当年购机较多，申报补贴额超过限额的部分农业生产经营组织，经报市农业局、财政部门核实后，可适当增加其补贴金额，并报省农业厅、财政厅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㈢补贴对象应承担的义务。补贴对象购机后必须依法接受农机安全监督管理、补贴机具检查管理和质量跟踪调查，并服从区农机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的合理调度</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㈣经销企业的公布。补贴产品经销企业由农机生产企业自主确定并向社会公布。已列入黑名单的经销企业和个人（在广东省农业机械化信息网公布），不允许参与补贴活动，所销售产品不能享受农机购置补贴政策。农机生产企业应对其确定的补贴产品经销企业的经销行为负责监管并承担相应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五、补贴操作及资金兑付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农机购置补贴政策实施方式实行自主购机、定额补贴、县级结算、直补到卡（户），具体操作程序如下：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申请。申请者在补贴产品产销企业自主购买机具后，到区农机总站提出申请并提交补贴申请资料。申请者为个人的需提供：身份证原件及复印件、购机发票原件及复印件、本人银行存折（卡）原件及复印件；申请者为组织的需提供：营业执照原件及复印件、购机发票原件及复印件、与组织名称一致的银行账号原件及复印件。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在收到补贴申请资料后应及时将申请者信息及机具信息录入农机购置补贴辅助管理软件系统，打印出《农机购置补贴指标确认通知书》（一式两份，一份存档、一份交给申请者）盖章并交申请者签名确认。同时，请申请者签订《农机购置补贴承诺书》并存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对以下三种情形的申请者，另须按如下要求办理：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1.对于购买安装类机具（如简易保鲜储藏设备、微灌设备、烘干机械、畜牧饲养机械、茶叶加工机械等）的申请者需要同时提供竣工确认书；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购置拖拉机、联合收割机的，其所有人要在领取《农机购置补贴指标确认通知书》之日起10个工作日内，到当地农机安全监理机构办理注册登记手续。区农机安全监理机构要在核发牌照之日起5个工作日内，将牌证办理情况报送区农机化主管部门（未依法办理注册登记手续的，补贴资金暂不兑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3.对于购买其他单机补贴额在1万元及以上机具的申请者，需携带所购置机具提供给区农机化主管部门或乡镇核实，核实时要进行人机合影并上传到农机购置补贴辅助管理软件系统。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㈡公示。区农机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在每批资金兑付前，将所受理的申请购机信息按乡镇制作《广东省农业机械购置补贴公示表》，在本地农机购置补贴信息公开专栏予以公示，同时交有关乡镇政府负责以适当方式进行公示（时限为7天），并公布乡镇政府和区农业部门、财政部门的举报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㈢兑付。经公示无异议后，区农机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整理好农机购置补贴资金发放明细表送区财政局，由区财政局复核无误后，办理资金兑付手续。属于个人的，由区财政局将补贴直接兑付到个人账户；属于组织的，采用国库集中支付，由区财政局将补贴资金直接兑付到组织银行账户。补贴资金至少每季度足额兑付一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㈠加强领导，密切配合。区农机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、财政局要进一步提高思想认识，加强组织领导，密切沟通配合，建立工作责任制，将任务和责任具体落实到岗位。要加强工作指导和监督检查，加大农机购置补贴绩效管理工作力度。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加强引导，科学调控。要通过政策实施，促进农机装备结构布局优化，提高薄弱环节和主要农产品生产机械化水平，全面提升农机化发展质量和效益，同时推动农机工业科技进步和自主创新，提高制造水平。因地制宜制定和实施中长期农机购置补贴规划，坚持行之有效的经验，创新改革工作措施，有重点、分阶段实现政策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㈢规范操作，严格管理。区农机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要公开公平公正确定补贴对象，严格执行公示制度，充分尊重申请者自主选择权。对补贴额较高和供需矛盾突出的机具要重点核实。全面深入推进农机购置补贴管理网络化，区农机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、财政部门统一使用全</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农机购置补贴辅助管理软件系统。要配合相关部门严厉打击窃取、倒卖、泄露补贴信息和电信诈骗等不法行为，保护农民合法权益。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要依法开展补贴机具的质量调查，督促企业做好售后服务等工作。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要加强对基层农机购置补贴工作人员培训和警示教育，提高基层人员素质和能力。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㈣公开信息，接受监督。区农机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及各镇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要通过广播、电视、报纸、网络、宣传册、挂图等形式，积极宣传补贴政策。要建立完善农机购置补贴信息公开专栏，确保专栏有效运行。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区农机</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要重点公开实施方案、补贴额一览表、操作程序、投诉咨询方式、资金规模和使用进度、补贴受益对象、违规现象和问题等。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在年度补贴工作结束后，区农机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要以公告的形式将所有享受补贴的购机者信息及落实情况在区农业局网站上公布，同时要注意保护个人隐私。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㈤加强监管，严惩违规。区农业局、财政部门要按全面履行监管职责，以问题为导向，适时开展专项督导检查，强化监管，严惩违规，对违规现象和问题主动向社会公布。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要高度重视群众举报投诉受理查处工作。建立健全相关机制，通过电话、网络、信函等有效形式受理投诉。对实名投诉举报的问题和线索，要做到凡报必查。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要对投诉集中、“三包”服务不到位、价格虚高、采取不正当竞争、出厂编号及铭牌不规范、虚假宣传、降低配置、以次充好、骗补套补等线索具体的投诉进行调查核实。对于违反农机购置补贴政策相关规定的生产和经销企业，区农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视调查情况可对违规企业采取约谈告诫、限期整改等措施，并将有关情况和进一步处理建议报省农业厅。对于农机生产和经销企业产品补贴资格或经销补贴产品的资格被暂停、取消，所引起的纠纷和经济损失由农机生产或经销企业自行承担。</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017年广东省</w:t>
      </w:r>
      <w:r>
        <w:rPr>
          <w:rFonts w:hint="eastAsia" w:ascii="仿宋_GB2312" w:hAnsi="仿宋_GB2312" w:eastAsia="仿宋_GB2312" w:cs="仿宋_GB2312"/>
          <w:sz w:val="32"/>
          <w:szCs w:val="32"/>
          <w:lang w:val="en-US" w:eastAsia="zh-CN"/>
        </w:rPr>
        <w:t>中央财政农机购置补贴机具补贴额一览表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云城区农业局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2017年3月30日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黑体" w:hAnsi="黑体" w:eastAsia="黑体" w:cs="黑体"/>
          <w:snapToGrid w:val="0"/>
          <w:kern w:val="0"/>
          <w:sz w:val="32"/>
          <w:szCs w:val="32"/>
          <w:lang w:val="en-US" w:eastAsia="zh-CN"/>
        </w:rPr>
        <w:sectPr>
          <w:headerReference r:id="rId3" w:type="default"/>
          <w:footerReference r:id="rId4" w:type="default"/>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黑体" w:hAnsi="黑体" w:eastAsia="黑体" w:cs="黑体"/>
          <w:snapToGrid w:val="0"/>
          <w:kern w:val="0"/>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附件：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仿宋_GB2312" w:hAnsi="仿宋_GB2312" w:eastAsia="仿宋_GB2312" w:cs="仿宋_GB2312"/>
          <w:snapToGrid w:val="0"/>
          <w:kern w:val="0"/>
          <w:sz w:val="28"/>
          <w:szCs w:val="28"/>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2017年广东省中央财政农机购置补贴机具补贴额一览表</w:t>
      </w:r>
    </w:p>
    <w:tbl>
      <w:tblPr>
        <w:tblStyle w:val="8"/>
        <w:tblW w:w="156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5"/>
        <w:gridCol w:w="1095"/>
        <w:gridCol w:w="1140"/>
        <w:gridCol w:w="2010"/>
        <w:gridCol w:w="3405"/>
        <w:gridCol w:w="5460"/>
        <w:gridCol w:w="9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序号</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机具大类</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机具小类</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机具品目</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分档名称</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基本配置和参数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类型</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2017年补贴额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翻转犁</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单体幅宽35cm以下，3-4铧翻转犁</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单体幅宽＜35cm；铧体个数3-4铧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翻转犁</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单体幅宽35cm以下，5铧及以上翻转犁</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单体幅宽＜35cm；铧体个数≥5铧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翻转犁</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单体幅宽35cm及以上，3-4铧翻转犁</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单体幅宽≥35cm；铧体个数3-4铧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单轴1000-1500mm旋耕机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单轴；1000mm≤耕幅＜1500mm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单轴1500-2000mm旋耕机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单轴；1500mm≤耕幅＜2000mm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单轴2000-2500mm旋耕机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单轴；2000mm≤耕幅＜2500mm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单轴2500mm及以上旋耕机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1200mm及以上履带自走式旋耕机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形式：履带自走式；耕幅≥1200mm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单轴700-1000mm旋耕机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单轴；700mm≤耕幅＜1000mm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双轴1000-1500mm旋耕机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双轴；1000mm≤耕幅＜1500mm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双轴1500-2000mm旋耕机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双轴；1500mm≤耕幅＜2000mm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双轴2000-2500mm旋耕机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双轴；2000mm≤耕幅＜2500mm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双轴2500mm及以上旋耕机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耕整机（水田、旱田）</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功率4kW以下耕整机（水田、旱田）</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耕整机（水田、旱田）</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功率4kW及以上耕整机（水田、旱田）</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功率4kW以下微耕机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功率4kW及以上微耕机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田园管理机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功率4kW及以上田园管理机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开沟机（器）</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开沟深度50cm以下配套轮式拖拉机开沟机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配套轮式拖拉机；开沟深度＜50cm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4-5铲深松机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深松部件4-5个</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6铲及以上深松机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深松部件6个及以上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4-5铲振动式、全方位式深松机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振动或全方位式；深松部件4-5个</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联合整地机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2-2.5m深松联合整地机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2m≤作业幅宽＜2.5m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驱动耙</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2m以下驱动耙</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驱动耙</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2-3m驱动耙</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2m≤作业幅宽＜3m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起垄机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微耕机、手扶拖拉机配套起垄机（器）</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配套微耕机、手扶拖拉机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起垄机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1-2m起垄机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1m≤作业幅宽＜2m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起垄机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2-4m起垄机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2m≤作业幅宽＜4m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播种机械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根茎类种子播种机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2-3行根茎类种子播种机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2行≤播种行数≤3行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播种机械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水稻（水旱）直播机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8行及以上水稻（水旱）直播机，牵引式</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播种机械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水稻（水旱）直播机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8行及以上，自走四轮乘坐式水稻（水旱）直播机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8行及以上，自走四轮乘坐式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秧盘播种成套设备（含床土处理）</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生产率200-500(盘/h)秧盘播种成套设备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含铺底土、播种、洒水、覆土功能；200(盘/h)≤生产率＜500(盘/h)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秧盘播种成套设备（含床土处理）</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生产率500(盘/h)及以上秧盘播种成套设备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含铺底土、播种、洒水、覆土功能；生产率≥500(盘/h)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秧盘播种成套设备（含床土处理）</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床土处理设备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床土处理设备</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种子处理设备（采摘、调制、浮选、浸种、催芽、脱芒等）</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箱体式全自动温控，喷淋式种子催芽机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生产率≥400</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/每批</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4行手扶步进式水稻插秧机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手扶步进式；4行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6行及以上手扶步进式水稻插秧机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手扶步进式；6行及以上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6行及以上独轮乘坐式水稻插秧机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独轮乘坐式；6行及以上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4行四轮乘坐式水稻插秧机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四轮乘坐式；4行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6-7行四轮乘坐式水稻插秧机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四轮乘坐式；6-7行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8行及以上四轮乘坐式水稻插秧机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四轮乘坐式；8行及以上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41580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甘蔗种植机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甘蔗联合种植机(90马力≤配套动力＜120马力）</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开行、切种、放种、消毒、施肥、覆土、淋水、盖膜、镇压联合作业，种植行数：2-3行，90≤配套动力＜120马力，轮式拖拉机，有效装载量1.5吨以上，悬挂式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地膜机械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地膜覆盖机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作业幅宽在120cm及以上的普通地膜覆盖机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机引式，作业幅宽≥120cm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动力喷雾机（含担架式、推车式机动喷雾机）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动力喷雾机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12m以下悬挂及牵引式喷杆喷雾机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喷幅＜12m；形式：悬挂及牵引式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12-18m悬挂及牵引式喷杆喷雾机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12m≤喷幅＜18m；形式：悬挂及牵引式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18m及以上悬挂及牵引式喷杆喷雾机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喷幅≥18m；形式：悬挂及牵引式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18马力以下自走式喷杆喷雾机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功率＜18马力；形式：自走式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18-50马力自走式喷杆喷雾机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18马力≤功率＜50马力；形式：自走式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风送式喷雾机（含自走式、牵引式风送喷雾机）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药箱容积≥300L；喷幅20-35m</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自走式，药箱容积≥300L，20m≤喷幅＜35m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风送式喷雾机（含自走式、牵引式风送喷雾机）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药箱容积≥300L；喷幅≥35m自走式</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自走式，药箱容积≥300L；喷幅≥35m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风送式喷雾机（含自走式、牵引式风送喷雾机）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药箱容积≥1000L，喷幅半径≥6m，牵引式</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牵引式,药箱容积≥1000L，喷幅半径≥6m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修剪机械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茶树修剪机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单人手提式茶树修剪机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自带动力；单人操作；作业幅宽＜1m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修剪机械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茶树修剪机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双人平行式茶树修剪机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自带动力；双人操作；作业幅宽≥1m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中耕机械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培土机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配套动力功率≥3.5kW的培土机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配套动力功率≥3.5kW,离合器；旋耕变速箱；齿轮或链条传动，旋耕刀，扶手可调，传动装置、 底盘、 培土装置、行走轮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0.3-0.6kg/s自走履带式谷物联合收割机（全喂入）；包含0.3-1.0kg/s自走履带式水稻联合收割机（全喂入）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0.3kg/s≤喂入量＜0.6kg/s ；自走履带式；喂入方式：全喂入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0.6-1kg/s自走履带式谷物联合收割机（全喂入）；包含1-1.5kg/s自走履带式水稻联合收割机（全喂入）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0.6kg/s≤喂入量＜1kg/s ；自走履带式；喂入方式：全喂入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1-1.5kg/s自走履带式谷物联合收割机（全喂入）；包含1.5-2.1kg/s自走履带式水稻联合收割机（全喂入）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1kg/s≤喂入量＜1.5kg/s；自走履带式；喂入方式：全喂入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1.5-2.1kg/s自走履带式谷物联合收割机（全喂入）；包含2.1-3kg/s自走履带式水稻联合收割机（全喂入）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1.5kg/s≤喂入量＜2.1kg/s；自走履带式；喂入方式：全喂入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2.1-3kg/s自走履带式谷物联合收割机（全喂入）；包含3-4kg/s自走履带式水稻联合收割机（全喂入）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2.1kg/s≤喂入量＜3kg/s；自走履带式；喂入方式：全喂入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3-4kg/s自走履带式谷物联合收割机（全喂入）；包含4kg/s及以上自走履带式水稻联合收割机（全喂入）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3kg/s≤喂入量＜4kg/s；自走履带式；喂入方式：全喂入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4kg/s及以上自走履带式谷物联合收割机（全喂入）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喂入量≥4kg/s；自走履带式；喂入方式：全喂入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半喂入联合收割机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2行及以上、13-35马力的半喂入联合收割机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收获行数：2行及以上；喂入方式：半喂入；13≤功率&lt;35马力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半喂入联合收割机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3行35马力及以上半喂入联合收割机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收获行数：3行；喂入方式：半喂入；功率≥35马力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半喂入联合收割机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4行及以上35马力及以上半喂入联合收割机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收获行数≥4行；喂入方式：半喂入；功率≥35马力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花卉（茶叶）采收机械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采茶机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单人采茶机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单人操作</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花卉（茶叶）采收机械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采茶机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双人采茶机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双人操作</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籽粒作物收获机械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联合收获机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含挖掘、分离、摘过、集箱等功能。</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籽粒作物收获机械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花生摘果机，配套动力11kW及以上</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花生摘果机，配套动力≥11kW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薯类收获机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0.7-1m分段式薯类收获机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分段收获；0.7m≤作业幅宽＜1m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薯类收获机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1-1.5m分段式薯类收获机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分段收获；1m≤作业幅宽＜1.5m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薯类收获机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1.5m及以上分段式薯类收获机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分段收获；作业幅宽≥1.5m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90-100千瓦甘蔗联合收割机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甘蔗联合收割机,90kW≤功率&lt;100kW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100千瓦及以上甘蔗联合收获机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甘蔗联合收获机,功率≥100kW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甘蔗割铺机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甘蔗割铺机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甘蔗割铺机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青饲料收获机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260cm及以上自走圆盘式青饲料收获机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自走圆盘式；割幅≥260cm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捡拾压捆机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1.2-1.7m捡拾压捆机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1.2m≤捡拾宽度＜1.7m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捡拾压捆机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1.7-2.2m捡拾压捆机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1.7m≤捡拾宽度＜2.2m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捡拾压捆机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2.2m及以上捡拾压捆机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捡拾宽度≥2.2m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1m以下秸秆粉碎还田机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1-1.5m秸秆粉碎还田机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1m≤作业幅宽＜1.5m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1.5-2m秸秆粉碎还田机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1.5m≤作业幅宽＜2m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2-2.5m秸秆粉碎还田机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2m≤作业幅宽＜2.5m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2.5m及以上秸秆粉碎还田机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作业幅宽≥2.5m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脱粒机械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稻麦脱粒机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生产率300kg/h以下稻麦脱粒机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脱粒机械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稻麦脱粒机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生产率300kg/h及以上稻麦脱粒机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普通光电大米色选机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应用传统光电探测器技术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300单元以下CCD图像传感器大米色选机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300单元及以上CCD图像传感器大米色选机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300单元以下CCD图像传感器杂粮色选机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300单元及以上CCD图像传感器杂粮色选机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批处理量4t以下循环式粮食烘干机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批处理量＜4t；循环式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批处理量4-10t循环式粮食烘干机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4t≤批处理量＜10t；循环式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批处理量10-20t循环式粮食烘干机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10t≤批处理量＜20t；循环式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批处理量20-30t循环式粮食烘干机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20t≤批处理量＜30t；循环式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批处理量30t及以上循环式粮食烘干机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批处理量≥30t；循环式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处理量100t/d及以上连续式粮食烘干机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处理量≥100t/d；连续式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容积5-15m³果蔬烘干机（整体脱水）</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≤容积＜15m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；整体脱水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容积15m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及以上果蔬烘干机（整体脱水）</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容积≥15m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；整体脱水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热风炉</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供热量600-800MJ/h</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600MJ/h≤供热量＜800MJ/h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热风炉</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供热量大于1200MJ/h</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供热量≥1200MJ/h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库容50-100m³简易保鲜储藏设备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≤库容＜100m</w:t>
            </w:r>
            <w:r>
              <w:rPr>
                <w:rStyle w:val="10"/>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115元/m</w:t>
            </w:r>
            <w:r>
              <w:rPr>
                <w:rStyle w:val="10"/>
                <w:rFonts w:hint="eastAsia" w:ascii="仿宋_GB2312" w:hAnsi="仿宋_GB2312" w:eastAsia="仿宋_GB2312" w:cs="仿宋_GB2312"/>
                <w:sz w:val="18"/>
                <w:szCs w:val="18"/>
                <w:lang w:val="en-US" w:eastAsia="zh-CN" w:bidi="ar-SA"/>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库容100-200m³简易保鲜储藏设备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≤库容＜200m</w:t>
            </w:r>
            <w:r>
              <w:rPr>
                <w:rStyle w:val="10"/>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110元/m</w:t>
            </w:r>
            <w:r>
              <w:rPr>
                <w:rStyle w:val="10"/>
                <w:rFonts w:hint="eastAsia" w:ascii="仿宋_GB2312" w:hAnsi="仿宋_GB2312" w:eastAsia="仿宋_GB2312" w:cs="仿宋_GB2312"/>
                <w:sz w:val="18"/>
                <w:szCs w:val="18"/>
                <w:lang w:val="en-US" w:eastAsia="zh-CN" w:bidi="ar-SA"/>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库容200-400m³简易保鲜储藏设备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≤库容＜400m</w:t>
            </w:r>
            <w:r>
              <w:rPr>
                <w:rStyle w:val="10"/>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40元/m</w:t>
            </w:r>
            <w:r>
              <w:rPr>
                <w:rStyle w:val="10"/>
                <w:rFonts w:hint="eastAsia" w:ascii="仿宋_GB2312" w:hAnsi="仿宋_GB2312" w:eastAsia="仿宋_GB2312" w:cs="仿宋_GB2312"/>
                <w:sz w:val="18"/>
                <w:szCs w:val="18"/>
                <w:lang w:val="en-US" w:eastAsia="zh-CN" w:bidi="ar-SA"/>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库容400m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及以上简易保鲜储藏设备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 400m</w:t>
            </w:r>
            <w:r>
              <w:rPr>
                <w:rStyle w:val="10"/>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50元/m</w:t>
            </w:r>
            <w:r>
              <w:rPr>
                <w:rStyle w:val="10"/>
                <w:rFonts w:hint="eastAsia" w:ascii="仿宋_GB2312" w:hAnsi="仿宋_GB2312" w:eastAsia="仿宋_GB2312" w:cs="仿宋_GB2312"/>
                <w:sz w:val="18"/>
                <w:szCs w:val="18"/>
                <w:lang w:val="en-US" w:eastAsia="zh-CN" w:bidi="ar-SA"/>
              </w:rPr>
              <w:t>³</w:t>
            </w:r>
            <w:r>
              <w:rPr>
                <w:rStyle w:val="11"/>
                <w:rFonts w:hint="eastAsia" w:ascii="仿宋_GB2312" w:hAnsi="仿宋_GB2312" w:eastAsia="仿宋_GB2312" w:cs="仿宋_GB2312"/>
                <w:sz w:val="18"/>
                <w:szCs w:val="18"/>
                <w:lang w:val="en-US" w:eastAsia="zh-CN" w:bidi="ar-SA"/>
              </w:rPr>
              <w:t>（上限5万）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2.2kW及以上碾米机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功率≥2.2kW，电机1台、碾米装置一套。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7.5kW及以上碾米加工成套设备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功率≥7.5kW，剥壳机一台，清选机一台，碾米装置一套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水果分级机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机械鲜果分选，生产率3t/h及以上水果分级机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机械鲜果分选；生产率≥3t/h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水果分级机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光电式重量分选，分级数8-16级，生产率3t/h及以上水果分级机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光电式重量分选；8≤分级数＜16；生产率≥3t/h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水果打蜡机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生产率≥3t/h的打蜡机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生产率≥3t/h；提升机构、清洗烘干机、打蜡机；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果蔬清洗机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1.0-2.5t/h水果清洗机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1.0t/h≤生产率＜2.5t/h水果清洗机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果蔬清洗机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5t/h及以上水果清洗机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生产率≥5t/h水果清洗机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滚筒直径30-40cm杀青机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30cm≤滚筒直径＜40cm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滚筒直径40-60cm杀青机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40cm≤滚筒直径＜60cm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滚筒直径60cm及以上杀青机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燃气式杀青机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杀青方式：燃气式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其它杀青机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杀青方式：蒸汽、微波、电磁、高温热风</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揉筒直径35cm以下揉捻机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揉筒直径＜35cm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揉筒直径35-50cm揉捻机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35cm≤揉筒直径＜50cm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揉筒直径50-60cm揉捻机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50cm≤揉筒直径＜60cm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揉筒直径60cm及以上揉捻机（含揉捻机组）</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非全自动茶叶炒干机（含扁形茶炒制机）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非全自动茶叶炒干机、扁形茶炒制机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锅槽面积0.5-1㎡理条烘干机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理条烘干机；0.5</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≤锅槽面积＜1</w:t>
            </w:r>
            <w:r>
              <w:rPr>
                <w:rStyle w:val="10"/>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锅槽面积1-2.5㎡理条烘干机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理条烘干机；1</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≤锅槽面积＜2.5</w:t>
            </w:r>
            <w:r>
              <w:rPr>
                <w:rStyle w:val="10"/>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1-2锅（槽）全自动茶叶炒干机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全自动控制作业；1-2锅（槽）</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以下连续自动式茶叶烘干机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连续自动式茶叶烘干机；烘干面积＜10</w:t>
            </w:r>
            <w:r>
              <w:rPr>
                <w:rStyle w:val="10"/>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及以上连续自动式茶叶烘干机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连续自动式茶叶烘干机；烘干面积≥10</w:t>
            </w:r>
            <w:r>
              <w:rPr>
                <w:rStyle w:val="10"/>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以下百叶式茶叶烘干机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百叶式茶叶烘干机；烘干面积＜10</w:t>
            </w:r>
            <w:r>
              <w:rPr>
                <w:rStyle w:val="10"/>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及以上百叶式茶叶烘干机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百叶式茶叶烘干机；烘干面积≥10</w:t>
            </w:r>
            <w:r>
              <w:rPr>
                <w:rStyle w:val="10"/>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茶叶筛选机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通道数为63-127茶叶色选机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茶叶色选机，63≤通道数＜128</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茶叶筛选机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通道数128及以上茶叶色选机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茶叶色选机，通道数≥128</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茶叶筛选机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其他茶叶筛选机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其他茶叶筛选机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2.2kW以下潜水泵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电机功率＜2.2kW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2.2-7.5kW潜水泵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2.2kW≤电机功率＜7.5kW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7.5-9.2kW潜水泵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7.5kW≤电机功率＜9.2kW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9.2-18.5kW潜水泵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9.2kW≤电机功率＜18.5kW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喷灌机械设备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汽油机轻小型机组式喷灌机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汽油机；轻小型机组式喷灌机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1t/h≤生产率＜3t/h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3t/h≤生产率＜6t/h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6-9t/h铡草机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6t/h≤生产率＜9t/h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9-15t/h铡草机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9t/h≤生产率＜15t/h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1t/h以下揉丝机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生产率＜1t/h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1t/h≤生产率＜2t/h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2t/h≤生产率＜4t/h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6-10t/h揉丝机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6t/h≤生产率＜10t/h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10-15t/h揉丝机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10t/h≤生产率＜15t/h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饲料粉碎机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400mm以下饲料粉碎机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转子直径＜400mm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饲料粉碎机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400-550mm饲料粉碎机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400mm≤转子直径＜550mm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及以上立式混合机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；立式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以下立式混合机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；立式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以下卧式（单轴）混合机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；卧式；单轴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及以上卧式（单轴）混合机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；卧式；单轴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卧式（双轴）混合机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卧式；双轴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饲料搅拌机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4-9m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饲料全混合日粮制备机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≤搅拌室容积＜9m</w:t>
            </w:r>
            <w:r>
              <w:rPr>
                <w:rStyle w:val="12"/>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饲料搅拌机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9-12m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饲料全混合日粮制备机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≤搅拌室容积＜12m</w:t>
            </w:r>
            <w:r>
              <w:rPr>
                <w:rStyle w:val="12"/>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饲料搅拌机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及以上饲料全混合日粮制备机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搅拌室容积≥12m</w:t>
            </w:r>
            <w:r>
              <w:rPr>
                <w:rStyle w:val="12"/>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孵化机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10000-50000枚孵化机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10000枚≤蛋容量＜50000枚</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孵化机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50000枚及以上孵化机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蛋容量≥50000枚</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100-200m索盘式喂（送）料机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索盘式；100m≤送料长度＜200m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200m及以上索盘式喂（送）料机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索盘式；送料长度≥200m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1.5kW、40m-60m螺旋喂料机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功率≥1.5kW；40m≤输送长度&lt;60m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1.5kW、60m以上螺旋喂料机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功率≥1.5kW；60m≤输送长度</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自由采食装置</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自由采食装置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清粪机（车）</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带式清粪机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鸡舍用带式清粪机，单层每层面积≥100m</w:t>
            </w:r>
            <w:r>
              <w:rPr>
                <w:rStyle w:val="12"/>
                <w:rFonts w:hint="eastAsia" w:ascii="仿宋_GB2312" w:hAnsi="仿宋_GB2312" w:eastAsia="仿宋_GB2312" w:cs="仿宋_GB2312"/>
                <w:sz w:val="18"/>
                <w:szCs w:val="18"/>
                <w:lang w:val="en-US" w:eastAsia="zh-CN" w:bidi="ar-SA"/>
              </w:rPr>
              <w:t>2</w:t>
            </w:r>
            <w:r>
              <w:rPr>
                <w:rStyle w:val="11"/>
                <w:rFonts w:hint="eastAsia" w:ascii="仿宋_GB2312" w:hAnsi="仿宋_GB2312" w:eastAsia="仿宋_GB2312" w:cs="仿宋_GB2312"/>
                <w:sz w:val="18"/>
                <w:szCs w:val="18"/>
                <w:lang w:val="en-US" w:eastAsia="zh-CN" w:bidi="ar-SA"/>
              </w:rPr>
              <w:t>（按每层计算补贴额）。</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水帘降温设备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水帘降温设备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功率≥1.1kW，配套水帘≥4㎡</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14杯组平面式挤奶机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杯组数：14；形式：平面式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16杯组及以上平面式挤奶机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杯组数≥16；形式：平面式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32杯组手动脱杯中置（鱼骨）式挤奶机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杯组数：32；脱杯方式：手动；形式：中置（鱼骨）式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14杯组及以上自动脱杯中置（鱼骨）式挤奶机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杯组数≥14；脱杯方式：自动；形式：中置（鱼骨）式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16杯组及以上自动脱杯并列（转盘）式挤奶机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杯组数≥16；脱杯方式：自动；形式：并列（转盘）式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冷藏罐</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3000-6000L非全自动清洗冷藏罐</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3000L≤容量＜6000L；清洗方式：非全自动清洗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冷藏罐</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6000L及以上全自动清洗冷藏罐</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容量≥6000L；清洗方式：全自动清洗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冷藏罐</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6000L及以上非全自动清洗冷藏罐</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容量≥6000L；清洗方式：非全自动清洗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增氧机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普通型增氧机、1.5kW及以上水车式增氧机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普通型增氧机、1.5kW及以上水车式增氧机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增氧机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微孔曝气式增氧机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曝气式增氧机；功率≥1kW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网箱养殖设备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280-1200m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简易网箱（带框架、不带浮筒/浮架）</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280m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≤容积&lt;1200m</w:t>
            </w:r>
            <w:r>
              <w:rPr>
                <w:rStyle w:val="12"/>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网箱养殖设备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大于1200m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简易网箱（带框架、不带浮筒/浮架）</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容积≥1200m</w:t>
            </w:r>
            <w:r>
              <w:rPr>
                <w:rStyle w:val="12"/>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网箱养殖设备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70-210m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浮动式网箱（带浮筒、浮架/框架）</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70m</w:t>
            </w:r>
            <w:r>
              <w:rPr>
                <w:rStyle w:val="12"/>
                <w:rFonts w:hint="eastAsia" w:ascii="仿宋_GB2312" w:hAnsi="仿宋_GB2312" w:eastAsia="仿宋_GB2312" w:cs="仿宋_GB2312"/>
                <w:sz w:val="18"/>
                <w:szCs w:val="18"/>
                <w:lang w:val="en-US" w:eastAsia="zh-CN" w:bidi="ar-SA"/>
              </w:rPr>
              <w:t>3</w:t>
            </w:r>
            <w:r>
              <w:rPr>
                <w:rStyle w:val="11"/>
                <w:rFonts w:hint="eastAsia" w:ascii="仿宋_GB2312" w:hAnsi="仿宋_GB2312" w:eastAsia="仿宋_GB2312" w:cs="仿宋_GB2312"/>
                <w:sz w:val="18"/>
                <w:szCs w:val="18"/>
                <w:lang w:val="en-US" w:eastAsia="zh-CN" w:bidi="ar-SA"/>
              </w:rPr>
              <w:t>≤容积&lt;210m</w:t>
            </w:r>
            <w:r>
              <w:rPr>
                <w:rStyle w:val="12"/>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水体净化处理设备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水体净化处理设备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带增氧功能，且有匀（调）水、加温或消毒功能的水体净化处理设备</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20-25马力两轮驱动拖拉机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20马力≤功率＜25马力；驱动方式：两轮驱动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30-35马力两轮驱动拖拉机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30马力≤功率＜35马力；驱动方式：两轮驱动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35-40马力两轮驱动拖拉机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35马力≤功率＜40马力；驱动方式：两轮驱动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40-45马力两轮驱动拖拉机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40马力≤功率＜45马力；驱动方式：两轮驱动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45-50马力两轮驱动拖拉机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45马力≤功率＜50马力；驱动方式：两轮驱动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50-55马力两轮驱动拖拉机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50马力≤功率＜55马力；驱动方式：两轮驱动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55-60马力两轮驱动拖拉机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55马力≤功率＜60马力；驱动方式：两轮驱动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60-65马力两轮驱动拖拉机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60马力≤功率＜65马力；驱动方式：两轮驱动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65-70马力两轮驱动拖拉机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65马力≤功率＜70马力；驱动方式：两轮驱动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70-75马力两轮驱动拖拉机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70马力≤功率＜75马力；驱动方式：两轮驱动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75-80马力两轮驱动拖拉机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75马力≤功率＜80马力；驱动方式：两轮驱动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80-85马力两轮驱动拖拉机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80马力≤功率＜85马力；驱动方式：两轮驱动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85-90马力两轮驱动拖拉机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85马力≤功率＜90马力；驱动方式：两轮驱动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90-95马力两轮驱动拖拉机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90马力≤功率＜95马力；驱动方式：两轮驱动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95-100马力两轮驱动拖拉机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95马力≤功率＜100马力；驱动方式：两轮驱动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100马力及以上两轮驱动拖拉机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功率≥100马力；驱动方式：两轮驱动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25-30马力四轮驱动拖拉机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25马力≤功率＜30马力；驱动方式：四轮驱动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30-35马力四轮驱动拖拉机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30马力≤功率＜35马力；驱动方式：四轮驱动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35-40马力四轮驱动拖拉机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35马力≤功率＜40马力；驱动方式：四轮驱动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40-45马力四轮驱动拖拉机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40马力≤功率＜45马力；驱动方式：四轮驱动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45-50马力四轮驱动拖拉机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45马力≤功率＜50马力；驱动方式：四轮驱动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50-55马力四轮驱动拖拉机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50马力≤功率＜55马力；驱动方式：四轮驱动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55-60马力四轮驱动拖拉机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55马力≤功率＜60马力；驱动方式：四轮驱动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60-65马力四轮驱动拖拉机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60马力≤功率＜65马力；驱动方式：四轮驱动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65-70马力四轮驱动拖拉机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65马力≤功率＜70马力；驱动方式：四轮驱动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70-75马力四轮驱动拖拉机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70马力≤功率＜75马力；驱动方式：四轮驱动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75-80马力四轮驱动拖拉机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75马力≤功率＜80马力；驱动方式：四轮驱动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80-85马力四轮驱动拖拉机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80马力≤功率＜85马力；驱动方式：四轮驱动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85-90马力四轮驱动拖拉机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85马力≤功率＜90马力；驱动方式：四轮驱动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90-95马力四轮驱动拖拉机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90马力≤功率＜95马力；驱动方式：四轮驱动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95-100马力四轮驱动拖拉机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95马力≤功率＜100马力；驱动方式：四轮驱动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100-110马力四轮驱动拖拉机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100马力≤功率＜110马力；驱动方式：四轮驱动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110-120马力四轮驱动拖拉机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110马力≤功率＜120马力；驱动方式：四轮驱动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120-130马力四轮驱动拖拉机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120马力≤功率＜130马力；驱动方式：四轮驱动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130-140马力四轮驱动拖拉机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130马力≤功率＜140马力；驱动方式：四轮驱动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140-150马力四轮驱动拖拉机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140马力≤功率＜150马力；驱动方式：四轮驱动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150-180马力四轮驱动拖拉机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150马力≤功率＜180马力；驱动方式：四轮驱动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180-200马力四轮驱动拖拉机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180马力≤功率＜200马力；驱动方式：四轮驱动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200-210马力四轮驱动拖拉机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200马力≤功率＜210马力；驱动方式：四轮驱动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210马力及以上四轮驱动拖拉机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功率≥210马力；驱动方式：四轮驱动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4-8马力皮带传动手扶拖拉机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传动方式：皮带传动；4马力≤功率＜8马力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8马力及以上皮带传动手扶拖拉机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传动方式：皮带传动；功率≥8马力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11马力及以上直联传动手扶拖拉机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传动方式：直联传动；功率≥11马力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轻型履带式拖拉机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轻型履带式；50马力≤配套动力≤80马力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50-60马力履带式拖拉机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50马力≤功率＜60马力；驱动方式：履带式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60-70马力履带式拖拉机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60马力≤功率＜70马力；驱动方式：履带式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70-80马力履带式拖拉机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70马力≤功率＜80马力；驱动方式：履带式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80-90马力履带式拖拉机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80马力≤功率＜90马力；驱动方式：履带式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90-100马力履带式拖拉机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90马力≤功率＜100马力；驱动方式：履带式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100-110马力履带式拖拉机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100马力≤功率＜110马力；驱动方式：履带式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120-130马力履带式拖拉机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120马力≤功率＜130马力；驱动方式：履带式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130-140马力履带式拖拉机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130马力≤功率＜140马力；驱动方式：履带式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固液分离机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电机总功率5kW以下固液分离机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电机总功率＜5kW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固液分离机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电机总功率5-10kW固液分离机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5kW≤电机总功率＜10kW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固液分离机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电机总功率10kW及以上固液分离机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电机总功率≥10kW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病死畜禽无害化处理设备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处理量100-400kg病死畜禽无害化处理设备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100kg≤单批次处理量</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400kg，并采用生物降解技术，配套除臭装置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病死畜禽无害化处理设备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处理量400-800kg病死畜禽无害化处理设备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400kg≤单批次处理量</w:t>
            </w:r>
            <w:r>
              <w:rPr>
                <w:rStyle w:val="10"/>
                <w:rFonts w:hint="eastAsia" w:ascii="仿宋_GB2312" w:hAnsi="仿宋_GB2312" w:eastAsia="仿宋_GB2312" w:cs="仿宋_GB2312"/>
                <w:sz w:val="18"/>
                <w:szCs w:val="18"/>
                <w:lang w:val="en-US" w:eastAsia="zh-CN" w:bidi="ar-SA"/>
              </w:rPr>
              <w:t>﹤</w:t>
            </w:r>
            <w:r>
              <w:rPr>
                <w:rStyle w:val="11"/>
                <w:rFonts w:hint="eastAsia" w:ascii="仿宋_GB2312" w:hAnsi="仿宋_GB2312" w:eastAsia="仿宋_GB2312" w:cs="仿宋_GB2312"/>
                <w:sz w:val="18"/>
                <w:szCs w:val="18"/>
                <w:lang w:val="en-US" w:eastAsia="zh-CN" w:bidi="ar-SA"/>
              </w:rPr>
              <w:t>800kg，并采用生物降解技术，配套除臭装置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病死畜禽无害化处理设备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处理量800kg及以上病死畜禽无害化处理设备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单批次处理量≥800kg，并采用生物降解技术，配套除臭装置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50000</w:t>
            </w:r>
          </w:p>
        </w:tc>
      </w:tr>
    </w:tbl>
    <w:p/>
    <w:sectPr>
      <w:pgSz w:w="16838" w:h="11906" w:orient="landscape"/>
      <w:pgMar w:top="1531" w:right="1871" w:bottom="1531" w:left="1871" w:header="851" w:footer="1417"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47DA4"/>
    <w:rsid w:val="026859E6"/>
    <w:rsid w:val="121F045B"/>
    <w:rsid w:val="22DC6709"/>
    <w:rsid w:val="2582177D"/>
    <w:rsid w:val="30026CA1"/>
    <w:rsid w:val="39F9789E"/>
    <w:rsid w:val="3C3229B6"/>
    <w:rsid w:val="3EDC2112"/>
    <w:rsid w:val="3FD47DA4"/>
    <w:rsid w:val="49B84A19"/>
    <w:rsid w:val="4E26552A"/>
    <w:rsid w:val="583933F1"/>
    <w:rsid w:val="78E77B34"/>
    <w:rsid w:val="790155DC"/>
    <w:rsid w:val="7C360E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link w:val="6"/>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tabs>
        <w:tab w:val="left" w:pos="6615"/>
      </w:tabs>
      <w:spacing w:line="590" w:lineRule="exact"/>
      <w:ind w:firstLine="640" w:firstLineChars="200"/>
    </w:pPr>
    <w:rPr>
      <w:rFonts w:ascii="仿宋_GB2312" w:eastAsia="仿宋_GB2312"/>
      <w:sz w:val="32"/>
    </w:rPr>
  </w:style>
  <w:style w:type="paragraph" w:customStyle="1" w:styleId="6">
    <w:name w:val="Char Char Char Char"/>
    <w:basedOn w:val="1"/>
    <w:link w:val="5"/>
    <w:qFormat/>
    <w:uiPriority w:val="0"/>
    <w:pPr>
      <w:widowControl/>
      <w:spacing w:after="160" w:line="240" w:lineRule="exact"/>
      <w:jc w:val="left"/>
    </w:pPr>
    <w:rPr>
      <w:rFonts w:eastAsia="仿宋_GB2312"/>
      <w:sz w:val="32"/>
      <w:szCs w:val="32"/>
    </w:rPr>
  </w:style>
  <w:style w:type="character" w:styleId="7">
    <w:name w:val="page number"/>
    <w:basedOn w:val="5"/>
    <w:qFormat/>
    <w:uiPriority w:val="0"/>
  </w:style>
  <w:style w:type="paragraph" w:customStyle="1" w:styleId="9">
    <w:name w:val=" Char Char Char Char Char Char"/>
    <w:basedOn w:val="1"/>
    <w:link w:val="5"/>
    <w:qFormat/>
    <w:uiPriority w:val="0"/>
    <w:pPr>
      <w:widowControl/>
      <w:spacing w:after="160" w:afterLines="0" w:line="240" w:lineRule="exact"/>
      <w:jc w:val="left"/>
    </w:pPr>
  </w:style>
  <w:style w:type="character" w:customStyle="1" w:styleId="10">
    <w:name w:val="font11"/>
    <w:basedOn w:val="5"/>
    <w:qFormat/>
    <w:uiPriority w:val="0"/>
    <w:rPr>
      <w:rFonts w:hint="eastAsia" w:ascii="宋体" w:hAnsi="宋体" w:eastAsia="宋体" w:cs="宋体"/>
      <w:color w:val="000000"/>
      <w:sz w:val="16"/>
      <w:szCs w:val="16"/>
      <w:u w:val="none"/>
    </w:rPr>
  </w:style>
  <w:style w:type="character" w:customStyle="1" w:styleId="11">
    <w:name w:val="font21"/>
    <w:basedOn w:val="5"/>
    <w:qFormat/>
    <w:uiPriority w:val="0"/>
    <w:rPr>
      <w:rFonts w:hint="eastAsia" w:ascii="仿宋_GB2312" w:eastAsia="仿宋_GB2312" w:cs="仿宋_GB2312"/>
      <w:color w:val="000000"/>
      <w:sz w:val="16"/>
      <w:szCs w:val="16"/>
      <w:u w:val="none"/>
    </w:rPr>
  </w:style>
  <w:style w:type="character" w:customStyle="1" w:styleId="12">
    <w:name w:val="font01"/>
    <w:basedOn w:val="5"/>
    <w:qFormat/>
    <w:uiPriority w:val="0"/>
    <w:rPr>
      <w:rFonts w:hint="eastAsia" w:ascii="仿宋_GB2312" w:eastAsia="仿宋_GB2312" w:cs="仿宋_GB2312"/>
      <w:color w:val="000000"/>
      <w:sz w:val="16"/>
      <w:szCs w:val="16"/>
      <w:u w:val="none"/>
      <w:vertAlign w:val="superscript"/>
    </w:rPr>
  </w:style>
  <w:style w:type="paragraph" w:customStyle="1" w:styleId="13">
    <w:name w:val="正文 New"/>
    <w:qFormat/>
    <w:uiPriority w:val="0"/>
    <w:pPr>
      <w:widowControl w:val="0"/>
      <w:jc w:val="both"/>
    </w:pPr>
    <w:rPr>
      <w:rFonts w:eastAsia="仿宋_GB2312" w:asciiTheme="minorHAnsi" w:hAnsiTheme="minorHAnsi" w:cstheme="minorBidi"/>
      <w:kern w:val="2"/>
      <w:sz w:val="32"/>
      <w:szCs w:val="32"/>
      <w:lang w:val="en-US" w:eastAsia="zh-CN" w:bidi="ar-SA"/>
    </w:rPr>
  </w:style>
  <w:style w:type="paragraph" w:customStyle="1" w:styleId="14">
    <w:name w:val="正文 New New New New New New New New New New New"/>
    <w:qFormat/>
    <w:uiPriority w:val="0"/>
    <w:pPr>
      <w:widowControl w:val="0"/>
      <w:jc w:val="both"/>
    </w:pPr>
    <w:rPr>
      <w:rFonts w:eastAsia="宋体"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2017-09-05T00:57:00Z</dcterms:created>
  <dc:creator>Administrator</dc:creator>
  <cp:lastModifiedBy>admin</cp:lastModifiedBy>
  <dcterms:modified xsi:type="dcterms:W3CDTF">2017-09-19T03:08:34Z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