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942" w:lineRule="exact"/>
        <w:ind w:right="100" w:firstLine="43"/>
        <w:jc w:val="center"/>
        <w:rPr>
          <w:rFonts w:hint="default" w:ascii="宋体" w:hAnsi="宋体" w:eastAsia="宋体" w:cs="宋体"/>
          <w:b/>
          <w:bCs/>
          <w:snapToGrid/>
          <w:color w:val="FF0000"/>
          <w:spacing w:val="108"/>
          <w:kern w:val="0"/>
          <w:sz w:val="66"/>
          <w:szCs w:val="66"/>
          <w:lang w:val="en-US" w:eastAsia="zh-CN"/>
        </w:rPr>
      </w:pPr>
      <w:bookmarkStart w:id="0" w:name="_GoBack"/>
      <w:bookmarkEnd w:id="0"/>
      <w:r>
        <w:rPr>
          <w:rFonts w:hint="eastAsia" w:ascii="宋体" w:hAnsi="宋体" w:eastAsia="宋体" w:cs="宋体"/>
          <w:b/>
          <w:bCs/>
          <w:snapToGrid/>
          <w:color w:val="FF0000"/>
          <w:spacing w:val="108"/>
          <w:kern w:val="0"/>
          <w:sz w:val="66"/>
          <w:szCs w:val="66"/>
          <w:lang w:val="en-US" w:eastAsia="zh-CN"/>
        </w:rPr>
        <w:t>翁源县农业机械管理局</w:t>
      </w:r>
    </w:p>
    <w:p>
      <w:pPr>
        <w:spacing w:after="0" w:line="942" w:lineRule="exact"/>
        <w:ind w:right="100" w:firstLine="43"/>
        <w:jc w:val="center"/>
        <w:rPr>
          <w:rFonts w:hint="default" w:ascii="宋体" w:hAnsi="宋体" w:eastAsia="宋体" w:cs="宋体"/>
          <w:b/>
          <w:bCs/>
          <w:snapToGrid/>
          <w:color w:val="FF0000"/>
          <w:spacing w:val="20"/>
          <w:kern w:val="0"/>
          <w:sz w:val="66"/>
          <w:szCs w:val="66"/>
          <w:lang w:val="en-US" w:eastAsia="zh-CN"/>
        </w:rPr>
      </w:pPr>
      <w:r>
        <w:rPr>
          <w:rFonts w:hint="eastAsia" w:ascii="宋体" w:hAnsi="宋体" w:eastAsia="宋体" w:cs="宋体"/>
          <w:b/>
          <w:bCs/>
          <w:snapToGrid/>
          <w:color w:val="FF0000"/>
          <w:spacing w:val="147"/>
          <w:kern w:val="0"/>
          <w:sz w:val="66"/>
          <w:szCs w:val="66"/>
          <w:lang w:val="en-US" w:eastAsia="zh-CN"/>
        </w:rPr>
        <w:t>翁 源 县 财 政 局</w:t>
      </w:r>
    </w:p>
    <w:p>
      <w:pPr>
        <w:spacing w:after="0" w:line="388" w:lineRule="exact"/>
        <w:jc w:val="center"/>
        <w:rPr>
          <w:rFonts w:ascii="宋体" w:hAnsi="宋体" w:eastAsia="宋体" w:cs="宋体"/>
          <w:color w:val="auto"/>
          <w:sz w:val="32"/>
          <w:szCs w:val="32"/>
        </w:rPr>
      </w:pPr>
    </w:p>
    <w:p>
      <w:pPr>
        <w:spacing w:after="0" w:line="388" w:lineRule="exact"/>
        <w:jc w:val="center"/>
        <w:rPr>
          <w:rFonts w:ascii="宋体" w:hAnsi="宋体" w:eastAsia="宋体" w:cs="宋体"/>
          <w:b/>
          <w:bCs/>
          <w:color w:val="FF0000"/>
          <w:sz w:val="66"/>
          <w:szCs w:val="66"/>
        </w:rPr>
      </w:pPr>
      <w:r>
        <w:rPr>
          <w:rFonts w:hint="eastAsia" w:ascii="宋体" w:hAnsi="宋体" w:eastAsia="宋体" w:cs="宋体"/>
          <w:b/>
          <w:bCs/>
          <w:color w:val="FF0000"/>
          <w:sz w:val="32"/>
          <w:szCs w:val="32"/>
          <w:lang w:val="en-US" w:eastAsia="zh-CN"/>
        </w:rPr>
        <w:t>翁农财联</w:t>
      </w:r>
      <w:r>
        <w:rPr>
          <w:rFonts w:ascii="宋体" w:hAnsi="宋体" w:eastAsia="宋体" w:cs="宋体"/>
          <w:b/>
          <w:bCs/>
          <w:color w:val="FF0000"/>
          <w:sz w:val="32"/>
          <w:szCs w:val="32"/>
        </w:rPr>
        <w:t>〔</w:t>
      </w:r>
      <w:r>
        <w:rPr>
          <w:rFonts w:ascii="Arial" w:hAnsi="Arial" w:eastAsia="Arial" w:cs="Arial"/>
          <w:b/>
          <w:bCs/>
          <w:color w:val="FF0000"/>
          <w:sz w:val="32"/>
          <w:szCs w:val="32"/>
        </w:rPr>
        <w:t>2021</w:t>
      </w:r>
      <w:r>
        <w:rPr>
          <w:rFonts w:ascii="宋体" w:hAnsi="宋体" w:eastAsia="宋体" w:cs="宋体"/>
          <w:b/>
          <w:bCs/>
          <w:color w:val="FF0000"/>
          <w:sz w:val="32"/>
          <w:szCs w:val="32"/>
        </w:rPr>
        <w:t>〕</w:t>
      </w:r>
      <w:r>
        <w:rPr>
          <w:rFonts w:hint="eastAsia" w:ascii="宋体" w:hAnsi="宋体" w:eastAsia="宋体" w:cs="宋体"/>
          <w:b/>
          <w:bCs/>
          <w:color w:val="FF0000"/>
          <w:sz w:val="32"/>
          <w:szCs w:val="32"/>
          <w:lang w:val="en-US" w:eastAsia="zh-CN"/>
        </w:rPr>
        <w:t>1</w:t>
      </w:r>
      <w:r>
        <w:rPr>
          <w:rFonts w:ascii="宋体" w:hAnsi="宋体" w:eastAsia="宋体" w:cs="宋体"/>
          <w:b/>
          <w:bCs/>
          <w:color w:val="FF0000"/>
          <w:sz w:val="32"/>
          <w:szCs w:val="32"/>
        </w:rPr>
        <w:t>号</w:t>
      </w:r>
    </w:p>
    <w:p>
      <w:pPr>
        <w:spacing w:after="0" w:line="20" w:lineRule="exact"/>
        <w:rPr>
          <w:color w:val="auto"/>
          <w:sz w:val="24"/>
          <w:szCs w:val="24"/>
        </w:rPr>
      </w:pPr>
      <w:r>
        <w:rPr>
          <w:color w:val="auto"/>
          <w:sz w:val="24"/>
          <w:szCs w:val="24"/>
        </w:rPr>
        <w:drawing>
          <wp:anchor distT="0" distB="0" distL="114300" distR="114300" simplePos="0" relativeHeight="251659264" behindDoc="1" locked="0" layoutInCell="0" allowOverlap="1">
            <wp:simplePos x="0" y="0"/>
            <wp:positionH relativeFrom="column">
              <wp:posOffset>1270</wp:posOffset>
            </wp:positionH>
            <wp:positionV relativeFrom="paragraph">
              <wp:posOffset>186690</wp:posOffset>
            </wp:positionV>
            <wp:extent cx="5718810" cy="1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5718810" cy="18415"/>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373" w:lineRule="exact"/>
        <w:rPr>
          <w:color w:val="auto"/>
          <w:sz w:val="24"/>
          <w:szCs w:val="24"/>
        </w:rPr>
      </w:pPr>
    </w:p>
    <w:p>
      <w:pPr>
        <w:spacing w:after="0" w:line="552" w:lineRule="exact"/>
        <w:ind w:right="60"/>
        <w:jc w:val="center"/>
        <w:rPr>
          <w:rFonts w:ascii="宋体" w:hAnsi="宋体" w:eastAsia="宋体" w:cs="宋体"/>
          <w:b/>
          <w:bCs/>
          <w:color w:val="auto"/>
          <w:sz w:val="40"/>
          <w:szCs w:val="40"/>
        </w:rPr>
      </w:pPr>
      <w:r>
        <w:rPr>
          <w:rFonts w:hint="eastAsia" w:ascii="宋体" w:hAnsi="宋体" w:eastAsia="宋体" w:cs="宋体"/>
          <w:b/>
          <w:bCs/>
          <w:color w:val="auto"/>
          <w:sz w:val="40"/>
          <w:szCs w:val="40"/>
          <w:lang w:val="en-US" w:eastAsia="zh-CN"/>
        </w:rPr>
        <w:t>翁源县农业机械管理局 翁源县财政局</w:t>
      </w:r>
      <w:r>
        <w:rPr>
          <w:rFonts w:ascii="宋体" w:hAnsi="宋体" w:eastAsia="宋体" w:cs="宋体"/>
          <w:b/>
          <w:bCs/>
          <w:color w:val="auto"/>
          <w:sz w:val="40"/>
          <w:szCs w:val="40"/>
        </w:rPr>
        <w:t>关于印发</w:t>
      </w:r>
    </w:p>
    <w:p>
      <w:pPr>
        <w:spacing w:after="0" w:line="552" w:lineRule="exact"/>
        <w:ind w:right="60"/>
        <w:jc w:val="center"/>
        <w:rPr>
          <w:rFonts w:ascii="宋体" w:hAnsi="宋体" w:eastAsia="宋体" w:cs="宋体"/>
          <w:b/>
          <w:bCs/>
          <w:color w:val="auto"/>
          <w:sz w:val="40"/>
          <w:szCs w:val="40"/>
        </w:rPr>
      </w:pPr>
      <w:r>
        <w:rPr>
          <w:rFonts w:ascii="宋体" w:hAnsi="宋体" w:eastAsia="宋体" w:cs="宋体"/>
          <w:b/>
          <w:bCs/>
          <w:color w:val="auto"/>
          <w:sz w:val="40"/>
          <w:szCs w:val="40"/>
        </w:rPr>
        <w:t>《</w:t>
      </w:r>
      <w:r>
        <w:rPr>
          <w:rFonts w:hint="eastAsia" w:ascii="宋体" w:hAnsi="宋体" w:eastAsia="宋体" w:cs="宋体"/>
          <w:b/>
          <w:bCs/>
          <w:color w:val="auto"/>
          <w:sz w:val="40"/>
          <w:szCs w:val="40"/>
          <w:lang w:val="en-US" w:eastAsia="zh-CN"/>
        </w:rPr>
        <w:t>翁源县</w:t>
      </w:r>
      <w:r>
        <w:rPr>
          <w:rFonts w:ascii="Arial" w:hAnsi="Arial" w:eastAsia="Arial" w:cs="Arial"/>
          <w:b/>
          <w:bCs/>
          <w:color w:val="auto"/>
          <w:sz w:val="40"/>
          <w:szCs w:val="40"/>
        </w:rPr>
        <w:t xml:space="preserve">2021-2023 </w:t>
      </w:r>
      <w:r>
        <w:rPr>
          <w:rFonts w:ascii="宋体" w:hAnsi="宋体" w:eastAsia="宋体" w:cs="宋体"/>
          <w:b/>
          <w:bCs/>
          <w:color w:val="auto"/>
          <w:sz w:val="40"/>
          <w:szCs w:val="40"/>
        </w:rPr>
        <w:t>年中央财政农机</w:t>
      </w:r>
    </w:p>
    <w:p>
      <w:pPr>
        <w:spacing w:after="0" w:line="552" w:lineRule="exact"/>
        <w:ind w:right="60"/>
        <w:jc w:val="center"/>
        <w:rPr>
          <w:b/>
          <w:bCs/>
          <w:color w:val="auto"/>
          <w:sz w:val="20"/>
          <w:szCs w:val="20"/>
        </w:rPr>
      </w:pPr>
      <w:r>
        <w:rPr>
          <w:rFonts w:ascii="宋体" w:hAnsi="宋体" w:eastAsia="宋体" w:cs="宋体"/>
          <w:b/>
          <w:bCs/>
          <w:color w:val="auto"/>
          <w:sz w:val="40"/>
          <w:szCs w:val="40"/>
        </w:rPr>
        <w:t>购置补贴实施方案》的通知</w:t>
      </w:r>
    </w:p>
    <w:p>
      <w:pPr>
        <w:spacing w:after="0" w:line="200" w:lineRule="exact"/>
        <w:rPr>
          <w:color w:val="auto"/>
          <w:sz w:val="24"/>
          <w:szCs w:val="24"/>
        </w:rPr>
      </w:pPr>
    </w:p>
    <w:p>
      <w:pPr>
        <w:spacing w:after="0" w:line="200" w:lineRule="exact"/>
        <w:rPr>
          <w:color w:val="auto"/>
          <w:sz w:val="24"/>
          <w:szCs w:val="24"/>
        </w:rPr>
      </w:pPr>
    </w:p>
    <w:p>
      <w:pPr>
        <w:spacing w:after="0" w:line="543" w:lineRule="exac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各镇：</w:t>
      </w:r>
    </w:p>
    <w:p>
      <w:pPr>
        <w:spacing w:after="0" w:line="543" w:lineRule="exact"/>
        <w:ind w:firstLine="640" w:firstLineChars="200"/>
        <w:rPr>
          <w:rFonts w:hint="default" w:eastAsia="宋体"/>
          <w:color w:val="auto"/>
          <w:sz w:val="20"/>
          <w:szCs w:val="20"/>
          <w:lang w:val="en-US" w:eastAsia="zh-CN"/>
        </w:rPr>
      </w:pPr>
      <w:r>
        <w:rPr>
          <w:rFonts w:ascii="宋体" w:hAnsi="宋体" w:eastAsia="宋体" w:cs="宋体"/>
          <w:color w:val="auto"/>
          <w:sz w:val="32"/>
          <w:szCs w:val="32"/>
        </w:rPr>
        <w:t>为切实做好</w:t>
      </w:r>
      <w:r>
        <w:rPr>
          <w:rFonts w:ascii="Arial" w:hAnsi="Arial" w:eastAsia="Arial" w:cs="Arial"/>
          <w:color w:val="auto"/>
          <w:sz w:val="32"/>
          <w:szCs w:val="32"/>
        </w:rPr>
        <w:t xml:space="preserve"> 2021-2023 </w:t>
      </w:r>
      <w:r>
        <w:rPr>
          <w:rFonts w:ascii="宋体" w:hAnsi="宋体" w:eastAsia="宋体" w:cs="宋体"/>
          <w:color w:val="auto"/>
          <w:sz w:val="32"/>
          <w:szCs w:val="32"/>
        </w:rPr>
        <w:t>年中央财政农机购置补贴工作，根据《农业农村部办公厅 财政部办公厅关于印发〈</w:t>
      </w:r>
      <w:r>
        <w:rPr>
          <w:rFonts w:ascii="Arial" w:hAnsi="Arial" w:eastAsia="Arial" w:cs="Arial"/>
          <w:color w:val="auto"/>
          <w:sz w:val="32"/>
          <w:szCs w:val="32"/>
        </w:rPr>
        <w:t xml:space="preserve">2021-2023 </w:t>
      </w:r>
      <w:r>
        <w:rPr>
          <w:rFonts w:ascii="宋体" w:hAnsi="宋体" w:eastAsia="宋体" w:cs="宋体"/>
          <w:color w:val="auto"/>
          <w:sz w:val="32"/>
          <w:szCs w:val="32"/>
        </w:rPr>
        <w:t>年农机购置补贴实施指导意见〉的通知》（农办计财〔</w:t>
      </w:r>
      <w:r>
        <w:rPr>
          <w:rFonts w:ascii="Arial" w:hAnsi="Arial" w:eastAsia="Arial" w:cs="Arial"/>
          <w:color w:val="auto"/>
          <w:sz w:val="32"/>
          <w:szCs w:val="32"/>
        </w:rPr>
        <w:t>2021</w:t>
      </w:r>
      <w:r>
        <w:rPr>
          <w:rFonts w:ascii="宋体" w:hAnsi="宋体" w:eastAsia="宋体" w:cs="宋体"/>
          <w:color w:val="auto"/>
          <w:sz w:val="32"/>
          <w:szCs w:val="32"/>
        </w:rPr>
        <w:t>〕</w:t>
      </w:r>
      <w:r>
        <w:rPr>
          <w:rFonts w:ascii="Arial" w:hAnsi="Arial" w:eastAsia="Arial" w:cs="Arial"/>
          <w:color w:val="auto"/>
          <w:sz w:val="32"/>
          <w:szCs w:val="32"/>
        </w:rPr>
        <w:t xml:space="preserve">8 </w:t>
      </w:r>
      <w:r>
        <w:rPr>
          <w:rFonts w:ascii="宋体" w:hAnsi="宋体" w:eastAsia="宋体" w:cs="宋体"/>
          <w:color w:val="auto"/>
          <w:sz w:val="32"/>
          <w:szCs w:val="32"/>
        </w:rPr>
        <w:t>号）</w:t>
      </w:r>
      <w:r>
        <w:rPr>
          <w:rFonts w:hint="eastAsia" w:ascii="宋体" w:hAnsi="宋体" w:eastAsia="宋体" w:cs="宋体"/>
          <w:color w:val="auto"/>
          <w:sz w:val="32"/>
          <w:szCs w:val="32"/>
          <w:lang w:val="en-US" w:eastAsia="zh-CN"/>
        </w:rPr>
        <w:t>及</w:t>
      </w:r>
      <w:r>
        <w:rPr>
          <w:rFonts w:ascii="宋体" w:hAnsi="宋体" w:eastAsia="宋体" w:cs="宋体"/>
          <w:color w:val="auto"/>
          <w:sz w:val="32"/>
          <w:szCs w:val="32"/>
        </w:rPr>
        <w:t>《</w:t>
      </w:r>
      <w:r>
        <w:rPr>
          <w:rFonts w:hint="eastAsia" w:ascii="宋体" w:hAnsi="宋体" w:eastAsia="宋体" w:cs="宋体"/>
          <w:color w:val="auto"/>
          <w:sz w:val="32"/>
          <w:szCs w:val="32"/>
          <w:lang w:val="en-US" w:eastAsia="zh-CN"/>
        </w:rPr>
        <w:t>广东省农业农村厅 广东省财政厅关于印发</w:t>
      </w:r>
      <w:r>
        <w:rPr>
          <w:rFonts w:ascii="宋体" w:hAnsi="宋体" w:eastAsia="宋体" w:cs="宋体"/>
          <w:color w:val="auto"/>
          <w:sz w:val="32"/>
          <w:szCs w:val="32"/>
        </w:rPr>
        <w:t>〈广东省</w:t>
      </w:r>
      <w:r>
        <w:rPr>
          <w:rFonts w:ascii="Arial" w:hAnsi="Arial" w:eastAsia="Arial" w:cs="Arial"/>
          <w:color w:val="auto"/>
          <w:sz w:val="32"/>
          <w:szCs w:val="32"/>
        </w:rPr>
        <w:t xml:space="preserve"> 2021-2023 </w:t>
      </w:r>
      <w:r>
        <w:rPr>
          <w:rFonts w:ascii="宋体" w:hAnsi="宋体" w:eastAsia="宋体" w:cs="宋体"/>
          <w:color w:val="auto"/>
          <w:sz w:val="32"/>
          <w:szCs w:val="32"/>
        </w:rPr>
        <w:t>年中央财政农机购置补贴实施方案〉</w:t>
      </w:r>
      <w:r>
        <w:rPr>
          <w:rFonts w:hint="eastAsia" w:ascii="宋体" w:hAnsi="宋体" w:eastAsia="宋体" w:cs="宋体"/>
          <w:color w:val="auto"/>
          <w:sz w:val="32"/>
          <w:szCs w:val="32"/>
          <w:lang w:val="en-US" w:eastAsia="zh-CN"/>
        </w:rPr>
        <w:t>的通知</w:t>
      </w:r>
      <w:r>
        <w:rPr>
          <w:rFonts w:ascii="宋体" w:hAnsi="宋体" w:eastAsia="宋体" w:cs="宋体"/>
          <w:color w:val="auto"/>
          <w:sz w:val="32"/>
          <w:szCs w:val="32"/>
        </w:rPr>
        <w:t>》</w:t>
      </w:r>
      <w:r>
        <w:rPr>
          <w:rFonts w:hint="eastAsia" w:ascii="宋体" w:hAnsi="宋体" w:eastAsia="宋体" w:cs="宋体"/>
          <w:color w:val="auto"/>
          <w:sz w:val="32"/>
          <w:szCs w:val="32"/>
          <w:lang w:val="en-US" w:eastAsia="zh-CN"/>
        </w:rPr>
        <w:t>的</w:t>
      </w:r>
      <w:r>
        <w:rPr>
          <w:rFonts w:ascii="宋体" w:hAnsi="宋体" w:eastAsia="宋体" w:cs="宋体"/>
          <w:color w:val="auto"/>
          <w:sz w:val="32"/>
          <w:szCs w:val="32"/>
        </w:rPr>
        <w:t>要求，</w:t>
      </w:r>
      <w:r>
        <w:rPr>
          <w:rFonts w:hint="eastAsia" w:ascii="宋体" w:hAnsi="宋体" w:eastAsia="宋体" w:cs="宋体"/>
          <w:color w:val="auto"/>
          <w:sz w:val="32"/>
          <w:szCs w:val="32"/>
          <w:lang w:val="en-US" w:eastAsia="zh-CN"/>
        </w:rPr>
        <w:t>结合我县的实际，制定本实施方案。</w:t>
      </w:r>
    </w:p>
    <w:p>
      <w:pPr>
        <w:spacing w:after="0" w:line="2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13" w:lineRule="exact"/>
        <w:rPr>
          <w:color w:val="auto"/>
          <w:sz w:val="24"/>
          <w:szCs w:val="24"/>
        </w:rPr>
      </w:pPr>
    </w:p>
    <w:p>
      <w:pPr>
        <w:tabs>
          <w:tab w:val="left" w:pos="5800"/>
        </w:tabs>
        <w:spacing w:after="0" w:line="366" w:lineRule="exact"/>
        <w:ind w:left="96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翁源县农业机械管理局</w:t>
      </w:r>
      <w:r>
        <w:rPr>
          <w:color w:val="auto"/>
          <w:sz w:val="20"/>
          <w:szCs w:val="20"/>
        </w:rPr>
        <w:tab/>
      </w:r>
      <w:r>
        <w:rPr>
          <w:rFonts w:hint="eastAsia"/>
          <w:color w:val="auto"/>
          <w:sz w:val="20"/>
          <w:szCs w:val="20"/>
          <w:lang w:val="en-US" w:eastAsia="zh-CN"/>
        </w:rPr>
        <w:t xml:space="preserve">  </w:t>
      </w:r>
      <w:r>
        <w:rPr>
          <w:rFonts w:hint="eastAsia" w:ascii="宋体" w:hAnsi="宋体" w:eastAsia="宋体" w:cs="宋体"/>
          <w:color w:val="auto"/>
          <w:sz w:val="32"/>
          <w:szCs w:val="32"/>
          <w:lang w:val="en-US" w:eastAsia="zh-CN"/>
        </w:rPr>
        <w:t>翁源县财政局</w:t>
      </w:r>
    </w:p>
    <w:p>
      <w:pPr>
        <w:tabs>
          <w:tab w:val="left" w:pos="5800"/>
        </w:tabs>
        <w:spacing w:after="0" w:line="366" w:lineRule="exact"/>
        <w:ind w:left="960"/>
        <w:rPr>
          <w:rFonts w:hint="default" w:ascii="宋体" w:hAnsi="宋体" w:eastAsia="宋体" w:cs="宋体"/>
          <w:color w:val="auto"/>
          <w:sz w:val="32"/>
          <w:szCs w:val="32"/>
          <w:lang w:val="en-US" w:eastAsia="zh-CN"/>
        </w:rPr>
      </w:pPr>
    </w:p>
    <w:p>
      <w:pPr>
        <w:spacing w:after="0" w:line="203" w:lineRule="exact"/>
        <w:rPr>
          <w:color w:val="auto"/>
          <w:sz w:val="24"/>
          <w:szCs w:val="24"/>
        </w:rPr>
      </w:pPr>
    </w:p>
    <w:p>
      <w:pPr>
        <w:spacing w:after="0" w:line="388" w:lineRule="exact"/>
        <w:ind w:left="5540"/>
        <w:rPr>
          <w:color w:val="auto"/>
          <w:sz w:val="20"/>
          <w:szCs w:val="20"/>
        </w:rPr>
      </w:pPr>
      <w:r>
        <w:rPr>
          <w:rFonts w:ascii="Arial" w:hAnsi="Arial" w:eastAsia="Arial" w:cs="Arial"/>
          <w:color w:val="auto"/>
          <w:sz w:val="32"/>
          <w:szCs w:val="32"/>
        </w:rPr>
        <w:t xml:space="preserve">2021 </w:t>
      </w:r>
      <w:r>
        <w:rPr>
          <w:rFonts w:ascii="宋体" w:hAnsi="宋体" w:eastAsia="宋体" w:cs="宋体"/>
          <w:color w:val="auto"/>
          <w:sz w:val="32"/>
          <w:szCs w:val="32"/>
        </w:rPr>
        <w:t>年</w:t>
      </w:r>
      <w:r>
        <w:rPr>
          <w:rFonts w:ascii="Arial" w:hAnsi="Arial" w:eastAsia="Arial" w:cs="Arial"/>
          <w:color w:val="auto"/>
          <w:sz w:val="32"/>
          <w:szCs w:val="32"/>
        </w:rPr>
        <w:t xml:space="preserve"> </w:t>
      </w:r>
      <w:r>
        <w:rPr>
          <w:rFonts w:hint="eastAsia" w:ascii="Arial" w:hAnsi="Arial" w:eastAsia="宋体" w:cs="Arial"/>
          <w:color w:val="auto"/>
          <w:sz w:val="32"/>
          <w:szCs w:val="32"/>
          <w:lang w:val="en-US" w:eastAsia="zh-CN"/>
        </w:rPr>
        <w:t xml:space="preserve">9 </w:t>
      </w:r>
      <w:r>
        <w:rPr>
          <w:rFonts w:ascii="宋体" w:hAnsi="宋体" w:eastAsia="宋体" w:cs="宋体"/>
          <w:color w:val="auto"/>
          <w:sz w:val="32"/>
          <w:szCs w:val="32"/>
        </w:rPr>
        <w:t>月</w:t>
      </w:r>
      <w:r>
        <w:rPr>
          <w:rFonts w:ascii="Arial" w:hAnsi="Arial" w:eastAsia="Arial" w:cs="Arial"/>
          <w:color w:val="auto"/>
          <w:sz w:val="32"/>
          <w:szCs w:val="32"/>
        </w:rPr>
        <w:t xml:space="preserve"> </w:t>
      </w:r>
      <w:r>
        <w:rPr>
          <w:rFonts w:hint="eastAsia" w:ascii="Arial" w:hAnsi="Arial" w:eastAsia="宋体" w:cs="Arial"/>
          <w:color w:val="auto"/>
          <w:sz w:val="32"/>
          <w:szCs w:val="32"/>
          <w:lang w:val="en-US" w:eastAsia="zh-CN"/>
        </w:rPr>
        <w:t>6</w:t>
      </w:r>
      <w:r>
        <w:rPr>
          <w:rFonts w:ascii="Arial" w:hAnsi="Arial" w:eastAsia="Arial" w:cs="Arial"/>
          <w:color w:val="auto"/>
          <w:sz w:val="32"/>
          <w:szCs w:val="32"/>
        </w:rPr>
        <w:t xml:space="preserve"> </w:t>
      </w:r>
      <w:r>
        <w:rPr>
          <w:rFonts w:ascii="宋体" w:hAnsi="宋体" w:eastAsia="宋体" w:cs="宋体"/>
          <w:color w:val="auto"/>
          <w:sz w:val="32"/>
          <w:szCs w:val="32"/>
        </w:rPr>
        <w:t>日</w:t>
      </w:r>
    </w:p>
    <w:p/>
    <w:p/>
    <w:p/>
    <w:p/>
    <w:p/>
    <w:p/>
    <w:p/>
    <w:p/>
    <w:p>
      <w:pPr>
        <w:sectPr>
          <w:type w:val="continuous"/>
          <w:pgSz w:w="11900" w:h="16838"/>
          <w:pgMar w:top="1440" w:right="1366" w:bottom="747" w:left="1440" w:header="0" w:footer="0" w:gutter="0"/>
          <w:cols w:equalWidth="0" w:num="1">
            <w:col w:w="9100"/>
          </w:cols>
        </w:sectPr>
      </w:pPr>
    </w:p>
    <w:p>
      <w:pPr>
        <w:spacing w:after="0" w:line="552" w:lineRule="exact"/>
        <w:ind w:right="6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翁源县 2021-2023 年中央财政</w:t>
      </w:r>
    </w:p>
    <w:p>
      <w:pPr>
        <w:spacing w:after="0" w:line="552" w:lineRule="exact"/>
        <w:ind w:right="6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农机购置补贴实施方案</w:t>
      </w: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一、实施原则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全面贯彻党的十九大和十九届二中、三中、四中、五中全会精神，贯彻落实中央经济工作会议、中央农村工作会议及省委十二届十一、十二、十三次全会精神，认真贯彻落实广东省人民政府《关于加快推进农业机械化和农机装备产业转型升级的实施意见》（粤府函〔2019〕428 号）要求，支持引导农民购置使用先进适用的农业机械，满足我省农民对机械化生产的需要，引领推动我省农业机械化向全程全面高质高效转型升级，加快提升农业机械化产业链现代化水平，为实施乡村振兴战略、推进农业农村现代化提供坚实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二、实施重点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（一）在支持重点方面着力突出稳产保供。</w:t>
      </w:r>
      <w:r>
        <w:rPr>
          <w:rFonts w:hint="eastAsia" w:ascii="仿宋" w:hAnsi="仿宋" w:eastAsia="仿宋" w:cs="仿宋"/>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（二）在补贴资质方面着力突出农机科技自主创新。</w:t>
      </w:r>
      <w:r>
        <w:rPr>
          <w:rFonts w:hint="eastAsia" w:ascii="仿宋" w:hAnsi="仿宋" w:eastAsia="仿宋" w:cs="仿宋"/>
          <w:sz w:val="32"/>
          <w:szCs w:val="32"/>
        </w:rPr>
        <w:t>推广使用智能终端和应用智能作业模式，深化北斗系统在我省现代农业生产中的推广应用，确保农业生产数据安全。大力开展农机专项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鉴定，加快农机创新产品取得补贴资质条件步伐，尽快列入补贴范围；对暂时无法开展农机鉴定的高端智能创新农机产品开辟绿色通道，通过农机新产品购置补贴试点予以支持。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在补贴标准方面着力做到“有升有降”。</w:t>
      </w:r>
      <w:r>
        <w:rPr>
          <w:rFonts w:hint="eastAsia" w:ascii="仿宋" w:hAnsi="仿宋" w:eastAsia="仿宋" w:cs="仿宋"/>
          <w:sz w:val="32"/>
          <w:szCs w:val="32"/>
        </w:rPr>
        <w:t>一是提升部分重点补贴机具补贴额，测算比例从 30%提高到 35%，包括水稻插（抛）秧机等粮食生产薄弱环节所需机具，果园作业平台等丘陵山区特色产业发展急需的新机具以及智能、复式、高端产品。二是逐步降低区域内保有量明显过多、技术相对落后的轮式拖拉机、手扶拖拉机等机具品目的补贴额，到 2023 年将其补贴额测算比例降低至 15%及以下，并将部分低价值的机具退出补贴范围。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（四）在政策实施方面着力提升监督服务效能。</w:t>
      </w:r>
      <w:r>
        <w:rPr>
          <w:rFonts w:hint="eastAsia" w:ascii="仿宋" w:hAnsi="仿宋" w:eastAsia="仿宋" w:cs="仿宋"/>
          <w:sz w:val="32"/>
          <w:szCs w:val="32"/>
        </w:rPr>
        <w:t>一是提升信息化水平，推广应用手机 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实行罚款处理，从严整治违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三、补贴范围和补贴机具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根据我省农业生产需要和中央财政资金供需实际，从全国农机购置补贴机具种类范围选取了 15 大类 41 个小类 160 个品目。优先保障粮食、生猪等重要农畜产品生产、丘陵山区特色农业生产以及支持农业绿色发展和数字化发展所需机具的补贴需要，将更多符合条件的高端、复式、智能产品纳入补贴范围。按年度将区域内保有量明显过多、技术相对落后的机具品目或档次剔除出补贴范围。补贴范围根据全国补贴范围变化进行增减，具体工作按有关要求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力支持农机创新产品列入补贴范围。按照《农机新产品购置补贴试点工作指引》有关要求，积极向农业农村部申请组织实施中央财政农机新产品购置补贴试点，对尚不能通过农机专项鉴定取得补贴资质的创新产品和成套设施装备等给予支持，重点补贴建设标准成熟的烘干机配套设施、水稻育秧成套设施装备、温室大棚骨架和标准化猪舍钢结构、智能养殖（含渔业）设备、果菜茶初加工成套设备、蜜蜂养殖及蜂产品初加工成套设施装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按有关要求开展农机专项鉴定产品和农机新产品购置补贴试点。积极推进补贴机具资质采信农机产品认证结果工作。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对于不在中央财政补贴机具种类范围内，我省特色农业发展所需和小区域适用性强的机具，鼓励地方各级财政安排资金进行补贴，具体补贴机具品目和补贴标准由地方自定，不得占用中央财政补贴资金。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四、补贴对象和补贴标准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补贴对象为从事农业生产的个人和农业生产经营组织（以下简称“购机者”），其中农业生产经营组织包括农村集体经济组织、农民专业合作经济组织、农业企业和其他从事农业生产经营的组织等。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财政农机购置补贴实行定额补贴。严格遵守农业农村部、财政部组织制定发布全国补贴范围内各机具品目的主要分档参数，根据我省农业生产机械需求进行优化参数及增加分档，依据同档产品上年市场销售均价测算确定各档次的补贴额上限，测算比例不超过 30%，且通用类机具补贴额不超过农业农村部、财政部发布的最高补贴额。在确保资金供需紧平衡的基础上，围绕粮食生产薄弱环节、丘陵山区特色农业生产急需机具以及高端、复式、智能农机产品、支持农业绿色发展的农机产品的推广应用，选择不超过 10 个品目的产品提高补贴额，其补贴额测算比例可提高至 35%，其中，通用类机具的补贴额可高于相应档次中央财政资金最高补贴额，增长幅度控制在 20%以内，报农业农村部备案后实施。实行降低补贴标准的机具品目单独分档测算补贴额。从2021 年开始对区域内保有量明显过多、技术相对落后的轮式拖拉机等机具品目或档次降低补贴标准，确保到 2023 年将其补贴机具补贴额测算比例降低至 15%及以下，并及时将降标的机具品目或档次情况向农业农村部报告。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上年市场销售均价原则上通过我省办理服务系统补贴数据测算，其中，新增品目或上年补贴销售数据较少的品目，其相关档次市场销售均价可通过市场调查获取，也可直接采信其他省份市场销售均价的最低值。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除上述提高补贴额测算比例的补贴机具以外，一般补贴机具单机补贴限额原则上不超过 5 万元；挤奶机械、烘干机单机补贴限额不超过 12 万元；100 马力以上拖拉机、高性能青饲料收获机、大型免耕播种机、大型联合收割机、水稻大型浸种催芽程控设备、畜禽粪污资源化利用机具单机补贴限额不超过 15 万元；200马力以上拖拉机单机补贴限额不超过 25 万元；大型甘蔗收获机单机补贴限额不超过 40 万元；成套设施装备单套补贴限额不超过 60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额保持总体稳定，全面公开农机购置补贴机具补贴额一览表，加强宣传，引导购机者根据各档次的补贴定额自主议价，不再对外公布具体产品的补贴额。在政策实施过程中发现具体产品或档次的中央财政资金实际补贴比例超过 50%的，应及时组织调查，对有违规情节的，按相关规定处理；对无违规情节的补贴申请，可按原规定兑付补贴资金，并组织对相关产品及其所属档次补贴额进行评估，视情况及时调整。补贴资金出现较大缺口时，将组织下调部分机具的补贴额，确保政策效益普惠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五、资金分配与使用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农机购置补贴支出主要用于支持购置先进适用农业机械，以及开展有关试点和农机报废更新等方面。</w:t>
      </w:r>
      <w:r>
        <w:rPr>
          <w:rFonts w:hint="eastAsia" w:ascii="仿宋" w:hAnsi="仿宋" w:eastAsia="仿宋" w:cs="仿宋"/>
          <w:sz w:val="32"/>
          <w:szCs w:val="32"/>
          <w:lang w:val="en-US" w:eastAsia="zh-CN"/>
        </w:rPr>
        <w:t>县农业机械管理局</w:t>
      </w:r>
      <w:r>
        <w:rPr>
          <w:rFonts w:hint="eastAsia" w:ascii="仿宋" w:hAnsi="仿宋" w:eastAsia="仿宋" w:cs="仿宋"/>
          <w:sz w:val="32"/>
          <w:szCs w:val="32"/>
        </w:rPr>
        <w:t>会同</w:t>
      </w:r>
      <w:r>
        <w:rPr>
          <w:rFonts w:hint="eastAsia" w:ascii="仿宋" w:hAnsi="仿宋" w:eastAsia="仿宋" w:cs="仿宋"/>
          <w:sz w:val="32"/>
          <w:szCs w:val="32"/>
          <w:lang w:val="en-US" w:eastAsia="zh-CN"/>
        </w:rPr>
        <w:t>县财政局</w:t>
      </w:r>
      <w:r>
        <w:rPr>
          <w:rFonts w:hint="eastAsia" w:ascii="仿宋" w:hAnsi="仿宋" w:eastAsia="仿宋" w:cs="仿宋"/>
          <w:sz w:val="32"/>
          <w:szCs w:val="32"/>
        </w:rPr>
        <w:t>采用因素法（包括基础性因素和政策性因素、绩效因素、巩固拓展脱贫攻坚成果因素等）测算分配资金，不突破县级需求上限分配资金，调减资金结转量大、政策实施风险高、资金使用效益低地区的预算规模。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农机报废更新补贴按《农业农村部办公厅 财政部办公厅 商务部办公厅关于印发〈农业机械报废更新补贴实施指导意见〉的通知》（农办机〔2020〕2 号）和《广东省农业农村厅 广东省财政厅 广东省商务厅关于开展农业机械报废更新补贴的通知》（粤农农〔2020〕110 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中央财政农机购置补贴属约束性任务，资金必须足额保障，不得用于其他任务支出。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六、操作流程</w:t>
      </w:r>
      <w:r>
        <w:rPr>
          <w:rFonts w:hint="eastAsia" w:ascii="仿宋" w:hAnsi="仿宋" w:eastAsia="仿宋" w:cs="仿宋"/>
          <w:b/>
          <w:bCs/>
          <w:sz w:val="32"/>
          <w:szCs w:val="32"/>
          <w:lang w:val="en-US" w:eastAsia="zh-CN"/>
        </w:rPr>
        <w:t>及资金兑付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（一）补贴资金申请。</w:t>
      </w:r>
      <w:r>
        <w:rPr>
          <w:rFonts w:hint="eastAsia" w:ascii="仿宋" w:hAnsi="仿宋" w:eastAsia="仿宋" w:cs="仿宋"/>
          <w:sz w:val="32"/>
          <w:szCs w:val="32"/>
          <w:lang w:val="en-US" w:eastAsia="zh-CN"/>
        </w:rPr>
        <w:t>购机者在补贴产品产销企业自主购买机具后，到县农机推广股提出申请并提交补贴申请资料，其真实性、完整性和有效性由购机者和补贴机具产销企业负责，并承担相关法律责任。实行牌证管理的机具，要先行办理牌证照。对实行牌证管理的补贴机具，可由县农机监理股在上牌过程中一并核验。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购机者为个人的需提供：身份证原件及复印件、购机发票、本人农村信用社银行存折（卡）原件及复印件；购机者为组织的需提供：营业执照原件及复印件、购机发票、与组织名称一致的银行账号原件及复印件。县农机推广股收到补贴申请资料后应及时将申请者信息及机具信息录入农机购置补贴辅助管理软件系统，打印出《农机购置补贴资金申请表》（一式两份，一份存档、一份交给申请者）盖章并交申请者签名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我省自2018年起，对</w:t>
      </w:r>
      <w:r>
        <w:rPr>
          <w:rFonts w:hint="eastAsia" w:ascii="仿宋" w:hAnsi="仿宋" w:eastAsia="仿宋" w:cs="仿宋"/>
          <w:sz w:val="32"/>
          <w:szCs w:val="32"/>
          <w:lang w:val="en-US" w:eastAsia="zh-CN"/>
        </w:rPr>
        <w:t>拖拉机、联合收割机等纳入牌证管理的机具和单机（或同一主体购买多台累计）补贴额在5000元及以上机具需“见人见机见票”进行现场核实，具体要求按《广东省农机购置补贴机具核验流程》有关规定执行。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（二）申购信息公示。</w:t>
      </w:r>
      <w:r>
        <w:rPr>
          <w:rFonts w:hint="eastAsia" w:ascii="仿宋" w:hAnsi="仿宋" w:eastAsia="仿宋" w:cs="仿宋"/>
          <w:sz w:val="32"/>
          <w:szCs w:val="32"/>
          <w:lang w:val="en-US" w:eastAsia="zh-CN"/>
        </w:rPr>
        <w:t>县农业机械管理局在每批资金兑付前，将所受理的申请购机信息</w:t>
      </w:r>
      <w:r>
        <w:rPr>
          <w:rFonts w:hint="eastAsia" w:ascii="仿宋" w:hAnsi="仿宋" w:eastAsia="仿宋" w:cs="仿宋"/>
          <w:color w:val="auto"/>
          <w:sz w:val="32"/>
          <w:szCs w:val="32"/>
          <w:lang w:val="en-US" w:eastAsia="zh-CN"/>
        </w:rPr>
        <w:t>制作</w:t>
      </w:r>
      <w:r>
        <w:rPr>
          <w:rFonts w:hint="eastAsia" w:ascii="仿宋" w:hAnsi="仿宋" w:eastAsia="仿宋" w:cs="仿宋"/>
          <w:sz w:val="32"/>
          <w:szCs w:val="32"/>
          <w:lang w:val="en-US" w:eastAsia="zh-CN"/>
        </w:rPr>
        <w:t>《广东省农业机械购置补贴公示表》，在省农机购置补贴信息公开专栏予以公示，并公布县农业机械管理局的举报电话。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（三）补贴资金兑付。</w:t>
      </w:r>
      <w:r>
        <w:rPr>
          <w:rFonts w:hint="eastAsia" w:ascii="仿宋" w:hAnsi="仿宋" w:eastAsia="仿宋" w:cs="仿宋"/>
          <w:sz w:val="32"/>
          <w:szCs w:val="32"/>
          <w:lang w:val="en-US" w:eastAsia="zh-CN"/>
        </w:rPr>
        <w:t>经公示无异议后，县农业机械管理局及时整理好农机购置补贴资金发放明细表送县财政局，由县财政局复核无误后，办理资金兑付手续。对安装类、设施类或安全风险较高类补贴机具，在生产应用一段时期后兑付补贴资金。属于个人的，由县财政局将补贴直接兑付到个人银行账户；属于组织的，采用国库集中支付，由县财政局将补贴资金直接兑付到组织银行账户。补贴资金至少每季度足额兑付一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（一）加强领导，密切配合。</w:t>
      </w:r>
      <w:r>
        <w:rPr>
          <w:rFonts w:hint="eastAsia" w:ascii="仿宋" w:hAnsi="仿宋" w:eastAsia="仿宋" w:cs="仿宋"/>
          <w:sz w:val="32"/>
          <w:szCs w:val="32"/>
          <w:lang w:val="en-US" w:eastAsia="zh-CN"/>
        </w:rPr>
        <w:t>县农业机械管理局、县财政局要在本级政府领导下组织实施农机购置补贴政策，进一步提高思想认识，加强组织领导，密切沟通配合，建立工作责任制，将任务和责任具体落实到岗位，形成工作合力，共同做好县级补贴方案制定、补贴资金需求摸底、补贴对象确认、补贴机具核实、补贴资金兑付、违规行为处理等工作。要加强工作指导和监督检查，加大农机购置补贴绩效管理工作力度，共同研究确定补贴资金使用和重点推广机具种类等事宜，联合对补贴政策实施进行监管，对实施过程中出现的问题，要认真研究解决，重大问题及时向上级机关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（二）规范操作，高效服务。</w:t>
      </w:r>
      <w:r>
        <w:rPr>
          <w:rFonts w:hint="eastAsia" w:ascii="仿宋" w:hAnsi="仿宋" w:eastAsia="仿宋" w:cs="仿宋"/>
          <w:sz w:val="32"/>
          <w:szCs w:val="32"/>
          <w:lang w:val="en-US" w:eastAsia="zh-CN"/>
        </w:rPr>
        <w:t>全面运用农机购置补贴辅助管理系统，推广使用补贴机具网络投档软件，探索补贴机具“一机一码”识别管理，提高政策实施信息化水平。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切实加快补贴申请受理、资格审核、机具核验、受益公示等工作，鼓励在购机集中地或当地政务大厅等开展受理申请、核实登记等“一站式”服务。补贴申领有效期原则上当年有效（以各年度农机购置补贴辅助管理系统开启及关闭时间为限），因当年财政补贴资金不够、办理手续时间紧张等未能及时享受农机购置补贴的，可在下一个年度优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补贴机具核验，执行《广东省农机购置补贴机具核实流程》，重点加强对大中型机具的核验和单人多台套、短期内大批量等异常申请补贴情形的监管，积极探索实行购机真实性承诺、受益信息实时公开和事后抽查核验相结合的补贴机具监管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（三）公开信息，接受监督。</w:t>
      </w:r>
      <w:r>
        <w:rPr>
          <w:rFonts w:hint="eastAsia" w:ascii="仿宋" w:hAnsi="仿宋" w:eastAsia="仿宋" w:cs="仿宋"/>
          <w:sz w:val="32"/>
          <w:szCs w:val="32"/>
          <w:lang w:val="en-US" w:eastAsia="zh-CN"/>
        </w:rPr>
        <w:t>县农业机械管理局要通过多渠道、多形式进一步加强政策宣传，扩大社会公众知晓度。县农业机械管理局完善农机购置补贴信息公开专栏，确保专栏有效运行，对申请购机补贴者信息进行公示，对实施方案、补贴额一览表、操作程序、补贴机具信息表、投诉咨询方式、违规查处结果等重点信息全面公开，实时公布补贴资金申请登记进度和享受补贴购机者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（四）加强监管，严惩违规。</w:t>
      </w:r>
      <w:r>
        <w:rPr>
          <w:rFonts w:hint="eastAsia" w:ascii="仿宋" w:hAnsi="仿宋" w:eastAsia="仿宋" w:cs="仿宋"/>
          <w:sz w:val="32"/>
          <w:szCs w:val="32"/>
          <w:lang w:val="en-US" w:eastAsia="zh-CN"/>
        </w:rPr>
        <w:t>根据《农业农村部办公厅 财政部办公厅关于进一步加强农机购置补贴政策监管强化纪律约束的通知》（农办机〔2019〕6 号）和《农业部办公厅 财政部办公厅关于印发〈农业机械购置补贴产品违规经营行为处理办法（试行）〉的通知》（农办财〔2017〕26 号）等要求，认真落实风险防控责任和异常情形主动报告制度，严格信用管理和农机产销企业承诺制，充分发挥专业机构的技术优势和大数据的信息优势，有效开展违规行为全流程分析排查，强化财农两部门联合查处，从严整治突出违规行为，有效维护政策实施良好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2021-2023 年农机专项鉴定产品购置补贴实施工作、农机新产品购置补贴试点工作、农机购置补贴实施有关备案工作等按农业农村部、财政部指导意见的要求开展。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本方案有效期三年。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附录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2021-2023 年广东省农机购置补贴机具种类范围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（15 大类 41 个小类 160 个品目）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1.耕整地机械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1.1 耕地机械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1.1.1 铧式犁</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1.1.2 圆盘犁</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1.1.3 旋耕机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1.1.4 深松机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1.1.5 开沟机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1.1.6 耕整机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1.1.7 微耕机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1.1.8 机滚船</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1.1.9 机耕船</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1.2 整地机械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1.2.1 圆盘耙</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1.2.2 起垄机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1.2.3 灭茬机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1.2.4 筑埂机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1.2.5 铺膜机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1.2.6 联合整地机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1.2.7 埋茬起浆机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2.种植施肥机械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2.1 播种机械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2.1.1 条播机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2.1.2 穴播机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2.1.3 小粒种子播种机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2.1.4 根茎作物播种机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2.1.5 免耕播种机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2.1.6 铺膜播种机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2.1.7 水稻直播机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2.1.8 精量播种机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2.1.9 整地施肥播种机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2.2 育苗机械设备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2.2.1 种子播前处理设备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2.2.2 营养钵压制机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2.2.3 秧盘播种成套设备（含床土处理）</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2.3 栽植机械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2.3.1 水稻插秧机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2.3.2 秧苗移栽机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2.3.3 甘蔗种植机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2.4 施肥机械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2.4.1 施肥机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2.4.2 撒肥机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2.4.3 追肥机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3.田间管理机械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3.1 中耕机械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3.1.1 中耕机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3.1.2 培土机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3.1.3 埋藤机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3.1.4 田园管理机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3.2 植保机械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3.2.1 动力喷雾机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3.2.2 喷杆喷雾机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3.2.3 风送喷雾机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3.2.4 植保无人驾驶航空器</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3.3 修剪机械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3.3.1 茶树修剪机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3.3.2 果树修剪机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3.3.3 枝条切碎机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4.收获机械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4.1 谷物收获机械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4.1.1 割晒机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4.1.2 自走轮式谷物联合收割机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4.1.3 自走履带式谷物联合收割机（全喂入）</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4.1.4 半喂入联合收割机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4.4 果实收获机械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4.4.1 果实捡拾机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4.4.2 番茄收获机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4.4.3 辣椒收获机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4.5 蔬菜收获机械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4.5.1 果类蔬菜收获机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4.6 花卉（茶叶）采收机械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4.6.1 采茶机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4.8 根茎作物收获机械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4.8.1 薯类收获机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4.8.3 甘蔗收获机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4.8.4 甘蔗割铺机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4.8.5 花生收获机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4.9 饲料作物收获机械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4.9.1 割草机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4.9.2 搂草机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4.9.3 打（压）捆机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4.9.4 圆草捆包膜机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4.9.5 青饲料收获机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4.10 茎秆收集处理机械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4.10.1 秸秆粉碎还田机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4.10.2 高秆作物割晒机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5.收获后处理机械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5.1 脱粒机械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5.1.1 稻麦脱粒机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5.1.3 花生摘果机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5.2 清选机械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5.2.1 风筛清选机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5.2.2 重力清选机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5.2.3 窝眼清选机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5.2.4 复式清选机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5.3 干燥机械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5.3.1 谷物烘干机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5.3.2 果蔬烘干机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5.4 种子加工机械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5.4.1 种子清选机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6.农产品初加工机械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6.1 碾米机械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6.1.1 碾米机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6.1.2 组合米机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6.2 磨粉（浆）机械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6.2.1 磨粉机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6.2.2 磨浆机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6.3 果蔬加工机械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6.3.1 水果分级机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6.3.2 水果清洗机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6.3.3 水果打蜡机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6.3.4 蔬菜清洗机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6.4 茶叶加工机械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6.4.1 茶叶杀青机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6.4.2 茶叶揉捻机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6.4.3 茶叶炒（烘）干机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6.4.4 茶叶筛选机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6.4.5 茶叶理条机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6.5 剥壳（去皮）机械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6.5.2 花生脱壳机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6.5.3 干坚果脱壳机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6.5.4 剥（刮）麻机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7.农用搬运机械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7.1 装卸机械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7.1.1 抓草机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8.排灌机械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8.1 水泵</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8.1.1 离心泵</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8.1.2 潜水电泵</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8.2 喷灌机械设备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8.2.1 喷灌机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8.2.2 微灌设备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8.2.3 灌溉首部（含灌溉水增压设备、过滤设备、水质软化设备、灌溉施肥一体化设备以及营养液消毒设备等）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9.畜牧机械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9.1 饲料（草）加工机械设备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9.1.1 铡草机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9.1.2 青贮切碎机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9.1.3 揉丝机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9.1.4 压块机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9.1.5 饲料（草）粉碎机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9.1.6 饲料混合机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9.1.7 颗粒饲料压制机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9.1.8 饲料制备（搅拌）机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9.2 饲养机械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9.2.1 孵化机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9.2.2 喂料机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9.2.3 送料机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9.2.4 清粪机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9.2.5 粪污固液分离机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9.3 畜产品采集加工机械设备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9.3.1 挤奶机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9.3.2 剪羊毛机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9.3.3 贮奶（冷藏）罐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10.水产机械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10.1 水产养殖机械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10.1.1 增氧机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10.1.2 投饲机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10.1.3 网箱养殖设备</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10.2 水产捕捞机械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10.2.1 绞纲机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10.2.2 船用油污水分离装置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11.农业废弃物利用处理设备</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11.1 废弃物处理设备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11.1.1 废弃物料烘干机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11.1.2 残膜回收机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11.1.3 沼液沼渣抽排设备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11.1.4 秸秆压块（粒、棒）机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11.1.5 病死畜禽无害化处理设备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11.1.6 有机废弃物好氧发酵翻堆机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11.1.7 有机废弃物干式厌氧发酵装置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12.农田基本建设机械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12.1 挖掘机械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12.1.1 挖坑机</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12.2 平地机械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12.2.1 平地机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13.设施农业设备</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13.1 温室大棚设备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13.1.1 电动卷帘机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13.1.2 热风炉</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13.2 食用菌生产设备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13.2.1 蒸汽灭菌设备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13.2.2 食用菌料装瓶（袋）机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14.动力机械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14.1 拖拉机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14.1.1 轮式拖拉机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14.1.2 手扶拖拉机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14.1.3 履带式拖拉机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15.其他机械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15.1 养蜂设备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15.1.1 养蜂平台</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15.2 其他机械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 驱动耙</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15.2.3 水帘降温设备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15.2.4 热水加温系统</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15.2.5 简易保鲜储藏设备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15.2.6 水井钻机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15.2.7 旋耕播种机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15.2.8 大米色选机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15.2.9 杂粮色选机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15.2.10 甘蔗田间收集搬运机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15.2.11 秸秆膨化机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15.2.12 畜禽粪便发酵处理机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15.2.13 农业用北斗终端（含渔船用）</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15.2.14 沼气发电机组</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15.2.15 天然橡胶初加工专用机械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15.2.16 有机肥加工设备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15.2.17 茶叶输送机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15.2.18 茶叶压扁机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15.2.19 茶叶色选机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15.2.20 根（块）茎作物收获机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15.2.21 果园作业平台</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15.2.22 果园轨道运输机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15.2.23 秸秆收集机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15.2.24 瓜果取籽机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15.2.25 脱蓬（脯）机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15.2.26 莲子剥壳去皮机</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 w:hAnsi="仿宋" w:eastAsia="仿宋" w:cs="仿宋"/>
          <w:sz w:val="30"/>
          <w:szCs w:val="30"/>
        </w:rPr>
      </w:pPr>
      <w:r>
        <w:rPr>
          <w:rFonts w:hint="eastAsia" w:ascii="仿宋" w:hAnsi="仿宋" w:eastAsia="仿宋" w:cs="仿宋"/>
          <w:sz w:val="30"/>
          <w:szCs w:val="30"/>
        </w:rPr>
        <w:t>15.2.27 水产养殖水质监控设备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rPr>
          <w:sz w:val="30"/>
          <w:szCs w:val="30"/>
        </w:rPr>
      </w:pPr>
    </w:p>
    <w:sectPr>
      <w:type w:val="continuous"/>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47043"/>
    <w:rsid w:val="04A716CA"/>
    <w:rsid w:val="067D3AFA"/>
    <w:rsid w:val="0D1A04F6"/>
    <w:rsid w:val="0D404BC4"/>
    <w:rsid w:val="0F9A3E77"/>
    <w:rsid w:val="1099187C"/>
    <w:rsid w:val="17E713B1"/>
    <w:rsid w:val="1B057A61"/>
    <w:rsid w:val="1E302CD4"/>
    <w:rsid w:val="28E27777"/>
    <w:rsid w:val="2B4131D6"/>
    <w:rsid w:val="2CEA466C"/>
    <w:rsid w:val="339E5226"/>
    <w:rsid w:val="3723374D"/>
    <w:rsid w:val="384B2055"/>
    <w:rsid w:val="3F702BFE"/>
    <w:rsid w:val="44EF7E5E"/>
    <w:rsid w:val="45C46CDF"/>
    <w:rsid w:val="48A12DB3"/>
    <w:rsid w:val="48BF0788"/>
    <w:rsid w:val="4D81206B"/>
    <w:rsid w:val="54204B66"/>
    <w:rsid w:val="5A136A34"/>
    <w:rsid w:val="5AAA7072"/>
    <w:rsid w:val="5D5B6BC0"/>
    <w:rsid w:val="6AE36302"/>
    <w:rsid w:val="6CC85D5A"/>
    <w:rsid w:val="6E0E1752"/>
    <w:rsid w:val="7BC31131"/>
    <w:rsid w:val="7EF2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jc w:val="left"/>
    </w:pPr>
    <w:rPr>
      <w:rFonts w:ascii="Arial" w:hAnsi="Arial" w:eastAsia="微软雅黑"/>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2021-09-06T08:26:00Z</dcterms:created>
  <dc:creator>Administrator</dc:creator>
  <cp:lastModifiedBy>Administrator</cp:lastModifiedBy>
  <dcterms:modified xsi:type="dcterms:W3CDTF">2021-10-12T01:20:20Z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E3E4455AD9244E7DBF3E49300638FF3B</vt:lpwstr>
  </property>
</Properties>
</file>