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beforeLines="0" w:afterLines="0" w:line="590" w:lineRule="exact"/>
        <w:ind w:right="0" w:firstLine="0" w:firstLineChars="0"/>
        <w:rPr>
          <w:rFonts w:hint="eastAsia" w:ascii="黑体" w:hAnsi="黑体" w:eastAsia="黑体" w:cs="黑体"/>
          <w:snapToGrid w:val="0"/>
          <w:color w:val="auto"/>
          <w:spacing w:val="20"/>
          <w:kern w:val="0"/>
          <w:szCs w:val="32"/>
          <w:lang w:val="en-US" w:eastAsia="zh-CN"/>
        </w:rPr>
      </w:pPr>
      <w:r>
        <w:rPr>
          <w:rFonts w:hint="eastAsia" w:ascii="黑体" w:hAnsi="黑体" w:eastAsia="黑体" w:cs="黑体"/>
          <w:snapToGrid w:val="0"/>
          <w:color w:val="auto"/>
          <w:spacing w:val="20"/>
          <w:kern w:val="0"/>
          <w:szCs w:val="32"/>
          <w:lang w:eastAsia="zh-CN"/>
        </w:rPr>
        <w:t>附件</w:t>
      </w:r>
      <w:r>
        <w:rPr>
          <w:rFonts w:hint="eastAsia" w:ascii="黑体" w:hAnsi="黑体" w:eastAsia="黑体" w:cs="黑体"/>
          <w:snapToGrid w:val="0"/>
          <w:color w:val="auto"/>
          <w:spacing w:val="20"/>
          <w:kern w:val="0"/>
          <w:szCs w:val="32"/>
          <w:lang w:val="en-US" w:eastAsia="zh-CN"/>
        </w:rPr>
        <w:t>1</w:t>
      </w:r>
    </w:p>
    <w:p>
      <w:pPr>
        <w:adjustRightInd w:val="0"/>
        <w:snapToGrid w:val="0"/>
        <w:spacing w:beforeLines="0" w:afterLines="0" w:line="590" w:lineRule="exact"/>
        <w:ind w:right="0" w:firstLine="712" w:firstLineChars="200"/>
        <w:rPr>
          <w:rFonts w:hint="eastAsia" w:ascii="仿宋_GB2312" w:hAnsi="仿宋_GB2312" w:eastAsia="仿宋_GB2312" w:cs="仿宋_GB2312"/>
          <w:snapToGrid w:val="0"/>
          <w:color w:val="auto"/>
          <w:spacing w:val="20"/>
          <w:kern w:val="0"/>
          <w:szCs w:val="32"/>
          <w:lang w:val="en-US" w:eastAsia="zh-CN"/>
        </w:rPr>
      </w:pP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i w:val="0"/>
          <w:caps w:val="0"/>
          <w:snapToGrid w:val="0"/>
          <w:color w:val="auto"/>
          <w:spacing w:val="0"/>
          <w:sz w:val="44"/>
          <w:szCs w:val="44"/>
          <w:shd w:val="clear" w:color="auto" w:fill="FFFFFF"/>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2021-2023年中央财政农机购置补贴机具补贴额一览表</w:t>
      </w:r>
    </w:p>
    <w:p>
      <w:pPr>
        <w:adjustRightInd w:val="0"/>
        <w:snapToGrid w:val="0"/>
        <w:spacing w:beforeLines="0" w:afterLines="0" w:line="590" w:lineRule="exact"/>
        <w:ind w:right="0" w:firstLine="0" w:firstLineChars="0"/>
        <w:jc w:val="center"/>
        <w:rPr>
          <w:rFonts w:hint="eastAsia" w:ascii="方正小标宋简体" w:hAnsi="方正小标宋简体" w:eastAsia="方正小标宋简体" w:cs="方正小标宋简体"/>
          <w:snapToGrid w:val="0"/>
          <w:color w:val="auto"/>
          <w:spacing w:val="20"/>
          <w:kern w:val="0"/>
          <w:sz w:val="44"/>
          <w:szCs w:val="44"/>
          <w:lang w:val="en-US" w:eastAsia="zh-CN"/>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（第一批）</w:t>
      </w:r>
      <w:r>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t>（通用类公示稿）</w:t>
      </w:r>
    </w:p>
    <w:p>
      <w:pPr>
        <w:adjustRightInd w:val="0"/>
        <w:snapToGrid w:val="0"/>
        <w:spacing w:beforeLines="0" w:afterLines="0" w:line="590" w:lineRule="exact"/>
        <w:ind w:right="0" w:firstLine="712" w:firstLineChars="200"/>
        <w:rPr>
          <w:rFonts w:hint="eastAsia" w:ascii="仿宋_GB2312" w:hAnsi="仿宋_GB2312" w:eastAsia="仿宋_GB2312" w:cs="仿宋_GB2312"/>
          <w:snapToGrid w:val="0"/>
          <w:color w:val="auto"/>
          <w:spacing w:val="20"/>
          <w:kern w:val="0"/>
          <w:szCs w:val="32"/>
          <w:lang w:val="en-US" w:eastAsia="zh-CN"/>
        </w:rPr>
      </w:pPr>
    </w:p>
    <w:tbl>
      <w:tblPr>
        <w:tblStyle w:val="5"/>
        <w:tblW w:w="13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7"/>
        <w:gridCol w:w="1498"/>
        <w:gridCol w:w="1177"/>
        <w:gridCol w:w="1411"/>
        <w:gridCol w:w="2044"/>
        <w:gridCol w:w="2927"/>
        <w:gridCol w:w="1017"/>
        <w:gridCol w:w="1177"/>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blHeader/>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机具大类</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机具小类</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品目</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分档名称</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基本配置和参数</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2021年补贴额（元）</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类型</w:t>
            </w:r>
          </w:p>
        </w:tc>
        <w:tc>
          <w:tcPr>
            <w:tcW w:w="11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1-1.5m 旋耕机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单轴；1m≤耕幅＜1.5m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1.5-2m 旋耕机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单轴；1.5m≤耕幅＜2m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930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2-2.5m 旋耕机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单轴；2m≤耕幅＜2.5m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 2.5m 及以上旋耕机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单轴；耕幅≥2.5m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1.2-2m 履带自走式旋耕机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型式：履带自走式；1.2m≤耕幅＜2m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8700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旋耕机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2m及以上履带自走式旋耕机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型式：履带自走式；耕幅≥2m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19100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行手扶步进式水稻插秧机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手扶步进式；</w:t>
            </w: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w:t>
            </w:r>
            <w:r>
              <w:rPr>
                <w:rStyle w:val="7"/>
                <w:rFonts w:ascii="仿宋_GB2312" w:hAnsi="仿宋_GB2312" w:eastAsia="仿宋_GB2312" w:cs="仿宋_GB2312"/>
                <w:sz w:val="18"/>
                <w:szCs w:val="18"/>
                <w:lang w:val="en-US" w:eastAsia="zh-CN" w:bidi="ar"/>
              </w:rPr>
              <w:t>行及以上手扶步进式水稻插秧机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手扶步进式；</w:t>
            </w:r>
            <w:r>
              <w:rPr>
                <w:rStyle w:val="6"/>
                <w:rFonts w:hint="eastAsia" w:ascii="仿宋_GB2312" w:hAnsi="仿宋_GB2312" w:eastAsia="仿宋_GB2312" w:cs="仿宋_GB2312"/>
                <w:sz w:val="18"/>
                <w:szCs w:val="18"/>
                <w:lang w:val="en-US" w:eastAsia="zh-CN" w:bidi="ar"/>
              </w:rPr>
              <w:t>6</w:t>
            </w:r>
            <w:r>
              <w:rPr>
                <w:rStyle w:val="7"/>
                <w:rFonts w:ascii="仿宋_GB2312" w:hAnsi="仿宋_GB2312" w:eastAsia="仿宋_GB2312" w:cs="仿宋_GB2312"/>
                <w:sz w:val="18"/>
                <w:szCs w:val="18"/>
                <w:lang w:val="en-US" w:eastAsia="zh-CN" w:bidi="ar"/>
              </w:rPr>
              <w:t>行及以上</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6行及以上独轮乘坐式水稻插秧机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独轮乘坐式；6行及以上</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4—5行四轮乘坐式水稻插秧机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四轮乘坐式；4、5行</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6—7</w:t>
            </w:r>
            <w:r>
              <w:rPr>
                <w:rStyle w:val="7"/>
                <w:rFonts w:ascii="仿宋_GB2312" w:hAnsi="仿宋_GB2312" w:eastAsia="仿宋_GB2312" w:cs="仿宋_GB2312"/>
                <w:sz w:val="18"/>
                <w:szCs w:val="18"/>
                <w:lang w:val="en-US" w:eastAsia="zh-CN" w:bidi="ar"/>
              </w:rPr>
              <w:t>行四轮乘坐式水稻插秧机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四轮乘坐式；</w:t>
            </w:r>
            <w:r>
              <w:rPr>
                <w:rStyle w:val="6"/>
                <w:rFonts w:hint="eastAsia" w:ascii="仿宋_GB2312" w:hAnsi="仿宋_GB2312" w:eastAsia="仿宋_GB2312" w:cs="仿宋_GB2312"/>
                <w:sz w:val="18"/>
                <w:szCs w:val="18"/>
                <w:lang w:val="en-US" w:eastAsia="zh-CN" w:bidi="ar"/>
              </w:rPr>
              <w:t>6-7</w:t>
            </w:r>
            <w:r>
              <w:rPr>
                <w:rStyle w:val="7"/>
                <w:rFonts w:ascii="仿宋_GB2312" w:hAnsi="仿宋_GB2312" w:eastAsia="仿宋_GB2312" w:cs="仿宋_GB2312"/>
                <w:sz w:val="18"/>
                <w:szCs w:val="18"/>
                <w:lang w:val="en-US" w:eastAsia="zh-CN" w:bidi="ar"/>
              </w:rPr>
              <w:t>行</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水稻插秧机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8</w:t>
            </w:r>
            <w:r>
              <w:rPr>
                <w:rStyle w:val="7"/>
                <w:rFonts w:ascii="仿宋_GB2312" w:hAnsi="仿宋_GB2312" w:eastAsia="仿宋_GB2312" w:cs="仿宋_GB2312"/>
                <w:sz w:val="18"/>
                <w:szCs w:val="18"/>
                <w:lang w:val="en-US" w:eastAsia="zh-CN" w:bidi="ar"/>
              </w:rPr>
              <w:t>行及以上四轮乘坐式水稻插秧机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四轮乘坐式；</w:t>
            </w:r>
            <w:r>
              <w:rPr>
                <w:rStyle w:val="6"/>
                <w:rFonts w:hint="eastAsia" w:ascii="仿宋_GB2312" w:hAnsi="仿宋_GB2312" w:eastAsia="仿宋_GB2312" w:cs="仿宋_GB2312"/>
                <w:sz w:val="18"/>
                <w:szCs w:val="18"/>
                <w:lang w:val="en-US" w:eastAsia="zh-CN" w:bidi="ar"/>
              </w:rPr>
              <w:t>8</w:t>
            </w:r>
            <w:r>
              <w:rPr>
                <w:rStyle w:val="7"/>
                <w:rFonts w:ascii="仿宋_GB2312" w:hAnsi="仿宋_GB2312" w:eastAsia="仿宋_GB2312" w:cs="仿宋_GB2312"/>
                <w:sz w:val="18"/>
                <w:szCs w:val="18"/>
                <w:lang w:val="en-US" w:eastAsia="zh-CN" w:bidi="ar"/>
              </w:rPr>
              <w:t>行及以上</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37400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10-20L多旋翼植保无人驾驶航空器</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10L</w:t>
            </w:r>
            <w:r>
              <w:rPr>
                <w:rStyle w:val="7"/>
                <w:rFonts w:ascii="仿宋_GB2312" w:hAnsi="仿宋_GB2312" w:eastAsia="仿宋_GB2312" w:cs="仿宋_GB2312"/>
                <w:sz w:val="18"/>
                <w:szCs w:val="18"/>
                <w:lang w:val="en-US" w:eastAsia="zh-CN" w:bidi="ar"/>
              </w:rPr>
              <w:t>≤药液箱额定容量＜</w:t>
            </w:r>
            <w:r>
              <w:rPr>
                <w:rStyle w:val="6"/>
                <w:rFonts w:hint="eastAsia" w:ascii="仿宋_GB2312" w:hAnsi="仿宋_GB2312" w:eastAsia="仿宋_GB2312" w:cs="仿宋_GB2312"/>
                <w:sz w:val="18"/>
                <w:szCs w:val="18"/>
                <w:lang w:val="en-US" w:eastAsia="zh-CN" w:bidi="ar"/>
              </w:rPr>
              <w:t>20L</w:t>
            </w:r>
            <w:r>
              <w:rPr>
                <w:rStyle w:val="7"/>
                <w:rFonts w:ascii="仿宋_GB2312" w:hAnsi="仿宋_GB2312" w:eastAsia="仿宋_GB2312" w:cs="仿宋_GB2312"/>
                <w:sz w:val="18"/>
                <w:szCs w:val="18"/>
                <w:lang w:val="en-US" w:eastAsia="zh-CN" w:bidi="ar"/>
              </w:rPr>
              <w:t>；多旋翼；电动、油动、油电混动；电动须配置智能电池系统，含智能电池</w:t>
            </w:r>
            <w:r>
              <w:rPr>
                <w:rStyle w:val="6"/>
                <w:rFonts w:hint="eastAsia" w:ascii="仿宋_GB2312" w:hAnsi="仿宋_GB2312" w:eastAsia="仿宋_GB2312" w:cs="仿宋_GB2312"/>
                <w:sz w:val="18"/>
                <w:szCs w:val="18"/>
                <w:lang w:val="en-US" w:eastAsia="zh-CN" w:bidi="ar"/>
              </w:rPr>
              <w:t>2</w:t>
            </w:r>
            <w:r>
              <w:rPr>
                <w:rStyle w:val="7"/>
                <w:rFonts w:ascii="仿宋_GB2312" w:hAnsi="仿宋_GB2312" w:eastAsia="仿宋_GB2312" w:cs="仿宋_GB2312"/>
                <w:sz w:val="18"/>
                <w:szCs w:val="18"/>
                <w:lang w:val="en-US" w:eastAsia="zh-CN" w:bidi="ar"/>
              </w:rPr>
              <w:t>组及以上；具有避障系统；具有</w:t>
            </w:r>
            <w:r>
              <w:rPr>
                <w:rStyle w:val="6"/>
                <w:rFonts w:hint="eastAsia" w:ascii="仿宋_GB2312" w:hAnsi="仿宋_GB2312" w:eastAsia="仿宋_GB2312" w:cs="仿宋_GB2312"/>
                <w:sz w:val="18"/>
                <w:szCs w:val="18"/>
                <w:lang w:val="en-US" w:eastAsia="zh-CN" w:bidi="ar"/>
              </w:rPr>
              <w:t>RTK</w:t>
            </w:r>
            <w:r>
              <w:rPr>
                <w:rStyle w:val="7"/>
                <w:rFonts w:ascii="仿宋_GB2312" w:hAnsi="仿宋_GB2312" w:eastAsia="仿宋_GB2312" w:cs="仿宋_GB2312"/>
                <w:sz w:val="18"/>
                <w:szCs w:val="18"/>
                <w:lang w:val="en-US" w:eastAsia="zh-CN" w:bidi="ar"/>
              </w:rPr>
              <w:t>的高精度卫星导航定位系统；具有电子围栏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1.多旋翼植保无人驾驶航空器是由两个以上旋翼（含两个）组成，并通过多个旋翼在空气中旋转产生升力和拉力实现飞行并进行施药作业的无人飞机。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2.智能电池系统由智能电池和智能电池充电器组成，具备过充保护、过放保护、短路保护和充放电使用次数显示等功能。</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3.避障系统是指通过雷达或多目视觉等传感器主动检测障碍物并能实时归避的系统，通常有前避障、前后避障或绕障，不含使用航线规划绕障。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20-30L</w:t>
            </w:r>
            <w:r>
              <w:rPr>
                <w:rStyle w:val="7"/>
                <w:rFonts w:ascii="仿宋_GB2312" w:hAnsi="仿宋_GB2312" w:eastAsia="仿宋_GB2312" w:cs="仿宋_GB2312"/>
                <w:sz w:val="18"/>
                <w:szCs w:val="18"/>
                <w:lang w:val="en-US" w:eastAsia="zh-CN" w:bidi="ar"/>
              </w:rPr>
              <w:t>多旋翼植保无人驾驶航空器</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20L</w:t>
            </w:r>
            <w:r>
              <w:rPr>
                <w:rStyle w:val="7"/>
                <w:rFonts w:ascii="仿宋_GB2312" w:hAnsi="仿宋_GB2312" w:eastAsia="仿宋_GB2312" w:cs="仿宋_GB2312"/>
                <w:sz w:val="18"/>
                <w:szCs w:val="18"/>
                <w:lang w:val="en-US" w:eastAsia="zh-CN" w:bidi="ar"/>
              </w:rPr>
              <w:t>≤药液箱额定容量＜</w:t>
            </w:r>
            <w:r>
              <w:rPr>
                <w:rStyle w:val="6"/>
                <w:rFonts w:hint="eastAsia" w:ascii="仿宋_GB2312" w:hAnsi="仿宋_GB2312" w:eastAsia="仿宋_GB2312" w:cs="仿宋_GB2312"/>
                <w:sz w:val="18"/>
                <w:szCs w:val="18"/>
                <w:lang w:val="en-US" w:eastAsia="zh-CN" w:bidi="ar"/>
              </w:rPr>
              <w:t>30L</w:t>
            </w:r>
            <w:r>
              <w:rPr>
                <w:rStyle w:val="7"/>
                <w:rFonts w:ascii="仿宋_GB2312" w:hAnsi="仿宋_GB2312" w:eastAsia="仿宋_GB2312" w:cs="仿宋_GB2312"/>
                <w:sz w:val="18"/>
                <w:szCs w:val="18"/>
                <w:lang w:val="en-US" w:eastAsia="zh-CN" w:bidi="ar"/>
              </w:rPr>
              <w:t>；多旋翼；电动、油动、油电混动；电动须配置智能电池系统，含智能电池</w:t>
            </w:r>
            <w:r>
              <w:rPr>
                <w:rStyle w:val="6"/>
                <w:rFonts w:hint="eastAsia" w:ascii="仿宋_GB2312" w:hAnsi="仿宋_GB2312" w:eastAsia="仿宋_GB2312" w:cs="仿宋_GB2312"/>
                <w:sz w:val="18"/>
                <w:szCs w:val="18"/>
                <w:lang w:val="en-US" w:eastAsia="zh-CN" w:bidi="ar"/>
              </w:rPr>
              <w:t>2</w:t>
            </w:r>
            <w:r>
              <w:rPr>
                <w:rStyle w:val="7"/>
                <w:rFonts w:ascii="仿宋_GB2312" w:hAnsi="仿宋_GB2312" w:eastAsia="仿宋_GB2312" w:cs="仿宋_GB2312"/>
                <w:sz w:val="18"/>
                <w:szCs w:val="18"/>
                <w:lang w:val="en-US" w:eastAsia="zh-CN" w:bidi="ar"/>
              </w:rPr>
              <w:t>组及以上；具有避障系统；具有</w:t>
            </w:r>
            <w:r>
              <w:rPr>
                <w:rStyle w:val="6"/>
                <w:rFonts w:hint="eastAsia" w:ascii="仿宋_GB2312" w:hAnsi="仿宋_GB2312" w:eastAsia="仿宋_GB2312" w:cs="仿宋_GB2312"/>
                <w:sz w:val="18"/>
                <w:szCs w:val="18"/>
                <w:lang w:val="en-US" w:eastAsia="zh-CN" w:bidi="ar"/>
              </w:rPr>
              <w:t>RTK</w:t>
            </w:r>
            <w:r>
              <w:rPr>
                <w:rStyle w:val="7"/>
                <w:rFonts w:ascii="仿宋_GB2312" w:hAnsi="仿宋_GB2312" w:eastAsia="仿宋_GB2312" w:cs="仿宋_GB2312"/>
                <w:sz w:val="18"/>
                <w:szCs w:val="18"/>
                <w:lang w:val="en-US" w:eastAsia="zh-CN" w:bidi="ar"/>
              </w:rPr>
              <w:t>的高精度卫星导航定位系统；具有电子围栏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30L及以上多旋翼植保无人驾驶航空器</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药液箱额定容量≥30L；多旋翼；电动、油动、油电混动；电动须配置智能电池系统，含智能电池2组及以上；具有避障系统；具有RTK的高精度卫星导航定位系统；具有电子围栏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15L-25L单旋翼植保无人驾驶航空器</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15L≤药液箱额定容量＜25L；单旋翼；电动、油动、油电混动；电动须配置智能电池系统，含智能电池2组及以上；具有避障系统；具有RTK的高精度卫星导航定位系统；具有电子围栏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植保无人驾驶航空器</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25L及以上单旋翼植保无人驾驶航空器</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药液箱额定容量≥25L；单旋翼；电动、油动、油电混动；电动须配置智能电池系统，含智能电池2组及以上；具有避障系统；具有RTK的高精度卫星导航定位系统；具有电子围栏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0.6—1kg/s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1—1.5kg/s</w:t>
            </w:r>
            <w:r>
              <w:rPr>
                <w:rStyle w:val="7"/>
                <w:rFonts w:ascii="仿宋_GB2312" w:hAnsi="仿宋_GB2312" w:eastAsia="仿宋_GB2312" w:cs="仿宋_GB2312"/>
                <w:sz w:val="18"/>
                <w:szCs w:val="18"/>
                <w:lang w:val="en-US" w:eastAsia="zh-CN" w:bidi="ar"/>
              </w:rPr>
              <w:t>自走履带式水稻联合收割机（全喂入）</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0.6kg/s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；自走履带式；喂入方式：全喂入</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1—1.5kg/s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1.5—2.1kg/s</w:t>
            </w:r>
            <w:r>
              <w:rPr>
                <w:rStyle w:val="7"/>
                <w:rFonts w:ascii="仿宋_GB2312" w:hAnsi="仿宋_GB2312" w:eastAsia="仿宋_GB2312" w:cs="仿宋_GB2312"/>
                <w:sz w:val="18"/>
                <w:szCs w:val="18"/>
                <w:lang w:val="en-US" w:eastAsia="zh-CN" w:bidi="ar"/>
              </w:rPr>
              <w:t>自走履带式水稻联合收割机（全喂入）</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；自走履带式；喂入方式：全喂入</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1.5—2.1kg/s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2.1—3kg/s</w:t>
            </w:r>
            <w:r>
              <w:rPr>
                <w:rStyle w:val="7"/>
                <w:rFonts w:ascii="仿宋_GB2312" w:hAnsi="仿宋_GB2312" w:eastAsia="仿宋_GB2312" w:cs="仿宋_GB2312"/>
                <w:sz w:val="18"/>
                <w:szCs w:val="18"/>
                <w:lang w:val="en-US" w:eastAsia="zh-CN" w:bidi="ar"/>
              </w:rPr>
              <w:t>自走履带式水稻联合收割机（全喂入）</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；自走履带式；喂入方式：全喂入</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11300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2.1—3kg/s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3—4kg/s</w:t>
            </w:r>
            <w:r>
              <w:rPr>
                <w:rStyle w:val="7"/>
                <w:rFonts w:ascii="仿宋_GB2312" w:hAnsi="仿宋_GB2312" w:eastAsia="仿宋_GB2312" w:cs="仿宋_GB2312"/>
                <w:sz w:val="18"/>
                <w:szCs w:val="18"/>
                <w:lang w:val="en-US" w:eastAsia="zh-CN" w:bidi="ar"/>
              </w:rPr>
              <w:t>自走履带式水稻联合收割机（全喂入）</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2.1kg/s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w:t>
            </w: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24600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3—4kg/s</w:t>
            </w:r>
            <w:r>
              <w:rPr>
                <w:rStyle w:val="7"/>
                <w:rFonts w:ascii="仿宋_GB2312" w:hAnsi="仿宋_GB2312" w:eastAsia="仿宋_GB2312" w:cs="仿宋_GB2312"/>
                <w:sz w:val="18"/>
                <w:szCs w:val="18"/>
                <w:lang w:val="en-US" w:eastAsia="zh-CN" w:bidi="ar"/>
              </w:rPr>
              <w:t>自走履带式谷物联合收割机（全喂入）</w:t>
            </w:r>
            <w:r>
              <w:rPr>
                <w:rStyle w:val="6"/>
                <w:rFonts w:hint="eastAsia"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包含</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及以上自走履带式水稻联合收割机（全喂入）</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3kg/s</w:t>
            </w: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，水稻机喂入量≥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28800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自走履带式谷物联合收割机（全喂入）</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及以上自走履带式谷物联合收割机（全喂入）</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喂入量≥</w:t>
            </w:r>
            <w:r>
              <w:rPr>
                <w:rStyle w:val="6"/>
                <w:rFonts w:hint="eastAsia" w:ascii="仿宋_GB2312" w:hAnsi="仿宋_GB2312" w:eastAsia="仿宋_GB2312" w:cs="仿宋_GB2312"/>
                <w:sz w:val="18"/>
                <w:szCs w:val="18"/>
                <w:lang w:val="en-US" w:eastAsia="zh-CN" w:bidi="ar"/>
              </w:rPr>
              <w:t>4kg/s</w:t>
            </w:r>
            <w:r>
              <w:rPr>
                <w:rStyle w:val="7"/>
                <w:rFonts w:ascii="仿宋_GB2312" w:hAnsi="仿宋_GB2312" w:eastAsia="仿宋_GB2312" w:cs="仿宋_GB2312"/>
                <w:sz w:val="18"/>
                <w:szCs w:val="18"/>
                <w:lang w:val="en-US" w:eastAsia="zh-CN" w:bidi="ar"/>
              </w:rPr>
              <w:t>；自走履带式；喂入方式：全喂入</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31300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半喂入联合收割机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3行35马力及以上半喂入联合收割机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收获行数：3行；喂入方式：半喂入；功率≥35马力</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17600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谷物收获机械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半喂入联合收割机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行及以上</w:t>
            </w:r>
            <w:r>
              <w:rPr>
                <w:rStyle w:val="6"/>
                <w:rFonts w:hint="eastAsia" w:ascii="仿宋_GB2312" w:hAnsi="仿宋_GB2312" w:eastAsia="仿宋_GB2312" w:cs="仿宋_GB2312"/>
                <w:sz w:val="18"/>
                <w:szCs w:val="18"/>
                <w:lang w:val="en-US" w:eastAsia="zh-CN" w:bidi="ar"/>
              </w:rPr>
              <w:t>35</w:t>
            </w:r>
            <w:r>
              <w:rPr>
                <w:rStyle w:val="7"/>
                <w:rFonts w:ascii="仿宋_GB2312" w:hAnsi="仿宋_GB2312" w:eastAsia="仿宋_GB2312" w:cs="仿宋_GB2312"/>
                <w:sz w:val="18"/>
                <w:szCs w:val="18"/>
                <w:lang w:val="en-US" w:eastAsia="zh-CN" w:bidi="ar"/>
              </w:rPr>
              <w:t>马力及以上半喂入联合收割机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收获行数≥</w:t>
            </w:r>
            <w:r>
              <w:rPr>
                <w:rStyle w:val="6"/>
                <w:rFonts w:hint="eastAsia" w:ascii="仿宋_GB2312" w:hAnsi="仿宋_GB2312" w:eastAsia="仿宋_GB2312" w:cs="仿宋_GB2312"/>
                <w:sz w:val="18"/>
                <w:szCs w:val="18"/>
                <w:lang w:val="en-US" w:eastAsia="zh-CN" w:bidi="ar"/>
              </w:rPr>
              <w:t>4</w:t>
            </w:r>
            <w:r>
              <w:rPr>
                <w:rStyle w:val="7"/>
                <w:rFonts w:ascii="仿宋_GB2312" w:hAnsi="仿宋_GB2312" w:eastAsia="仿宋_GB2312" w:cs="仿宋_GB2312"/>
                <w:sz w:val="18"/>
                <w:szCs w:val="18"/>
                <w:lang w:val="en-US" w:eastAsia="zh-CN" w:bidi="ar"/>
              </w:rPr>
              <w:t>行；喂入方式：半喂入；功率≥</w:t>
            </w:r>
            <w:r>
              <w:rPr>
                <w:rStyle w:val="6"/>
                <w:rFonts w:hint="eastAsia" w:ascii="仿宋_GB2312" w:hAnsi="仿宋_GB2312" w:eastAsia="仿宋_GB2312" w:cs="仿宋_GB2312"/>
                <w:sz w:val="18"/>
                <w:szCs w:val="18"/>
                <w:lang w:val="en-US" w:eastAsia="zh-CN" w:bidi="ar"/>
              </w:rPr>
              <w:t>35</w:t>
            </w:r>
            <w:r>
              <w:rPr>
                <w:rStyle w:val="7"/>
                <w:rFonts w:ascii="仿宋_GB2312" w:hAnsi="仿宋_GB2312" w:eastAsia="仿宋_GB2312" w:cs="仿宋_GB2312"/>
                <w:sz w:val="18"/>
                <w:szCs w:val="18"/>
                <w:lang w:val="en-US" w:eastAsia="zh-CN" w:bidi="ar"/>
              </w:rPr>
              <w:t>马力</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1—1.5m秸秆粉碎还田机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1m≤作业幅宽＜1.5m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1.5—2m</w:t>
            </w:r>
            <w:r>
              <w:rPr>
                <w:rStyle w:val="7"/>
                <w:rFonts w:ascii="仿宋_GB2312" w:hAnsi="仿宋_GB2312" w:eastAsia="仿宋_GB2312" w:cs="仿宋_GB2312"/>
                <w:sz w:val="18"/>
                <w:szCs w:val="18"/>
                <w:lang w:val="en-US" w:eastAsia="zh-CN" w:bidi="ar"/>
              </w:rPr>
              <w:t>秸秆粉碎还田机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1.5m</w:t>
            </w:r>
            <w:r>
              <w:rPr>
                <w:rStyle w:val="7"/>
                <w:rFonts w:ascii="仿宋_GB2312" w:hAnsi="仿宋_GB2312" w:eastAsia="仿宋_GB2312" w:cs="仿宋_GB2312"/>
                <w:sz w:val="18"/>
                <w:szCs w:val="18"/>
                <w:lang w:val="en-US" w:eastAsia="zh-CN" w:bidi="ar"/>
              </w:rPr>
              <w:t>≤作业幅宽＜</w:t>
            </w:r>
            <w:r>
              <w:rPr>
                <w:rStyle w:val="6"/>
                <w:rFonts w:hint="eastAsia" w:ascii="仿宋_GB2312" w:hAnsi="仿宋_GB2312" w:eastAsia="仿宋_GB2312" w:cs="仿宋_GB2312"/>
                <w:sz w:val="18"/>
                <w:szCs w:val="18"/>
                <w:lang w:val="en-US" w:eastAsia="zh-CN" w:bidi="ar"/>
              </w:rPr>
              <w:t>2m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2—2.5m</w:t>
            </w:r>
            <w:r>
              <w:rPr>
                <w:rStyle w:val="7"/>
                <w:rFonts w:ascii="仿宋_GB2312" w:hAnsi="仿宋_GB2312" w:eastAsia="仿宋_GB2312" w:cs="仿宋_GB2312"/>
                <w:sz w:val="18"/>
                <w:szCs w:val="18"/>
                <w:lang w:val="en-US" w:eastAsia="zh-CN" w:bidi="ar"/>
              </w:rPr>
              <w:t>秸秆粉碎还田机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2m</w:t>
            </w:r>
            <w:r>
              <w:rPr>
                <w:rStyle w:val="7"/>
                <w:rFonts w:ascii="仿宋_GB2312" w:hAnsi="仿宋_GB2312" w:eastAsia="仿宋_GB2312" w:cs="仿宋_GB2312"/>
                <w:sz w:val="18"/>
                <w:szCs w:val="18"/>
                <w:lang w:val="en-US" w:eastAsia="zh-CN" w:bidi="ar"/>
              </w:rPr>
              <w:t>≤作业幅宽＜2.5m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茎秆收集处理机械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秸秆粉碎还田机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2.5m</w:t>
            </w:r>
            <w:r>
              <w:rPr>
                <w:rStyle w:val="7"/>
                <w:rFonts w:ascii="仿宋_GB2312" w:hAnsi="仿宋_GB2312" w:eastAsia="仿宋_GB2312" w:cs="仿宋_GB2312"/>
                <w:sz w:val="18"/>
                <w:szCs w:val="18"/>
                <w:lang w:val="en-US" w:eastAsia="zh-CN" w:bidi="ar"/>
              </w:rPr>
              <w:t>及以上秸秆粉碎还田机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作业幅宽≥</w:t>
            </w:r>
            <w:r>
              <w:rPr>
                <w:rStyle w:val="6"/>
                <w:rFonts w:hint="eastAsia" w:ascii="仿宋_GB2312" w:hAnsi="仿宋_GB2312" w:eastAsia="仿宋_GB2312" w:cs="仿宋_GB2312"/>
                <w:sz w:val="18"/>
                <w:szCs w:val="18"/>
                <w:lang w:val="en-US" w:eastAsia="zh-CN" w:bidi="ar"/>
              </w:rPr>
              <w:t>2.5m</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9"/>
                <w:rFonts w:ascii="仿宋_GB2312" w:hAnsi="仿宋_GB2312" w:eastAsia="仿宋_GB2312" w:cs="仿宋_GB2312"/>
                <w:sz w:val="18"/>
                <w:szCs w:val="18"/>
                <w:lang w:val="en-US" w:eastAsia="zh-CN" w:bidi="ar"/>
              </w:rPr>
              <w:t>2</w:t>
            </w:r>
            <w:r>
              <w:rPr>
                <w:rStyle w:val="6"/>
                <w:rFonts w:hint="eastAsia" w:ascii="仿宋_GB2312" w:hAnsi="仿宋_GB2312" w:eastAsia="仿宋_GB2312" w:cs="仿宋_GB2312"/>
                <w:sz w:val="18"/>
                <w:szCs w:val="18"/>
                <w:lang w:val="en-US" w:eastAsia="zh-CN" w:bidi="ar"/>
              </w:rPr>
              <w:t>—</w:t>
            </w:r>
            <w:r>
              <w:rPr>
                <w:rStyle w:val="9"/>
                <w:rFonts w:ascii="仿宋_GB2312" w:hAnsi="仿宋_GB2312" w:eastAsia="仿宋_GB2312" w:cs="仿宋_GB2312"/>
                <w:sz w:val="18"/>
                <w:szCs w:val="18"/>
                <w:lang w:val="en-US" w:eastAsia="zh-CN" w:bidi="ar"/>
              </w:rPr>
              <w:t>4</w:t>
            </w:r>
            <w:r>
              <w:rPr>
                <w:rStyle w:val="6"/>
                <w:rFonts w:hint="eastAsia" w:ascii="仿宋_GB2312" w:hAnsi="仿宋_GB2312" w:eastAsia="仿宋_GB2312" w:cs="仿宋_GB2312"/>
                <w:sz w:val="18"/>
                <w:szCs w:val="18"/>
                <w:lang w:val="en-US" w:eastAsia="zh-CN" w:bidi="ar"/>
              </w:rPr>
              <w:t>t</w:t>
            </w:r>
            <w:r>
              <w:rPr>
                <w:rStyle w:val="8"/>
                <w:rFonts w:ascii="仿宋_GB2312" w:hAnsi="仿宋_GB2312" w:eastAsia="仿宋_GB2312" w:cs="仿宋_GB2312"/>
                <w:sz w:val="18"/>
                <w:szCs w:val="18"/>
                <w:lang w:val="en-US" w:eastAsia="zh-CN" w:bidi="ar"/>
              </w:rPr>
              <w:t>循环式谷物烘干机</w:t>
            </w:r>
          </w:p>
        </w:tc>
        <w:tc>
          <w:tcPr>
            <w:tcW w:w="2927" w:type="dxa"/>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2t≤批处理量＜4t；循环式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4—10t</w:t>
            </w:r>
            <w:r>
              <w:rPr>
                <w:rStyle w:val="8"/>
                <w:rFonts w:ascii="仿宋_GB2312" w:hAnsi="仿宋_GB2312" w:eastAsia="仿宋_GB2312" w:cs="仿宋_GB2312"/>
                <w:sz w:val="18"/>
                <w:szCs w:val="18"/>
                <w:lang w:val="en-US" w:eastAsia="zh-CN" w:bidi="ar"/>
              </w:rPr>
              <w:t>循环式谷物烘干机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10t</w:t>
            </w:r>
            <w:r>
              <w:rPr>
                <w:rStyle w:val="8"/>
                <w:rFonts w:ascii="仿宋_GB2312" w:hAnsi="仿宋_GB2312" w:eastAsia="仿宋_GB2312" w:cs="仿宋_GB2312"/>
                <w:sz w:val="18"/>
                <w:szCs w:val="18"/>
                <w:lang w:val="en-US" w:eastAsia="zh-CN" w:bidi="ar"/>
              </w:rPr>
              <w:t>；循环式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10—20t</w:t>
            </w:r>
            <w:r>
              <w:rPr>
                <w:rStyle w:val="8"/>
                <w:rFonts w:ascii="仿宋_GB2312" w:hAnsi="仿宋_GB2312" w:eastAsia="仿宋_GB2312" w:cs="仿宋_GB2312"/>
                <w:sz w:val="18"/>
                <w:szCs w:val="18"/>
                <w:lang w:val="en-US" w:eastAsia="zh-CN" w:bidi="ar"/>
              </w:rPr>
              <w:t>循环式谷物烘干机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20t</w:t>
            </w:r>
            <w:r>
              <w:rPr>
                <w:rStyle w:val="8"/>
                <w:rFonts w:ascii="仿宋_GB2312" w:hAnsi="仿宋_GB2312" w:eastAsia="仿宋_GB2312" w:cs="仿宋_GB2312"/>
                <w:sz w:val="18"/>
                <w:szCs w:val="18"/>
                <w:lang w:val="en-US" w:eastAsia="zh-CN" w:bidi="ar"/>
              </w:rPr>
              <w:t>；循环式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22600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20—30t</w:t>
            </w:r>
            <w:r>
              <w:rPr>
                <w:rStyle w:val="8"/>
                <w:rFonts w:ascii="仿宋_GB2312" w:hAnsi="仿宋_GB2312" w:eastAsia="仿宋_GB2312" w:cs="仿宋_GB2312"/>
                <w:sz w:val="18"/>
                <w:szCs w:val="18"/>
                <w:lang w:val="en-US" w:eastAsia="zh-CN" w:bidi="ar"/>
              </w:rPr>
              <w:t>循环式谷物烘干机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20t</w:t>
            </w: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；循环式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干燥机械</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谷物烘干机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及以上循环式谷物烘干机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8"/>
                <w:rFonts w:ascii="仿宋_GB2312" w:hAnsi="仿宋_GB2312" w:eastAsia="仿宋_GB2312" w:cs="仿宋_GB2312"/>
                <w:sz w:val="18"/>
                <w:szCs w:val="18"/>
                <w:lang w:val="en-US" w:eastAsia="zh-CN" w:bidi="ar"/>
              </w:rPr>
              <w:t>批处理量≥</w:t>
            </w:r>
            <w:r>
              <w:rPr>
                <w:rStyle w:val="6"/>
                <w:rFonts w:hint="eastAsia" w:ascii="仿宋_GB2312" w:hAnsi="仿宋_GB2312" w:eastAsia="仿宋_GB2312" w:cs="仿宋_GB2312"/>
                <w:sz w:val="18"/>
                <w:szCs w:val="18"/>
                <w:lang w:val="en-US" w:eastAsia="zh-CN" w:bidi="ar"/>
              </w:rPr>
              <w:t>30t</w:t>
            </w:r>
            <w:r>
              <w:rPr>
                <w:rStyle w:val="8"/>
                <w:rFonts w:ascii="仿宋_GB2312" w:hAnsi="仿宋_GB2312" w:eastAsia="仿宋_GB2312" w:cs="仿宋_GB2312"/>
                <w:sz w:val="18"/>
                <w:szCs w:val="18"/>
                <w:lang w:val="en-US" w:eastAsia="zh-CN" w:bidi="ar"/>
              </w:rPr>
              <w:t>；循环式</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46900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20马力以下四轮驱动拖拉机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功率＜20马力；驱动方式：四轮驱动</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1750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不含皮带传动轮式拖拉机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20-30马力四轮驱动拖拉机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20马力≤功率＜30马力；驱动方式：四轮驱动</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5160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30-40马力四轮驱动拖拉机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30马力≤功率＜40马力；驱动方式：四轮驱动</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40—50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40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50</w:t>
            </w:r>
            <w:r>
              <w:rPr>
                <w:rStyle w:val="7"/>
                <w:rFonts w:ascii="仿宋_GB2312" w:hAnsi="仿宋_GB2312" w:eastAsia="仿宋_GB2312" w:cs="仿宋_GB2312"/>
                <w:sz w:val="18"/>
                <w:szCs w:val="18"/>
                <w:lang w:val="en-US" w:eastAsia="zh-CN" w:bidi="ar"/>
              </w:rPr>
              <w:t>马力；驱动方式：四轮驱动；</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9900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50—60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50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60</w:t>
            </w:r>
            <w:r>
              <w:rPr>
                <w:rStyle w:val="7"/>
                <w:rFonts w:ascii="仿宋_GB2312" w:hAnsi="仿宋_GB2312" w:eastAsia="仿宋_GB2312" w:cs="仿宋_GB2312"/>
                <w:sz w:val="18"/>
                <w:szCs w:val="18"/>
                <w:lang w:val="en-US" w:eastAsia="zh-CN" w:bidi="ar"/>
              </w:rPr>
              <w:t>马力；驱动方式：四轮驱动；</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10900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60—70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60</w:t>
            </w:r>
            <w:r>
              <w:rPr>
                <w:rStyle w:val="7"/>
                <w:rFonts w:ascii="仿宋_GB2312" w:hAnsi="仿宋_GB2312" w:eastAsia="仿宋_GB2312" w:cs="仿宋_GB2312"/>
                <w:sz w:val="18"/>
                <w:szCs w:val="18"/>
                <w:lang w:val="en-US" w:eastAsia="zh-CN" w:bidi="ar"/>
              </w:rPr>
              <w:t>马力≤功率＜</w:t>
            </w:r>
            <w:r>
              <w:rPr>
                <w:rStyle w:val="6"/>
                <w:rFonts w:hint="eastAsia" w:ascii="仿宋_GB2312" w:hAnsi="仿宋_GB2312" w:eastAsia="仿宋_GB2312" w:cs="仿宋_GB2312"/>
                <w:sz w:val="18"/>
                <w:szCs w:val="18"/>
                <w:lang w:val="en-US" w:eastAsia="zh-CN" w:bidi="ar"/>
              </w:rPr>
              <w:t>70</w:t>
            </w:r>
            <w:r>
              <w:rPr>
                <w:rStyle w:val="7"/>
                <w:rFonts w:ascii="仿宋_GB2312" w:hAnsi="仿宋_GB2312" w:eastAsia="仿宋_GB2312" w:cs="仿宋_GB2312"/>
                <w:sz w:val="18"/>
                <w:szCs w:val="18"/>
                <w:lang w:val="en-US" w:eastAsia="zh-CN" w:bidi="ar"/>
              </w:rPr>
              <w:t>马力；驱动方式：四轮驱动；</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70—80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70马力≤功率＜</w:t>
            </w:r>
            <w:r>
              <w:rPr>
                <w:rStyle w:val="8"/>
                <w:rFonts w:ascii="仿宋_GB2312" w:hAnsi="仿宋_GB2312" w:eastAsia="仿宋_GB2312" w:cs="仿宋_GB2312"/>
                <w:sz w:val="18"/>
                <w:szCs w:val="18"/>
                <w:lang w:val="en-US" w:eastAsia="zh-CN" w:bidi="ar"/>
              </w:rPr>
              <w:t>80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15300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80—90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80马力≤功率＜</w:t>
            </w:r>
            <w:r>
              <w:rPr>
                <w:rStyle w:val="8"/>
                <w:rFonts w:ascii="仿宋_GB2312" w:hAnsi="仿宋_GB2312" w:eastAsia="仿宋_GB2312" w:cs="仿宋_GB2312"/>
                <w:sz w:val="18"/>
                <w:szCs w:val="18"/>
                <w:lang w:val="en-US" w:eastAsia="zh-CN" w:bidi="ar"/>
              </w:rPr>
              <w:t>90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18500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80—90 马力四轮驱动动力换挡拖拉机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80 马力≤功率＜</w:t>
            </w:r>
            <w:r>
              <w:rPr>
                <w:rStyle w:val="8"/>
                <w:rFonts w:ascii="仿宋_GB2312" w:hAnsi="仿宋_GB2312" w:eastAsia="仿宋_GB2312" w:cs="仿宋_GB2312"/>
                <w:sz w:val="18"/>
                <w:szCs w:val="18"/>
                <w:lang w:val="en-US" w:eastAsia="zh-CN" w:bidi="ar"/>
              </w:rPr>
              <w:t xml:space="preserve">90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21500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90—100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90马力≤功率＜</w:t>
            </w:r>
            <w:r>
              <w:rPr>
                <w:rStyle w:val="8"/>
                <w:rFonts w:ascii="仿宋_GB2312" w:hAnsi="仿宋_GB2312" w:eastAsia="仿宋_GB2312" w:cs="仿宋_GB2312"/>
                <w:sz w:val="18"/>
                <w:szCs w:val="18"/>
                <w:lang w:val="en-US" w:eastAsia="zh-CN" w:bidi="ar"/>
              </w:rPr>
              <w:t>100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21500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90—100 </w:t>
            </w:r>
            <w:r>
              <w:rPr>
                <w:rStyle w:val="7"/>
                <w:rFonts w:ascii="仿宋_GB2312" w:hAnsi="仿宋_GB2312" w:eastAsia="仿宋_GB2312" w:cs="仿宋_GB2312"/>
                <w:sz w:val="18"/>
                <w:szCs w:val="18"/>
                <w:lang w:val="en-US" w:eastAsia="zh-CN" w:bidi="ar"/>
              </w:rPr>
              <w:t>马力四轮驱动动力换挡拖拉机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90 马力≤功率＜</w:t>
            </w:r>
            <w:r>
              <w:rPr>
                <w:rStyle w:val="8"/>
                <w:rFonts w:ascii="仿宋_GB2312" w:hAnsi="仿宋_GB2312" w:eastAsia="仿宋_GB2312" w:cs="仿宋_GB2312"/>
                <w:sz w:val="18"/>
                <w:szCs w:val="18"/>
                <w:lang w:val="en-US" w:eastAsia="zh-CN" w:bidi="ar"/>
              </w:rPr>
              <w:t xml:space="preserve">100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24500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100—120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100马力≤功率＜</w:t>
            </w:r>
            <w:r>
              <w:rPr>
                <w:rStyle w:val="8"/>
                <w:rFonts w:ascii="仿宋_GB2312" w:hAnsi="仿宋_GB2312" w:eastAsia="仿宋_GB2312" w:cs="仿宋_GB2312"/>
                <w:sz w:val="18"/>
                <w:szCs w:val="18"/>
                <w:lang w:val="en-US" w:eastAsia="zh-CN" w:bidi="ar"/>
              </w:rPr>
              <w:t>120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24500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100—120 </w:t>
            </w:r>
            <w:r>
              <w:rPr>
                <w:rStyle w:val="7"/>
                <w:rFonts w:ascii="仿宋_GB2312" w:hAnsi="仿宋_GB2312" w:eastAsia="仿宋_GB2312" w:cs="仿宋_GB2312"/>
                <w:sz w:val="18"/>
                <w:szCs w:val="18"/>
                <w:lang w:val="en-US" w:eastAsia="zh-CN" w:bidi="ar"/>
              </w:rPr>
              <w:t>马力四轮驱动动力换挡拖拉机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100 马力≤功率＜</w:t>
            </w:r>
            <w:r>
              <w:rPr>
                <w:rStyle w:val="8"/>
                <w:rFonts w:ascii="仿宋_GB2312" w:hAnsi="仿宋_GB2312" w:eastAsia="仿宋_GB2312" w:cs="仿宋_GB2312"/>
                <w:sz w:val="18"/>
                <w:szCs w:val="18"/>
                <w:lang w:val="en-US" w:eastAsia="zh-CN" w:bidi="ar"/>
              </w:rPr>
              <w:t xml:space="preserve">120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27500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120—140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120马力≤功率＜</w:t>
            </w:r>
            <w:r>
              <w:rPr>
                <w:rStyle w:val="8"/>
                <w:rFonts w:ascii="仿宋_GB2312" w:hAnsi="仿宋_GB2312" w:eastAsia="仿宋_GB2312" w:cs="仿宋_GB2312"/>
                <w:sz w:val="18"/>
                <w:szCs w:val="18"/>
                <w:lang w:val="en-US" w:eastAsia="zh-CN" w:bidi="ar"/>
              </w:rPr>
              <w:t>140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31900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120—140 </w:t>
            </w:r>
            <w:r>
              <w:rPr>
                <w:rStyle w:val="7"/>
                <w:rFonts w:ascii="仿宋_GB2312" w:hAnsi="仿宋_GB2312" w:eastAsia="仿宋_GB2312" w:cs="仿宋_GB2312"/>
                <w:sz w:val="18"/>
                <w:szCs w:val="18"/>
                <w:lang w:val="en-US" w:eastAsia="zh-CN" w:bidi="ar"/>
              </w:rPr>
              <w:t>马力四轮驱动动力换挡拖拉机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120 马力≤功率＜</w:t>
            </w:r>
            <w:r>
              <w:rPr>
                <w:rStyle w:val="8"/>
                <w:rFonts w:ascii="仿宋_GB2312" w:hAnsi="仿宋_GB2312" w:eastAsia="仿宋_GB2312" w:cs="仿宋_GB2312"/>
                <w:sz w:val="18"/>
                <w:szCs w:val="18"/>
                <w:lang w:val="en-US" w:eastAsia="zh-CN" w:bidi="ar"/>
              </w:rPr>
              <w:t xml:space="preserve">140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34900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140—160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140马力≤功率＜</w:t>
            </w:r>
            <w:r>
              <w:rPr>
                <w:rStyle w:val="8"/>
                <w:rFonts w:ascii="仿宋_GB2312" w:hAnsi="仿宋_GB2312" w:eastAsia="仿宋_GB2312" w:cs="仿宋_GB2312"/>
                <w:sz w:val="18"/>
                <w:szCs w:val="18"/>
                <w:lang w:val="en-US" w:eastAsia="zh-CN" w:bidi="ar"/>
              </w:rPr>
              <w:t>160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38800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140—160 </w:t>
            </w:r>
            <w:r>
              <w:rPr>
                <w:rStyle w:val="7"/>
                <w:rFonts w:ascii="仿宋_GB2312" w:hAnsi="仿宋_GB2312" w:eastAsia="仿宋_GB2312" w:cs="仿宋_GB2312"/>
                <w:sz w:val="18"/>
                <w:szCs w:val="18"/>
                <w:lang w:val="en-US" w:eastAsia="zh-CN" w:bidi="ar"/>
              </w:rPr>
              <w:t>马力四轮驱动动力换挡拖拉机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140 马力≤功率＜</w:t>
            </w:r>
            <w:r>
              <w:rPr>
                <w:rStyle w:val="8"/>
                <w:rFonts w:ascii="仿宋_GB2312" w:hAnsi="仿宋_GB2312" w:eastAsia="仿宋_GB2312" w:cs="仿宋_GB2312"/>
                <w:sz w:val="18"/>
                <w:szCs w:val="18"/>
                <w:lang w:val="en-US" w:eastAsia="zh-CN" w:bidi="ar"/>
              </w:rPr>
              <w:t xml:space="preserve">160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w:t>
            </w:r>
            <w:r>
              <w:rPr>
                <w:rStyle w:val="8"/>
                <w:rFonts w:ascii="仿宋_GB2312" w:hAnsi="仿宋_GB2312" w:eastAsia="仿宋_GB2312" w:cs="仿宋_GB2312"/>
                <w:sz w:val="18"/>
                <w:szCs w:val="18"/>
                <w:lang w:val="en-US" w:eastAsia="zh-CN" w:bidi="ar"/>
              </w:rPr>
              <w:t>K</w:t>
            </w:r>
            <w:r>
              <w:rPr>
                <w:rStyle w:val="7"/>
                <w:rFonts w:ascii="仿宋_GB2312" w:hAnsi="仿宋_GB2312" w:eastAsia="仿宋_GB2312" w:cs="仿宋_GB2312"/>
                <w:sz w:val="18"/>
                <w:szCs w:val="18"/>
                <w:lang w:val="en-US" w:eastAsia="zh-CN" w:bidi="ar"/>
              </w:rPr>
              <w:t>值≥</w:t>
            </w:r>
            <w:r>
              <w:rPr>
                <w:rStyle w:val="8"/>
                <w:rFonts w:ascii="仿宋_GB2312" w:hAnsi="仿宋_GB2312" w:eastAsia="仿宋_GB2312" w:cs="仿宋_GB2312"/>
                <w:sz w:val="18"/>
                <w:szCs w:val="18"/>
                <w:lang w:val="en-US" w:eastAsia="zh-CN" w:bidi="ar"/>
              </w:rPr>
              <w:t>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42800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160—180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160马力≤功率＜</w:t>
            </w:r>
            <w:r>
              <w:rPr>
                <w:rStyle w:val="8"/>
                <w:rFonts w:ascii="仿宋_GB2312" w:hAnsi="仿宋_GB2312" w:eastAsia="仿宋_GB2312" w:cs="仿宋_GB2312"/>
                <w:sz w:val="18"/>
                <w:szCs w:val="18"/>
                <w:lang w:val="en-US" w:eastAsia="zh-CN" w:bidi="ar"/>
              </w:rPr>
              <w:t>180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45700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160—180 </w:t>
            </w:r>
            <w:r>
              <w:rPr>
                <w:rStyle w:val="7"/>
                <w:rFonts w:ascii="仿宋_GB2312" w:hAnsi="仿宋_GB2312" w:eastAsia="仿宋_GB2312" w:cs="仿宋_GB2312"/>
                <w:sz w:val="18"/>
                <w:szCs w:val="18"/>
                <w:lang w:val="en-US" w:eastAsia="zh-CN" w:bidi="ar"/>
              </w:rPr>
              <w:t>马力四轮驱动动力换挡拖拉机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160 马力≤功率＜</w:t>
            </w:r>
            <w:r>
              <w:rPr>
                <w:rStyle w:val="8"/>
                <w:rFonts w:ascii="仿宋_GB2312" w:hAnsi="仿宋_GB2312" w:eastAsia="仿宋_GB2312" w:cs="仿宋_GB2312"/>
                <w:sz w:val="18"/>
                <w:szCs w:val="18"/>
                <w:lang w:val="en-US" w:eastAsia="zh-CN" w:bidi="ar"/>
              </w:rPr>
              <w:t xml:space="preserve">180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49700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180—200</w:t>
            </w:r>
            <w:r>
              <w:rPr>
                <w:rStyle w:val="7"/>
                <w:rFonts w:ascii="仿宋_GB2312" w:hAnsi="仿宋_GB2312" w:eastAsia="仿宋_GB2312" w:cs="仿宋_GB2312"/>
                <w:sz w:val="18"/>
                <w:szCs w:val="18"/>
                <w:lang w:val="en-US" w:eastAsia="zh-CN" w:bidi="ar"/>
              </w:rPr>
              <w:t>马力四轮驱动拖拉机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180马力≤功率＜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 xml:space="preserve">180—200 </w:t>
            </w:r>
            <w:r>
              <w:rPr>
                <w:rStyle w:val="7"/>
                <w:rFonts w:ascii="仿宋_GB2312" w:hAnsi="仿宋_GB2312" w:eastAsia="仿宋_GB2312" w:cs="仿宋_GB2312"/>
                <w:sz w:val="18"/>
                <w:szCs w:val="18"/>
                <w:lang w:val="en-US" w:eastAsia="zh-CN" w:bidi="ar"/>
              </w:rPr>
              <w:t>马力四轮驱动动力换挡拖拉机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180 马力≤功率＜</w:t>
            </w:r>
            <w:r>
              <w:rPr>
                <w:rStyle w:val="8"/>
                <w:rFonts w:ascii="仿宋_GB2312" w:hAnsi="仿宋_GB2312" w:eastAsia="仿宋_GB2312" w:cs="仿宋_GB2312"/>
                <w:sz w:val="18"/>
                <w:szCs w:val="18"/>
                <w:lang w:val="en-US" w:eastAsia="zh-CN" w:bidi="ar"/>
              </w:rPr>
              <w:t xml:space="preserve">200 </w:t>
            </w:r>
            <w:r>
              <w:rPr>
                <w:rStyle w:val="7"/>
                <w:rFonts w:ascii="仿宋_GB2312" w:hAnsi="仿宋_GB2312" w:eastAsia="仿宋_GB2312" w:cs="仿宋_GB2312"/>
                <w:sz w:val="18"/>
                <w:szCs w:val="18"/>
                <w:lang w:val="en-US" w:eastAsia="zh-CN" w:bidi="ar"/>
              </w:rPr>
              <w:t>马力；驱动方式：四轮驱动；换挡方式：部分动力换挡、动力换挡</w:t>
            </w:r>
            <w:r>
              <w:rPr>
                <w:rStyle w:val="8"/>
                <w:rFonts w:ascii="仿宋_GB2312" w:hAnsi="仿宋_GB2312" w:eastAsia="仿宋_GB2312" w:cs="仿宋_GB2312"/>
                <w:sz w:val="18"/>
                <w:szCs w:val="18"/>
                <w:lang w:val="en-US" w:eastAsia="zh-CN" w:bidi="ar"/>
              </w:rPr>
              <w:t>/</w:t>
            </w:r>
            <w:r>
              <w:rPr>
                <w:rStyle w:val="7"/>
                <w:rFonts w:ascii="仿宋_GB2312" w:hAnsi="仿宋_GB2312" w:eastAsia="仿宋_GB2312" w:cs="仿宋_GB2312"/>
                <w:sz w:val="18"/>
                <w:szCs w:val="18"/>
                <w:lang w:val="en-US" w:eastAsia="zh-CN" w:bidi="ar"/>
              </w:rPr>
              <w:t>换向、无级变速；K值≥28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马力及以上四轮驱动拖拉机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轮式拖拉机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6"/>
                <w:rFonts w:hint="eastAsia"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马力及以上四轮驱动拖拉机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Style w:val="7"/>
                <w:rFonts w:ascii="仿宋_GB2312" w:hAnsi="仿宋_GB2312" w:eastAsia="仿宋_GB2312" w:cs="仿宋_GB2312"/>
                <w:sz w:val="18"/>
                <w:szCs w:val="18"/>
                <w:lang w:val="en-US" w:eastAsia="zh-CN" w:bidi="ar"/>
              </w:rPr>
              <w:t>功率≥</w:t>
            </w:r>
            <w:r>
              <w:rPr>
                <w:rStyle w:val="8"/>
                <w:rFonts w:ascii="仿宋_GB2312" w:hAnsi="仿宋_GB2312" w:eastAsia="仿宋_GB2312" w:cs="仿宋_GB2312"/>
                <w:sz w:val="18"/>
                <w:szCs w:val="18"/>
                <w:lang w:val="en-US" w:eastAsia="zh-CN" w:bidi="ar"/>
              </w:rPr>
              <w:t>200</w:t>
            </w:r>
            <w:r>
              <w:rPr>
                <w:rStyle w:val="7"/>
                <w:rFonts w:ascii="仿宋_GB2312" w:hAnsi="仿宋_GB2312" w:eastAsia="仿宋_GB2312" w:cs="仿宋_GB2312"/>
                <w:sz w:val="18"/>
                <w:szCs w:val="18"/>
                <w:lang w:val="en-US" w:eastAsia="zh-CN" w:bidi="ar"/>
              </w:rPr>
              <w:t>马力；驱动方式：四轮驱动；K值≥28</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80-100马力重型履带式拖拉机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80马力≤功率＜100马力；驱动方式：履带式；最小使用质量≥6000kg</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100-130马力重型履带式拖拉机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100马力≤功率＜130马力；驱动方式：履带式；最小使用质量≥6500kg</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58300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130-160马力重型履带式拖拉机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130马力≤功率＜160马力；驱动方式：履带式；最小使用质量≥7000kg</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82200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160马力及以上重型履带式拖拉机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160马力≤功率；驱动方式：履带式；最小使用质量≥8000kg</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102600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50-70马力差速转向履带式拖拉机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 马力≤功率＜70 马力；驱动方式： 履带式；转向型式：差速式转向；最大 牵引功率≥70%发动力标定功率；最小 使用比质量≥35 kg/kW</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差速式转向是指用于液压机械双功率流驱动差速转向机构，实现履带车辆转向的差速式转向系统。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70-90马力差速转向履带式拖拉机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 马力≤功率＜90 马力；驱动方式： 履带式； 转向型式：差速式转向；最 大牵引功率≥70%发动力标定功率；最 小使用比质量≥35 kg/kW</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26100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90-110马力差速转向履带式拖拉机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 马力≤功率＜110 马力；驱动方式： 履带式；转向型式：差速式转向；最大 牵引功率≥70%发动力标定功率；最小 使用比质量≥35kg/kW</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34600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110马力及以上差速转向履带式拖拉机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 马力≤功率；驱动方式：履带式； 转向型式：差速式转向；最大牵引功率 ≥70%发动力标定功率；最小使用比质 量≥45kg/kW</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34600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50-70马力轻型履带式拖拉机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 马力≤功率＜70 马力；驱动方式： 履带式，橡胶履带</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14400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14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41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履带式拖拉机</w:t>
            </w:r>
          </w:p>
        </w:tc>
        <w:tc>
          <w:tcPr>
            <w:tcW w:w="20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70-100马力轻型履带式拖拉机</w:t>
            </w:r>
          </w:p>
        </w:tc>
        <w:tc>
          <w:tcPr>
            <w:tcW w:w="2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 马力≤功率≤100 马力；驱动方式： 履带式，橡胶履带</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17200</w:t>
            </w:r>
          </w:p>
        </w:tc>
        <w:tc>
          <w:tcPr>
            <w:tcW w:w="11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通用类</w:t>
            </w:r>
          </w:p>
        </w:tc>
        <w:tc>
          <w:tcPr>
            <w:tcW w:w="117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0" w:afterLines="0"/>
              <w:jc w:val="center"/>
              <w:rPr>
                <w:rFonts w:hint="eastAsia" w:ascii="仿宋_GB2312" w:hAnsi="仿宋_GB2312" w:eastAsia="仿宋_GB2312" w:cs="仿宋_GB2312"/>
                <w:i w:val="0"/>
                <w:color w:val="000000"/>
                <w:sz w:val="18"/>
                <w:szCs w:val="18"/>
                <w:u w:val="none"/>
              </w:rPr>
            </w:pPr>
          </w:p>
        </w:tc>
      </w:tr>
    </w:tbl>
    <w:p>
      <w:pPr>
        <w:adjustRightInd w:val="0"/>
        <w:snapToGrid w:val="0"/>
        <w:spacing w:beforeLines="0" w:afterLines="0" w:line="590" w:lineRule="exact"/>
        <w:ind w:right="0" w:firstLine="0" w:firstLineChars="0"/>
        <w:rPr>
          <w:rFonts w:hint="eastAsia" w:ascii="黑体" w:hAnsi="黑体" w:eastAsia="黑体" w:cs="黑体"/>
          <w:snapToGrid w:val="0"/>
          <w:kern w:val="0"/>
          <w:lang w:val="en-US" w:eastAsia="zh-CN"/>
        </w:rPr>
      </w:pPr>
      <w:r>
        <w:rPr>
          <w:rFonts w:hint="eastAsia"/>
          <w:snapToGrid w:val="0"/>
          <w:kern w:val="0"/>
          <w:lang w:val="en-US" w:eastAsia="zh-CN"/>
        </w:rPr>
        <w:br w:type="page"/>
      </w:r>
      <w:r>
        <w:rPr>
          <w:rFonts w:hint="eastAsia" w:ascii="黑体" w:hAnsi="黑体" w:eastAsia="黑体" w:cs="黑体"/>
          <w:snapToGrid w:val="0"/>
          <w:kern w:val="0"/>
          <w:lang w:val="en-US" w:eastAsia="zh-CN"/>
        </w:rPr>
        <w:t>附件2</w:t>
      </w:r>
    </w:p>
    <w:p>
      <w:pPr>
        <w:adjustRightInd w:val="0"/>
        <w:snapToGrid w:val="0"/>
        <w:spacing w:beforeLines="0" w:afterLines="0" w:line="590" w:lineRule="exact"/>
        <w:ind w:right="0" w:firstLine="0" w:firstLineChars="0"/>
        <w:rPr>
          <w:rFonts w:hint="eastAsia"/>
          <w:snapToGrid w:val="0"/>
          <w:kern w:val="0"/>
          <w:lang w:val="en-US" w:eastAsia="zh-CN"/>
        </w:rPr>
      </w:pPr>
    </w:p>
    <w:p>
      <w:pPr>
        <w:pStyle w:val="2"/>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caps w:val="0"/>
          <w:snapToGrid w:val="0"/>
          <w:color w:val="auto"/>
          <w:spacing w:val="0"/>
          <w:sz w:val="44"/>
          <w:szCs w:val="44"/>
          <w:shd w:val="clear" w:color="auto" w:fill="FFFFFF"/>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2021-2023年中央财政农机购置补贴机具补贴额一览表</w:t>
      </w:r>
    </w:p>
    <w:p>
      <w:pPr>
        <w:pStyle w:val="2"/>
        <w:keepNext w:val="0"/>
        <w:keepLines w:val="0"/>
        <w:pageBreakBefore w:val="0"/>
        <w:widowControl w:val="0"/>
        <w:suppressLineNumbers w:val="0"/>
        <w:shd w:val="clear" w:color="auto" w:fill="auto"/>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0" w:firstLineChars="0"/>
        <w:jc w:val="center"/>
        <w:textAlignment w:val="auto"/>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pPr>
      <w:r>
        <w:rPr>
          <w:rFonts w:hint="eastAsia" w:ascii="方正小标宋简体" w:hAnsi="方正小标宋简体" w:eastAsia="方正小标宋简体" w:cs="方正小标宋简体"/>
          <w:i w:val="0"/>
          <w:caps w:val="0"/>
          <w:snapToGrid w:val="0"/>
          <w:color w:val="auto"/>
          <w:spacing w:val="0"/>
          <w:sz w:val="44"/>
          <w:szCs w:val="44"/>
          <w:shd w:val="clear" w:color="auto" w:fill="FFFFFF"/>
        </w:rPr>
        <w:t>（第一批）</w:t>
      </w:r>
      <w:r>
        <w:rPr>
          <w:rFonts w:hint="eastAsia" w:ascii="方正小标宋简体" w:hAnsi="方正小标宋简体" w:eastAsia="方正小标宋简体" w:cs="方正小标宋简体"/>
          <w:i w:val="0"/>
          <w:caps w:val="0"/>
          <w:snapToGrid w:val="0"/>
          <w:color w:val="auto"/>
          <w:spacing w:val="0"/>
          <w:sz w:val="44"/>
          <w:szCs w:val="44"/>
          <w:shd w:val="clear" w:color="auto" w:fill="FFFFFF"/>
          <w:lang w:eastAsia="zh-CN"/>
        </w:rPr>
        <w:t>（非通用类公示稿）</w:t>
      </w:r>
    </w:p>
    <w:p>
      <w:pPr>
        <w:adjustRightInd w:val="0"/>
        <w:snapToGrid w:val="0"/>
        <w:spacing w:beforeLines="0" w:afterLines="0" w:line="590" w:lineRule="exact"/>
        <w:ind w:right="0" w:firstLine="0" w:firstLineChars="0"/>
        <w:rPr>
          <w:rFonts w:hint="eastAsia"/>
          <w:snapToGrid w:val="0"/>
          <w:kern w:val="0"/>
          <w:lang w:val="en-US" w:eastAsia="zh-CN"/>
        </w:rPr>
      </w:pPr>
    </w:p>
    <w:tbl>
      <w:tblPr>
        <w:tblStyle w:val="5"/>
        <w:tblW w:w="1312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47"/>
        <w:gridCol w:w="1557"/>
        <w:gridCol w:w="1168"/>
        <w:gridCol w:w="1209"/>
        <w:gridCol w:w="2291"/>
        <w:gridCol w:w="3458"/>
        <w:gridCol w:w="134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blHeader/>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机具大类</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机具小类</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品目</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分档名称</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基本配置和参数</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2021年补贴额（元）</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铧式犁</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翻转犁,单体幅宽35cm及以上,3-4铧</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单体幅宽≥35cm；铧体个数3-4铧；具有翻转机构</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微耕机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功率4kW以下微耕机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微耕机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功率4kW及以上微耕机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整地机械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起垄机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1-2m起垄机(含手扶拖拉机配套起垄机)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1m≤作业幅宽＜2m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耕整地机械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整地机械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起垄机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2-4m起垄机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2m≤作业幅宽＜4m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播种机械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水稻直播机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8行及以上水稻（水旱）直播机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8行及以上；不带动力</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播种机械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水稻直播机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8行及以上，自走四轮乘坐式水稻（水旱）直播机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8行及以上；自走四轮乘坐式（专用底盘）</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育苗机械设备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秧盘播种成套设备（含床土处理）</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生产率500(盘/小时)及以上秧盘播种成套设备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生产率≥500(盘/小时)；含铺底土、播种、洒水、覆土功能</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栽植机械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秧苗移栽机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13行及以上四轮乘坐式水稻有序抛秧机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四轮乘坐式；13行及以上</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种植施肥机械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施肥机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6行及以上水稻侧深施肥装备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行数≥6行，定位、定量深施</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中耕机械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田园管理机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功率4kW及以上田园管理机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配套功率≥4kW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单人手提式茶树修剪机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自带动力；单人操作；作业幅宽＜1m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双人平行式茶树修剪机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自带动力；双人操作；作业幅宽≥1m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电动果树修剪机（电池额定容量≥2Ah，额定电压≥16.8V，最大剪切直径≥25mm）</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锂电池2组，每组电池额定容量≥2Ah，额定电压≥16.8V，最大剪切直径≥25mm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田间管理机械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修剪机械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果树修剪机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电动果树修剪机(电池容量≥4AH；额定电压≥24V；最大剪切直径≥40mm)</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锂电池2组，每组电池额定容量≥4AH；额定电压≥24V；最大剪切直径≥40mm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花卉（茶叶）采收机械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采茶机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单人采茶机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单人操作</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花卉（茶叶）采收机械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采茶机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双人采茶机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双人操作</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根茎作物收获机械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薯类收获机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0.7-1m分段式薯类收获机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分段收获；0.7m≤作业幅宽＜1m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根茎作物收获机械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薯类收获机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1-1.5m分段式薯类收获机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分段收获；1m≤作业幅宽＜1.5m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收获后处理机械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脱粒机械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稻麦脱粒机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生产率300kg/h及以上稻麦脱粒机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生产率≥300kg/h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2.2kW及以上碾米机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配套功率≥2.2kW；含电机、碾米装置</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碾米机械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组合米机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7.5kW及以上碾米加工成套设备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配套总功率≥7.5kW；含砻谷机、清理设备、碾米机、谷糙分离机、抛光机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果蔬加工机械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水果分级机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机械鲜果分选,生产率3t/h及以上水果分级机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机械鲜果分选；生产率≥3t/h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果蔬加工机械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水果打蜡机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生产率≥3t/h的打蜡机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生产率≥3t/h；提升机构、清洗烘干机、打蜡机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燃气式杀青机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杀青方式：燃气式</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滚筒直径40-60cm杀青机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40cm≤滚筒直径＜60cm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茶叶杀青机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滚筒直径60cm及以上杀青机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滚筒直径≥60cm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揉筒直径35-50cm揉捻机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35cm≤揉筒直径＜50cm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揉筒直径50-60cm揉捻机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50cm≤揉筒直径＜60cm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2"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茶叶揉捻机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揉筒直径60cm及以上揉捻机(含揉捻机组)</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揉筒直径≥60cm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非全自动茶叶炒干机(含扁形茶炒制机)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非全自动茶叶炒干机、扁形茶炒制机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8"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烘干面积10㎡以下百叶式茶叶烘干机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百叶式茶叶烘干机；烘干面积＜10㎡</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6"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茶叶炒（烘）干机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烘干面积10㎡及以上连续自动式茶叶烘干机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连续自动式茶叶烘干机；烘干面积≥10㎡</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10600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茶叶筛选机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其他茶叶筛选机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其他茶叶筛选机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农产品初加工机械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茶叶加工机械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茶叶理条机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锅槽面积0.5-1㎡理条烘干机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理条烘干机；0.5㎡≤锅槽面积＜1㎡</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水泵</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潜水电泵</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2.2-7.5kW潜水泵</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2.2kW≤电机功率＜7.5kW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水泵</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潜水电泵</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7.5-9.2kW潜水泵</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7.5kW≤电机功率＜9.2kW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排灌机械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喷灌机械设备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喷灌机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汽油机轻小型机组式喷灌机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汽油机；轻小型机组式喷灌机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揉丝机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2-4t/h揉丝机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2t/h≤干草（含水率≤17%）生产率＜4t/h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揉丝机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4-6t/h揉丝机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4t/h≤干草（含水率≤17%）生产率＜6t/h</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饲料（草）粉碎机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400-550mm饲料粉碎机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400mm≤转子直径＜550mm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饲料（草）粉碎机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400mm以下饲料粉碎机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转子直径＜400mm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饲料混合机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2m³以下混合机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混合室容积＜2m³；卧式；单轴</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饲料（草）加工机械设备</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饲料混合机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立式混合机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立式混合机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粪污固液分离机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电机总功率5-10kW固液分离机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5kW≤电机总功率＜10kW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10000-20000枚孵化机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10000枚≤蛋容量＜20000枚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20000-50000枚孵化机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20000枚≤蛋容量＜50000枚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畜牧机械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饲养机械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孵化机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50000枚及以上孵化机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蛋容量≥50000枚</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增氧机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普通型增氧机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普通型增氧机</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增氧机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微孔曝气式增氧机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曝气式增氧机；功率≥1kW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59"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水产养殖机械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网箱养殖设备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集装箱养殖设备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符合20呎集装箱规格要求（尺寸规格：长6.1m,宽2.4m，高2.8m）；主要受力构件采用集装箱专用角件，主体结构采用高强度、耐候耐腐蚀的集装箱专用钢材SPA-H，或等同质量及以上的钢材。（含安装、调试等）(集装箱数量≥5组.需配备水泵、干湿分离器、臭氧机及箱体里进出水、气循环套体等，符合养殖鱼类环境要求。)</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动力机械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拖拉机</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手扶拖拉机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11马力及以上直联传动手扶拖拉机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传动方式：直联传动；功率≥11马力</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库容50-100m³简易保鲜储藏设备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50m³≤库容＜100m³，机组总功率≥2kW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11100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库容100-300m³简易保鲜储藏设备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100m³≤库容＜300m³，机组总功率≥3.5kW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12900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库容300-500m³简易保鲜储藏设备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300m³≤库容＜500m³，机组总功率≥8kW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27300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简易保鲜储藏设备</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库容500-1000m³简易保鲜储藏设备</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bottom"/>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500m³≤库容＜1000m³，机组总功率≥13kW</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农业用北斗终端及辅助驾驶系统（含渔船用）</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电动方向盘,直线精度±10cm的北斗导航辅助驾驶系统</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电动方向盘，北斗导航辅助驾驶系统，直线精度±10cm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驱动耙</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2m以下驱动耙</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作业幅宽＜2m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驱动耙</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2-3m驱动耙</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2m≤作业幅宽＜3m</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执行单元数60-128个的茶叶色选机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60个应用CCD图像传感器技术＜执行单元数＜128个应用CCD图像传感器技术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15400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执行单元数128-256个的茶叶色选机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128个应用CCD图像传感器技术≤执行单元数＜256个应用CCD图像传感器技术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15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1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其他机械</w:t>
            </w:r>
          </w:p>
        </w:tc>
        <w:tc>
          <w:tcPr>
            <w:tcW w:w="12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茶叶色选机</w:t>
            </w:r>
          </w:p>
        </w:tc>
        <w:tc>
          <w:tcPr>
            <w:tcW w:w="22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执行单元数256个及以上的茶叶色选机</w:t>
            </w:r>
          </w:p>
        </w:tc>
        <w:tc>
          <w:tcPr>
            <w:tcW w:w="34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both"/>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执行单元数≥256个应用CCD图像传感器技术</w:t>
            </w:r>
          </w:p>
        </w:tc>
        <w:tc>
          <w:tcPr>
            <w:tcW w:w="13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50000</w:t>
            </w:r>
          </w:p>
        </w:tc>
        <w:tc>
          <w:tcPr>
            <w:tcW w:w="14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djustRightInd w:val="0"/>
              <w:snapToGrid w:val="0"/>
              <w:spacing w:beforeLines="0" w:afterLines="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非通用类</w:t>
            </w:r>
          </w:p>
        </w:tc>
      </w:tr>
    </w:tbl>
    <w:p>
      <w:pPr>
        <w:adjustRightInd w:val="0"/>
        <w:snapToGrid w:val="0"/>
        <w:spacing w:line="590" w:lineRule="exact"/>
        <w:ind w:right="157" w:firstLine="0" w:firstLineChars="0"/>
        <w:rPr>
          <w:rFonts w:hint="eastAsia"/>
          <w:snapToGrid w:val="0"/>
          <w:kern w:val="0"/>
          <w:lang w:val="en-US" w:eastAsia="zh-CN"/>
        </w:rPr>
      </w:pPr>
    </w:p>
    <w:p>
      <w:pPr>
        <w:adjustRightInd w:val="0"/>
        <w:snapToGrid w:val="0"/>
        <w:spacing w:line="590" w:lineRule="exact"/>
        <w:ind w:right="157" w:firstLine="0" w:firstLineChars="0"/>
        <w:rPr>
          <w:rFonts w:hint="eastAsia"/>
          <w:snapToGrid w:val="0"/>
          <w:kern w:val="0"/>
          <w:lang w:val="en-US" w:eastAsia="zh-CN"/>
        </w:rPr>
      </w:pPr>
    </w:p>
    <w:p>
      <w:pPr>
        <w:adjustRightInd w:val="0"/>
        <w:snapToGrid w:val="0"/>
        <w:spacing w:line="590" w:lineRule="exact"/>
        <w:ind w:right="157" w:firstLine="0" w:firstLineChars="0"/>
        <w:rPr>
          <w:rFonts w:hint="eastAsia"/>
          <w:snapToGrid w:val="0"/>
          <w:kern w:val="0"/>
          <w:lang w:val="en-US" w:eastAsia="zh-CN"/>
        </w:rPr>
      </w:pPr>
    </w:p>
    <w:p>
      <w:pPr>
        <w:adjustRightInd w:val="0"/>
        <w:snapToGrid w:val="0"/>
        <w:spacing w:line="590" w:lineRule="exact"/>
        <w:ind w:right="157" w:firstLine="0" w:firstLineChars="0"/>
        <w:rPr>
          <w:rFonts w:hint="eastAsia"/>
          <w:snapToGrid w:val="0"/>
          <w:kern w:val="0"/>
          <w:lang w:val="en-US" w:eastAsia="zh-CN"/>
        </w:rPr>
      </w:pPr>
    </w:p>
    <w:p>
      <w:pPr>
        <w:pStyle w:val="10"/>
        <w:ind w:left="1264" w:leftChars="100" w:right="316" w:rightChars="100" w:hanging="948" w:hangingChars="300"/>
        <w:rPr>
          <w:rFonts w:hint="eastAsia"/>
          <w:snapToGrid w:val="0"/>
          <w:kern w:val="0"/>
        </w:rPr>
      </w:pPr>
      <w:bookmarkStart w:id="0" w:name="抄送"/>
      <w:bookmarkEnd w:id="0"/>
    </w:p>
    <w:p>
      <w:bookmarkStart w:id="1" w:name="_GoBack"/>
      <w:bookmarkEnd w:id="1"/>
    </w:p>
    <w:sectPr>
      <w:pgSz w:w="16838" w:h="11906" w:orient="landscape"/>
      <w:pgMar w:top="1531" w:right="1871" w:bottom="1531" w:left="1871" w:header="851" w:footer="1417" w:gutter="0"/>
      <w:pgBorders>
        <w:top w:val="none" w:sz="0" w:space="0"/>
        <w:left w:val="none" w:sz="0" w:space="0"/>
        <w:bottom w:val="none" w:sz="0" w:space="0"/>
        <w:right w:val="none" w:sz="0" w:space="0"/>
      </w:pgBorders>
      <w:cols w:space="720" w:num="1"/>
      <w:titlePg/>
      <w:rtlGutter w:val="0"/>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2198B"/>
    <w:rsid w:val="61521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character" w:styleId="4">
    <w:name w:val="Strong"/>
    <w:basedOn w:val="3"/>
    <w:qFormat/>
    <w:uiPriority w:val="0"/>
    <w:rPr>
      <w:rFonts w:ascii="Times New Roman" w:hAnsi="Times New Roman" w:eastAsia="宋体" w:cs="Times New Roman"/>
      <w:b/>
    </w:rPr>
  </w:style>
  <w:style w:type="character" w:customStyle="1" w:styleId="6">
    <w:name w:val="font71"/>
    <w:basedOn w:val="3"/>
    <w:qFormat/>
    <w:uiPriority w:val="0"/>
    <w:rPr>
      <w:rFonts w:ascii="font-weight : 400" w:hAnsi="font-weight : 400" w:eastAsia="font-weight : 400" w:cs="font-weight : 400"/>
      <w:color w:val="000000"/>
      <w:sz w:val="22"/>
      <w:szCs w:val="22"/>
      <w:u w:val="none"/>
    </w:rPr>
  </w:style>
  <w:style w:type="character" w:customStyle="1" w:styleId="7">
    <w:name w:val="font01"/>
    <w:basedOn w:val="3"/>
    <w:qFormat/>
    <w:uiPriority w:val="0"/>
    <w:rPr>
      <w:rFonts w:hint="eastAsia" w:ascii="宋体" w:hAnsi="宋体" w:eastAsia="宋体" w:cs="宋体"/>
      <w:color w:val="000000"/>
      <w:sz w:val="20"/>
      <w:szCs w:val="20"/>
      <w:u w:val="none"/>
    </w:rPr>
  </w:style>
  <w:style w:type="character" w:customStyle="1" w:styleId="8">
    <w:name w:val="font61"/>
    <w:basedOn w:val="3"/>
    <w:qFormat/>
    <w:uiPriority w:val="0"/>
    <w:rPr>
      <w:rFonts w:hint="eastAsia" w:ascii="宋体" w:hAnsi="宋体" w:eastAsia="宋体" w:cs="宋体"/>
      <w:color w:val="000000"/>
      <w:sz w:val="20"/>
      <w:szCs w:val="20"/>
      <w:u w:val="none"/>
    </w:rPr>
  </w:style>
  <w:style w:type="character" w:customStyle="1" w:styleId="9">
    <w:name w:val="font11"/>
    <w:basedOn w:val="3"/>
    <w:qFormat/>
    <w:uiPriority w:val="0"/>
    <w:rPr>
      <w:rFonts w:hint="eastAsia" w:ascii="宋体" w:hAnsi="宋体" w:eastAsia="宋体" w:cs="宋体"/>
      <w:color w:val="000000"/>
      <w:sz w:val="22"/>
      <w:szCs w:val="22"/>
      <w:u w:val="none"/>
    </w:rPr>
  </w:style>
  <w:style w:type="paragraph" w:customStyle="1" w:styleId="10">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2021-07-07T01:03:00Z</dcterms:created>
  <dc:creator>84965</dc:creator>
  <cp:lastModifiedBy>84965</cp:lastModifiedBy>
  <dcterms:modified xsi:type="dcterms:W3CDTF">2021-07-07T01:06:04Z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