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源城区</w:t>
      </w:r>
      <w:r>
        <w:rPr>
          <w:rFonts w:hint="eastAsia"/>
          <w:b/>
          <w:bCs/>
          <w:sz w:val="44"/>
          <w:szCs w:val="44"/>
        </w:rPr>
        <w:t>农机购置补贴</w:t>
      </w:r>
      <w:r>
        <w:rPr>
          <w:rFonts w:hint="eastAsia"/>
          <w:b/>
          <w:bCs/>
          <w:sz w:val="44"/>
          <w:szCs w:val="44"/>
          <w:lang w:eastAsia="zh-CN"/>
        </w:rPr>
        <w:t>规章</w:t>
      </w:r>
      <w:r>
        <w:rPr>
          <w:rFonts w:hint="eastAsia"/>
          <w:b/>
          <w:bCs/>
          <w:sz w:val="44"/>
          <w:szCs w:val="44"/>
        </w:rPr>
        <w:t>制度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一、要严格执行国家购机补贴政策的相关规定，按照补贴资金管理办法规定的步骤逐项开展补贴工作。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二、加强对农民购机情况的检查核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预防暗箱操作、虚报补贴、转手倒卖等违法违规行为的发生。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三、启动实施广东省农机购置补贴辅助管理系统，加快实现购置申请、审核、结算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档案管理等信息化网络化，提高工作透明度和工作效率。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四、要正确引导农民选择适合的机具，不得强行要求农民购置指定品牌的机具或限制某种品牌的机具，不得强行农民到指定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的经销商去选购农机设备，要充分尊重农民购机的自主选择权。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每年要组织补贴政策的自检工作，定期对辖区内农机补贴实施情况进行检查，并不定期通过走访或电话等方式直接向购机用户重点抽查，要积极主动配合接受纪检监察部门，审计部门等的监督与检查，及时发现和解决操作中存在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六、加强补贴资金使用过程的监督与管理。要严格执行国务院：“三个严禁”、“五项制度”、“八个不得”、“四个禁止”要求。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源城区农业农村局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2F34"/>
    <w:rsid w:val="0FA02F34"/>
    <w:rsid w:val="262E25CA"/>
    <w:rsid w:val="2AD938AE"/>
    <w:rsid w:val="2E602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2020-11-30T07:30:00Z</dcterms:created>
  <dc:creator>Administrator</dc:creator>
  <cp:lastModifiedBy>Administrator</cp:lastModifiedBy>
  <cp:lastPrinted>2020-11-30T07:45:00Z</cp:lastPrinted>
  <dcterms:modified xsi:type="dcterms:W3CDTF">2022-05-05T09:02:55Z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