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val="0"/>
        <w:spacing w:line="360" w:lineRule="auto"/>
        <w:rPr>
          <w:rFonts w:ascii="黑体" w:hAnsi="黑体" w:eastAsia="黑体" w:cs="Times New Roman"/>
          <w:sz w:val="32"/>
          <w:szCs w:val="32"/>
        </w:rPr>
      </w:pPr>
    </w:p>
    <w:p>
      <w:pPr>
        <w:widowControl/>
        <w:snapToGrid w:val="0"/>
        <w:spacing w:line="360" w:lineRule="auto"/>
        <w:jc w:val="center"/>
        <w:rPr>
          <w:rFonts w:ascii="华文中宋" w:hAnsi="华文中宋" w:eastAsia="华文中宋" w:cs="Times New Roman"/>
          <w:sz w:val="32"/>
          <w:szCs w:val="32"/>
        </w:rPr>
      </w:pPr>
    </w:p>
    <w:p>
      <w:pPr>
        <w:widowControl/>
        <w:snapToGrid w:val="0"/>
        <w:spacing w:line="360" w:lineRule="auto"/>
        <w:jc w:val="center"/>
        <w:rPr>
          <w:rFonts w:hint="eastAsia" w:ascii="华文中宋" w:hAnsi="华文中宋" w:eastAsia="华文中宋" w:cs="Times New Roman"/>
          <w:sz w:val="40"/>
          <w:szCs w:val="40"/>
          <w:lang w:eastAsia="zh-CN"/>
        </w:rPr>
      </w:pPr>
      <w:r>
        <w:rPr>
          <w:rFonts w:hint="eastAsia" w:ascii="华文中宋" w:hAnsi="华文中宋" w:eastAsia="华文中宋" w:cs="华文中宋"/>
          <w:sz w:val="40"/>
          <w:szCs w:val="40"/>
        </w:rPr>
        <w:t>蓬</w:t>
      </w:r>
      <w:r>
        <w:rPr>
          <w:rFonts w:ascii="华文中宋" w:hAnsi="华文中宋" w:eastAsia="华文中宋" w:cs="华文中宋"/>
          <w:sz w:val="40"/>
          <w:szCs w:val="40"/>
        </w:rPr>
        <w:t>江区</w:t>
      </w:r>
      <w:r>
        <w:rPr>
          <w:rFonts w:hint="eastAsia" w:ascii="华文中宋" w:hAnsi="华文中宋" w:eastAsia="华文中宋" w:cs="华文中宋"/>
          <w:sz w:val="40"/>
          <w:szCs w:val="40"/>
        </w:rPr>
        <w:t>农机购置补贴机具核验工作规范</w:t>
      </w:r>
      <w:r>
        <w:rPr>
          <w:rFonts w:hint="eastAsia" w:ascii="华文中宋" w:hAnsi="华文中宋" w:eastAsia="华文中宋" w:cs="华文中宋"/>
          <w:sz w:val="40"/>
          <w:szCs w:val="40"/>
          <w:lang w:eastAsia="zh-CN"/>
        </w:rPr>
        <w:t>制度</w:t>
      </w:r>
    </w:p>
    <w:p>
      <w:pPr>
        <w:widowControl/>
        <w:snapToGrid w:val="0"/>
        <w:spacing w:line="360" w:lineRule="auto"/>
        <w:rPr>
          <w:rFonts w:ascii="宋体" w:cs="Times New Roman"/>
          <w:kern w:val="0"/>
          <w:sz w:val="28"/>
          <w:szCs w:val="28"/>
        </w:rPr>
      </w:pPr>
      <w:r>
        <w:rPr>
          <w:rFonts w:hint="eastAsia" w:ascii="仿宋" w:hAnsi="仿宋" w:eastAsia="仿宋" w:cs="仿宋"/>
          <w:kern w:val="0"/>
          <w:sz w:val="32"/>
          <w:szCs w:val="32"/>
        </w:rPr>
        <w:t>　</w:t>
      </w:r>
      <w:r>
        <w:rPr>
          <w:rFonts w:hint="eastAsia" w:ascii="宋体" w:hAnsi="宋体" w:cs="宋体"/>
          <w:kern w:val="0"/>
          <w:sz w:val="32"/>
          <w:szCs w:val="32"/>
        </w:rPr>
        <w:t>　</w:t>
      </w:r>
    </w:p>
    <w:p>
      <w:pPr>
        <w:widowControl/>
        <w:snapToGrid w:val="0"/>
        <w:spacing w:line="360" w:lineRule="auto"/>
        <w:ind w:firstLine="640" w:firstLineChars="200"/>
        <w:rPr>
          <w:rFonts w:ascii="仿宋_GB2312" w:eastAsia="仿宋_GB2312" w:cs="Times New Roman"/>
          <w:kern w:val="0"/>
          <w:sz w:val="32"/>
          <w:szCs w:val="32"/>
        </w:rPr>
      </w:pPr>
      <w:r>
        <w:rPr>
          <w:rFonts w:hint="eastAsia" w:ascii="仿宋_GB2312" w:eastAsia="仿宋_GB2312" w:cs="仿宋_GB2312"/>
          <w:kern w:val="0"/>
          <w:sz w:val="32"/>
          <w:szCs w:val="32"/>
        </w:rPr>
        <w:t>加强农机购置补贴机具核验管理，是确保补贴资金安全和政策效益充分发挥的关键举措。为指导各地做好农机购置补贴机具核验工作，规范核验行为，防范管理风险，提高办补效率，进一步便民利民，根据农业农村部、财政部农机购置补贴政策实施相关规定，制定工作要点如下。</w:t>
      </w:r>
    </w:p>
    <w:p>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一、核验内容</w:t>
      </w:r>
    </w:p>
    <w:p>
      <w:pPr>
        <w:widowControl/>
        <w:snapToGrid w:val="0"/>
        <w:spacing w:line="360" w:lineRule="auto"/>
        <w:ind w:firstLine="640" w:firstLineChars="200"/>
        <w:rPr>
          <w:rFonts w:ascii="仿宋_GB2312" w:eastAsia="仿宋_GB2312" w:cs="Times New Roman"/>
          <w:kern w:val="0"/>
          <w:sz w:val="32"/>
          <w:szCs w:val="32"/>
        </w:rPr>
      </w:pPr>
      <w:r>
        <w:rPr>
          <w:rFonts w:hint="eastAsia" w:ascii="仿宋_GB2312" w:hAnsi="宋体" w:eastAsia="仿宋_GB2312" w:cs="仿宋_GB2312"/>
          <w:kern w:val="0"/>
          <w:sz w:val="32"/>
          <w:szCs w:val="32"/>
        </w:rPr>
        <w:t>补贴机具核验是指县级及以下农机化主管部门对从事农业生产的个人和农业生产经营组织（以下简称“购机者”）申报农机购置补贴时提供的相关资料进行形式审核、对机具进行核查的工作。核验的主要内容包括：</w:t>
      </w:r>
    </w:p>
    <w:p>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（一）购机者身份信息。</w:t>
      </w:r>
      <w:r>
        <w:rPr>
          <w:rFonts w:hint="eastAsia" w:ascii="仿宋_GB2312" w:hAnsi="宋体" w:eastAsia="仿宋_GB2312" w:cs="仿宋_GB2312"/>
          <w:kern w:val="0"/>
          <w:sz w:val="32"/>
          <w:szCs w:val="32"/>
        </w:rPr>
        <w:t>个人身份证件或农业生产经营组织工商营业执照（统一社会信用代码）及其法定代表人身份证件等信息；</w:t>
      </w:r>
    </w:p>
    <w:p>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（二）购买信息。</w:t>
      </w:r>
      <w:r>
        <w:rPr>
          <w:rFonts w:hint="eastAsia" w:ascii="仿宋_GB2312" w:hAnsi="宋体" w:eastAsia="仿宋_GB2312" w:cs="仿宋_GB2312"/>
          <w:kern w:val="0"/>
          <w:sz w:val="32"/>
          <w:szCs w:val="32"/>
        </w:rPr>
        <w:t>购买补贴机具税控发票等信息；</w:t>
      </w:r>
    </w:p>
    <w:p>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（三）机具信息。</w:t>
      </w:r>
      <w:r>
        <w:rPr>
          <w:rFonts w:hint="eastAsia" w:ascii="仿宋_GB2312" w:hAnsi="宋体" w:eastAsia="仿宋_GB2312" w:cs="仿宋_GB2312"/>
          <w:kern w:val="0"/>
          <w:sz w:val="32"/>
          <w:szCs w:val="32"/>
        </w:rPr>
        <w:t>机具实物上的固定铭牌信息、农机购置补贴辅助管理系统所对应机具的信息、牌证管理机具的行驶证信息等；</w:t>
      </w:r>
    </w:p>
    <w:p>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（四）其他信息。</w:t>
      </w:r>
      <w:r>
        <w:rPr>
          <w:rFonts w:hint="eastAsia" w:ascii="仿宋_GB2312" w:hAnsi="宋体" w:eastAsia="仿宋_GB2312" w:cs="仿宋_GB2312"/>
          <w:kern w:val="0"/>
          <w:sz w:val="32"/>
          <w:szCs w:val="32"/>
        </w:rPr>
        <w:t>购机者银行卡（折）账号、开户名等信息，以及政策实施要求提供的其他必要信息。</w:t>
      </w:r>
    </w:p>
    <w:p>
      <w:pPr>
        <w:widowControl/>
        <w:snapToGrid w:val="0"/>
        <w:spacing w:line="360" w:lineRule="auto"/>
        <w:ind w:firstLine="640" w:firstLineChars="200"/>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上述信息的真实性、完整性和有效性由购机者、产销企业和农机安全监理机构分别负责，并承担相应的法律责任。</w:t>
      </w:r>
      <w:r>
        <w:rPr>
          <w:rFonts w:ascii="仿宋_GB2312" w:hAnsi="宋体" w:eastAsia="仿宋_GB2312" w:cs="仿宋_GB2312"/>
          <w:kern w:val="0"/>
          <w:sz w:val="32"/>
          <w:szCs w:val="32"/>
        </w:rPr>
        <w:t xml:space="preserve">   </w:t>
      </w:r>
    </w:p>
    <w:p>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二、核验程序及要求</w:t>
      </w:r>
    </w:p>
    <w:p>
      <w:pPr>
        <w:widowControl/>
        <w:snapToGrid w:val="0"/>
        <w:spacing w:line="360" w:lineRule="auto"/>
        <w:ind w:firstLine="643" w:firstLineChars="200"/>
        <w:rPr>
          <w:rFonts w:ascii="仿宋_GB2312" w:eastAsia="仿宋_GB2312" w:cs="Times New Roman"/>
          <w:kern w:val="0"/>
          <w:sz w:val="32"/>
          <w:szCs w:val="32"/>
        </w:rPr>
      </w:pPr>
      <w:r>
        <w:rPr>
          <w:rFonts w:hint="eastAsia" w:ascii="楷体_GB2312" w:hAnsi="宋体" w:eastAsia="楷体_GB2312" w:cs="楷体_GB2312"/>
          <w:b/>
          <w:bCs/>
          <w:kern w:val="0"/>
          <w:sz w:val="32"/>
          <w:szCs w:val="32"/>
        </w:rPr>
        <w:t>（一）受理申请。</w:t>
      </w:r>
      <w:r>
        <w:rPr>
          <w:rFonts w:hint="eastAsia" w:ascii="仿宋_GB2312" w:hAnsi="宋体" w:eastAsia="仿宋_GB2312" w:cs="仿宋_GB2312"/>
          <w:kern w:val="0"/>
          <w:sz w:val="32"/>
          <w:szCs w:val="32"/>
        </w:rPr>
        <w:t>对购机者自主提出的补贴申请，主管部门应按规定及时受理。鼓励通过手机</w:t>
      </w:r>
      <w:r>
        <w:rPr>
          <w:rFonts w:ascii="仿宋_GB2312" w:hAnsi="宋体" w:eastAsia="仿宋_GB2312" w:cs="仿宋_GB2312"/>
          <w:kern w:val="0"/>
          <w:sz w:val="32"/>
          <w:szCs w:val="32"/>
        </w:rPr>
        <w:t>APP</w:t>
      </w:r>
      <w:r>
        <w:rPr>
          <w:rFonts w:hint="eastAsia" w:ascii="仿宋_GB2312" w:hAnsi="宋体" w:eastAsia="仿宋_GB2312" w:cs="仿宋_GB2312"/>
          <w:kern w:val="0"/>
          <w:sz w:val="32"/>
          <w:szCs w:val="32"/>
        </w:rPr>
        <w:t>、“一站式”服务窗口等便捷高效的方式受理申请。</w:t>
      </w:r>
    </w:p>
    <w:p>
      <w:pPr>
        <w:pStyle w:val="20"/>
        <w:snapToGrid w:val="0"/>
        <w:spacing w:line="360" w:lineRule="auto"/>
        <w:rPr>
          <w:rFonts w:ascii="仿宋_GB2312" w:eastAsia="仿宋_GB2312" w:cs="Times New Roman"/>
          <w:b/>
          <w:bCs/>
          <w:kern w:val="0"/>
          <w:sz w:val="32"/>
          <w:szCs w:val="32"/>
        </w:rPr>
      </w:pPr>
      <w:r>
        <w:rPr>
          <w:rFonts w:hint="eastAsia" w:ascii="楷体_GB2312" w:hAnsi="宋体" w:eastAsia="楷体_GB2312" w:cs="楷体_GB2312"/>
          <w:b/>
          <w:bCs/>
          <w:kern w:val="0"/>
          <w:sz w:val="32"/>
          <w:szCs w:val="32"/>
        </w:rPr>
        <w:t>（二）资料核验。</w:t>
      </w:r>
      <w:r>
        <w:rPr>
          <w:rFonts w:hint="eastAsia" w:ascii="仿宋_GB2312" w:hAnsi="宋体" w:eastAsia="仿宋_GB2312" w:cs="仿宋_GB2312"/>
          <w:b/>
          <w:bCs/>
          <w:kern w:val="0"/>
          <w:sz w:val="32"/>
          <w:szCs w:val="32"/>
        </w:rPr>
        <w:t>一是购机者及其身份、购机税控发票等资料。</w:t>
      </w:r>
      <w:r>
        <w:rPr>
          <w:rFonts w:hint="eastAsia" w:ascii="仿宋_GB2312" w:hAnsi="宋体" w:eastAsia="仿宋_GB2312" w:cs="仿宋_GB2312"/>
          <w:kern w:val="0"/>
          <w:sz w:val="32"/>
          <w:szCs w:val="32"/>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宋体" w:eastAsia="仿宋_GB2312" w:cs="仿宋_GB2312"/>
          <w:b/>
          <w:bCs/>
          <w:kern w:val="0"/>
          <w:sz w:val="32"/>
          <w:szCs w:val="32"/>
        </w:rPr>
        <w:t>二是银行卡（折）等资料。</w:t>
      </w:r>
      <w:r>
        <w:rPr>
          <w:rFonts w:hint="eastAsia" w:ascii="仿宋_GB2312" w:hAnsi="宋体" w:eastAsia="仿宋_GB2312" w:cs="仿宋_GB2312"/>
          <w:kern w:val="0"/>
          <w:sz w:val="32"/>
          <w:szCs w:val="32"/>
        </w:rPr>
        <w:t>重点核验购机者填写的银行卡（折）账号、开户名等信息与其携带的银行卡（折）所显示的账号、身份证件所显示的购机者姓名、工商营业执照所显示的农业生产经营组织名称是否一致。</w:t>
      </w:r>
      <w:r>
        <w:rPr>
          <w:rFonts w:hint="eastAsia" w:ascii="仿宋_GB2312" w:hAnsi="宋体" w:eastAsia="仿宋_GB2312" w:cs="仿宋_GB2312"/>
          <w:b/>
          <w:bCs/>
          <w:kern w:val="0"/>
          <w:sz w:val="32"/>
          <w:szCs w:val="32"/>
        </w:rPr>
        <w:t>三是购机价格真实性承诺。</w:t>
      </w:r>
      <w:r>
        <w:rPr>
          <w:rFonts w:hint="eastAsia" w:ascii="仿宋_GB2312" w:hAnsi="宋体" w:eastAsia="仿宋_GB2312" w:cs="仿宋_GB2312"/>
          <w:kern w:val="0"/>
          <w:sz w:val="32"/>
          <w:szCs w:val="32"/>
        </w:rPr>
        <w:t>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宋体" w:eastAsia="仿宋_GB2312" w:cs="仿宋_GB2312"/>
          <w:b/>
          <w:bCs/>
          <w:kern w:val="0"/>
          <w:sz w:val="32"/>
          <w:szCs w:val="32"/>
        </w:rPr>
        <w:t>四是政策实施要求提供的其他资料。</w:t>
      </w:r>
      <w:r>
        <w:rPr>
          <w:rFonts w:hint="eastAsia" w:ascii="仿宋_GB2312" w:hAnsi="宋体" w:eastAsia="仿宋_GB2312" w:cs="仿宋_GB2312"/>
          <w:b/>
          <w:bCs/>
          <w:kern w:val="0"/>
          <w:sz w:val="32"/>
          <w:szCs w:val="32"/>
          <w:lang w:eastAsia="zh-CN"/>
        </w:rPr>
        <w:t>五、</w:t>
      </w:r>
      <w:r>
        <w:rPr>
          <w:rFonts w:hint="eastAsia" w:ascii="仿宋_GB2312" w:hAnsi="仿宋_GB2312" w:eastAsia="仿宋_GB2312" w:cs="仿宋_GB2312"/>
          <w:b/>
          <w:bCs/>
          <w:sz w:val="32"/>
          <w:szCs w:val="32"/>
          <w:lang w:val="en-US" w:eastAsia="zh-CN"/>
        </w:rPr>
        <w:t>非要求核验机具的抽查比例要求为1%</w:t>
      </w:r>
      <w:r>
        <w:rPr>
          <w:rFonts w:hint="eastAsia" w:ascii="仿宋_GB2312" w:hAnsi="仿宋_GB2312" w:eastAsia="仿宋_GB2312" w:cs="仿宋_GB2312"/>
          <w:b/>
          <w:bCs/>
          <w:sz w:val="32"/>
          <w:szCs w:val="32"/>
          <w:lang w:val="en-US" w:eastAsia="zh-CN"/>
        </w:rPr>
        <w:t>或对镇、街农户进行抽查5台以上</w:t>
      </w:r>
      <w:bookmarkStart w:id="0" w:name="_GoBack"/>
      <w:bookmarkEnd w:id="0"/>
      <w:r>
        <w:rPr>
          <w:rFonts w:hint="eastAsia" w:ascii="仿宋_GB2312" w:hAnsi="仿宋_GB2312" w:eastAsia="仿宋_GB2312" w:cs="仿宋_GB2312"/>
          <w:b/>
          <w:bCs/>
          <w:sz w:val="32"/>
          <w:szCs w:val="32"/>
          <w:lang w:val="en-US" w:eastAsia="zh-CN"/>
        </w:rPr>
        <w:t>具体数量。</w:t>
      </w:r>
    </w:p>
    <w:p>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b/>
          <w:bCs/>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（三）机具核验。</w:t>
      </w:r>
      <w:r>
        <w:rPr>
          <w:rFonts w:hint="eastAsia" w:ascii="仿宋_GB2312" w:hAnsi="宋体" w:eastAsia="仿宋_GB2312" w:cs="仿宋_GB2312"/>
          <w:b/>
          <w:bCs/>
          <w:kern w:val="0"/>
          <w:sz w:val="32"/>
          <w:szCs w:val="32"/>
        </w:rPr>
        <w:t>一是重点机具核验。</w:t>
      </w:r>
      <w:r>
        <w:rPr>
          <w:rFonts w:hint="eastAsia" w:ascii="仿宋_GB2312" w:hAnsi="宋体" w:eastAsia="仿宋_GB2312" w:cs="仿宋_GB2312"/>
          <w:kern w:val="0"/>
          <w:sz w:val="32"/>
          <w:szCs w:val="32"/>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r>
        <w:rPr>
          <w:rFonts w:hint="eastAsia" w:ascii="仿宋_GB2312" w:hAnsi="宋体" w:eastAsia="仿宋_GB2312" w:cs="仿宋_GB2312"/>
          <w:b/>
          <w:bCs/>
          <w:kern w:val="0"/>
          <w:sz w:val="32"/>
          <w:szCs w:val="32"/>
        </w:rPr>
        <w:t>二是非重点机具核验</w:t>
      </w:r>
      <w:r>
        <w:rPr>
          <w:rFonts w:hint="eastAsia" w:ascii="仿宋_GB2312" w:hAnsi="宋体" w:eastAsia="仿宋_GB2312" w:cs="仿宋_GB2312"/>
          <w:kern w:val="0"/>
          <w:sz w:val="32"/>
          <w:szCs w:val="32"/>
        </w:rPr>
        <w:t>。对补贴额较低、风险可控度高的机具可采取补贴资金兑付后按比例抽查核验方式进行，抽核内容同重点机具。重点机具和非重点机具的标准以及抽核比例或数量由各省自行规定。</w:t>
      </w:r>
    </w:p>
    <w:p>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鼓励通过进村入户、提前预约等方式开展核验，便利购机者以及设施安装类机具核验。核验结果由核验人员与购机者双方签字确认。实行双人交叉核验或个人核验、</w:t>
      </w:r>
      <w:r>
        <w:rPr>
          <w:rFonts w:hint="eastAsia" w:ascii="仿宋_GB2312" w:hAnsi="宋体" w:eastAsia="仿宋_GB2312" w:cs="仿宋_GB2312"/>
          <w:sz w:val="32"/>
          <w:szCs w:val="32"/>
        </w:rPr>
        <w:t>单位内部集体会审双重审核，探索对补贴机具核验结果实行基层农机化、种植业、畜牧业、渔业、农产品初加工等有关方面共同参加的集体会商。</w:t>
      </w:r>
      <w:r>
        <w:rPr>
          <w:rFonts w:hint="eastAsia" w:ascii="仿宋_GB2312" w:hAnsi="宋体" w:eastAsia="仿宋_GB2312" w:cs="仿宋_GB2312"/>
          <w:kern w:val="0"/>
          <w:sz w:val="32"/>
          <w:szCs w:val="32"/>
        </w:rPr>
        <w:t>加强对单人多台套、短期内大批量、同人连年购置同类机具、区域适应性差的机具购置等异常情形的核验。</w:t>
      </w:r>
    </w:p>
    <w:p>
      <w:pPr>
        <w:pStyle w:val="20"/>
        <w:snapToGrid w:val="0"/>
        <w:spacing w:line="360" w:lineRule="auto"/>
        <w:ind w:firstLine="0" w:firstLineChars="0"/>
        <w:rPr>
          <w:rFonts w:ascii="仿宋_GB2312" w:eastAsia="仿宋_GB2312" w:cs="Times New Roman"/>
          <w:kern w:val="0"/>
          <w:sz w:val="32"/>
          <w:szCs w:val="32"/>
        </w:rPr>
      </w:pPr>
      <w:r>
        <w:rPr>
          <w:rFonts w:ascii="仿宋_GB2312" w:eastAsia="仿宋_GB2312" w:cs="仿宋_GB2312"/>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（四）复核登记。</w:t>
      </w:r>
      <w:r>
        <w:rPr>
          <w:rFonts w:hint="eastAsia" w:ascii="仿宋_GB2312" w:hAnsi="宋体" w:eastAsia="仿宋_GB2312" w:cs="仿宋_GB2312"/>
          <w:kern w:val="0"/>
          <w:sz w:val="32"/>
          <w:szCs w:val="32"/>
        </w:rPr>
        <w:t>对资料核验、机具核验的程序、方式和签章的规范性进行集体复核，可与集体会商同步进行，通过后登记立册。</w:t>
      </w:r>
    </w:p>
    <w:p>
      <w:pPr>
        <w:pStyle w:val="20"/>
        <w:snapToGrid w:val="0"/>
        <w:spacing w:line="360" w:lineRule="auto"/>
        <w:ind w:firstLine="640" w:firstLineChars="0"/>
        <w:rPr>
          <w:rFonts w:ascii="仿宋_GB2312" w:hAnsi="宋体" w:eastAsia="仿宋_GB2312" w:cs="仿宋_GB2312"/>
          <w:kern w:val="0"/>
          <w:sz w:val="32"/>
          <w:szCs w:val="32"/>
        </w:rPr>
      </w:pPr>
      <w:r>
        <w:rPr>
          <w:rFonts w:hint="eastAsia" w:ascii="楷体_GB2312" w:hAnsi="宋体" w:eastAsia="楷体_GB2312" w:cs="楷体_GB2312"/>
          <w:b/>
          <w:bCs/>
          <w:kern w:val="0"/>
          <w:sz w:val="32"/>
          <w:szCs w:val="32"/>
        </w:rPr>
        <w:t>（五）公示报送。</w:t>
      </w:r>
      <w:r>
        <w:rPr>
          <w:rFonts w:hint="eastAsia" w:ascii="仿宋_GB2312" w:hAnsi="仿宋_GB2312" w:eastAsia="仿宋_GB2312" w:cs="仿宋_GB2312"/>
          <w:b w:val="0"/>
          <w:bCs w:val="0"/>
          <w:sz w:val="28"/>
          <w:szCs w:val="36"/>
          <w:lang w:val="en-US" w:eastAsia="zh-CN"/>
        </w:rPr>
        <w:t>应自受理农机购置补贴申请之日起13个工作日内完成相关核验工作（不含公示时间）。</w:t>
      </w:r>
      <w:r>
        <w:rPr>
          <w:rFonts w:hint="eastAsia" w:ascii="楷体_GB2312" w:hAnsi="宋体" w:eastAsia="楷体_GB2312" w:cs="楷体_GB2312"/>
          <w:b w:val="0"/>
          <w:bCs w:val="0"/>
          <w:kern w:val="0"/>
          <w:sz w:val="32"/>
          <w:szCs w:val="32"/>
          <w:lang w:eastAsia="zh-CN"/>
        </w:rPr>
        <w:t>核验确认由农机购置补贴受理部门要系统中点击农机部门审核，系统进入公示环节。核验机具从申请确认开始</w:t>
      </w:r>
      <w:r>
        <w:rPr>
          <w:rFonts w:hint="eastAsia" w:ascii="楷体_GB2312" w:hAnsi="宋体" w:eastAsia="楷体_GB2312" w:cs="楷体_GB2312"/>
          <w:b w:val="0"/>
          <w:bCs w:val="0"/>
          <w:kern w:val="0"/>
          <w:sz w:val="32"/>
          <w:szCs w:val="32"/>
          <w:lang w:val="en-US" w:eastAsia="zh-CN"/>
        </w:rPr>
        <w:t>13个工作日内完成，完成相关核验工作后，并在农机购置补贴信息公开专栏实时公布补贴申请信息，公示时间为5个工作日。</w:t>
      </w:r>
      <w:r>
        <w:rPr>
          <w:rFonts w:ascii="仿宋_GB2312" w:hAnsi="宋体" w:eastAsia="仿宋_GB2312" w:cs="仿宋_GB2312"/>
          <w:b w:val="0"/>
          <w:bCs w:val="0"/>
          <w:kern w:val="0"/>
          <w:sz w:val="32"/>
          <w:szCs w:val="32"/>
        </w:rPr>
        <w:t xml:space="preserve"> </w:t>
      </w:r>
      <w:r>
        <w:rPr>
          <w:rFonts w:ascii="仿宋_GB2312" w:hAnsi="宋体" w:eastAsia="仿宋_GB2312" w:cs="仿宋_GB2312"/>
          <w:kern w:val="0"/>
          <w:sz w:val="32"/>
          <w:szCs w:val="32"/>
        </w:rPr>
        <w:t xml:space="preserve">   </w:t>
      </w:r>
    </w:p>
    <w:p>
      <w:pPr>
        <w:pStyle w:val="20"/>
        <w:snapToGrid w:val="0"/>
        <w:spacing w:line="360" w:lineRule="auto"/>
        <w:ind w:firstLine="640" w:firstLineChars="0"/>
        <w:rPr>
          <w:rFonts w:ascii="仿宋_GB2312" w:eastAsia="仿宋_GB2312" w:cs="Times New Roman"/>
          <w:kern w:val="0"/>
          <w:sz w:val="32"/>
          <w:szCs w:val="32"/>
        </w:rPr>
      </w:pPr>
      <w:r>
        <w:rPr>
          <w:rFonts w:hint="eastAsia" w:ascii="楷体_GB2312" w:hAnsi="宋体" w:eastAsia="楷体_GB2312" w:cs="楷体_GB2312"/>
          <w:b/>
          <w:bCs/>
          <w:kern w:val="0"/>
          <w:sz w:val="32"/>
          <w:szCs w:val="32"/>
        </w:rPr>
        <w:t>（六）资料处理。</w:t>
      </w:r>
      <w:r>
        <w:rPr>
          <w:rFonts w:hint="eastAsia" w:ascii="仿宋_GB2312" w:hAnsi="宋体" w:eastAsia="仿宋_GB2312" w:cs="仿宋_GB2312"/>
          <w:kern w:val="0"/>
          <w:sz w:val="32"/>
          <w:szCs w:val="32"/>
        </w:rPr>
        <w:t>对财政部门未提出疑义的补贴申请，将其核验资料留存备用备查，留存期限不少于</w:t>
      </w:r>
      <w:r>
        <w:rPr>
          <w:rFonts w:ascii="仿宋_GB2312" w:hAnsi="宋体" w:eastAsia="仿宋_GB2312" w:cs="仿宋_GB2312"/>
          <w:kern w:val="0"/>
          <w:sz w:val="32"/>
          <w:szCs w:val="32"/>
        </w:rPr>
        <w:t>5</w:t>
      </w:r>
      <w:r>
        <w:rPr>
          <w:rFonts w:hint="eastAsia" w:ascii="仿宋_GB2312" w:hAnsi="宋体" w:eastAsia="仿宋_GB2312" w:cs="仿宋_GB2312"/>
          <w:kern w:val="0"/>
          <w:sz w:val="32"/>
          <w:szCs w:val="32"/>
        </w:rPr>
        <w:t>年。</w:t>
      </w:r>
    </w:p>
    <w:p>
      <w:pPr>
        <w:widowControl/>
        <w:snapToGrid w:val="0"/>
        <w:spacing w:line="360" w:lineRule="auto"/>
        <w:ind w:firstLine="640" w:firstLineChars="200"/>
        <w:rPr>
          <w:rFonts w:ascii="黑体" w:hAnsi="黑体" w:eastAsia="黑体" w:cs="Times New Roman"/>
          <w:kern w:val="0"/>
          <w:sz w:val="32"/>
          <w:szCs w:val="32"/>
        </w:rPr>
      </w:pPr>
      <w:r>
        <w:rPr>
          <w:rFonts w:hint="eastAsia" w:ascii="黑体" w:hAnsi="黑体" w:eastAsia="黑体" w:cs="黑体"/>
          <w:kern w:val="0"/>
          <w:sz w:val="32"/>
          <w:szCs w:val="32"/>
        </w:rPr>
        <w:t>三、监督管理</w:t>
      </w:r>
    </w:p>
    <w:p>
      <w:pPr>
        <w:pStyle w:val="20"/>
        <w:snapToGrid w:val="0"/>
        <w:spacing w:line="360" w:lineRule="auto"/>
        <w:ind w:firstLine="0" w:firstLineChars="0"/>
        <w:rPr>
          <w:rFonts w:ascii="仿宋_GB2312" w:eastAsia="仿宋_GB2312" w:cs="Times New Roman"/>
          <w:kern w:val="0"/>
          <w:sz w:val="32"/>
          <w:szCs w:val="32"/>
        </w:rPr>
      </w:pPr>
      <w:r>
        <w:rPr>
          <w:rFonts w:ascii="宋体" w:hAnsi="宋体" w:cs="宋体"/>
          <w:kern w:val="0"/>
          <w:sz w:val="32"/>
          <w:szCs w:val="32"/>
        </w:rPr>
        <w:t xml:space="preserve">   </w:t>
      </w: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（一）加强核验人员队伍建设。</w:t>
      </w:r>
      <w:r>
        <w:rPr>
          <w:rFonts w:hint="eastAsia" w:ascii="仿宋_GB2312" w:hAnsi="宋体" w:eastAsia="仿宋_GB2312" w:cs="仿宋_GB2312"/>
          <w:kern w:val="0"/>
          <w:sz w:val="32"/>
          <w:szCs w:val="32"/>
        </w:rPr>
        <w:t>选配责任心强、业务素质高、作风优良的干部从事核验工作，对其每年至少开展一次廉洁从政、业务技能等方面的教育培训。建立健全分管领导监督机制，有条件的地方实行补贴申请受理、补贴机具核验岗位分离，明确岗位职责。</w:t>
      </w:r>
    </w:p>
    <w:p>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（二）推行购机承诺践诺。</w:t>
      </w:r>
      <w:r>
        <w:rPr>
          <w:rFonts w:hint="eastAsia" w:ascii="仿宋_GB2312" w:hAnsi="宋体" w:eastAsia="仿宋_GB2312" w:cs="仿宋_GB2312"/>
          <w:kern w:val="0"/>
          <w:sz w:val="32"/>
          <w:szCs w:val="32"/>
        </w:rPr>
        <w:t>加强购机者补贴申请行为的自我约束和信用管理，实行补贴申请资料真实性、完整性和有效性的自主承诺，引导其规范参与补贴政策实施，主动报告所发现的问题，共同维护政策实施良好环境。</w:t>
      </w:r>
    </w:p>
    <w:p>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（三）全面排查违规线索。</w:t>
      </w:r>
      <w:r>
        <w:rPr>
          <w:rFonts w:hint="eastAsia" w:ascii="仿宋_GB2312" w:hAnsi="宋体" w:eastAsia="仿宋_GB2312" w:cs="仿宋_GB2312"/>
          <w:kern w:val="0"/>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pPr>
        <w:pStyle w:val="20"/>
        <w:snapToGrid w:val="0"/>
        <w:spacing w:line="360" w:lineRule="auto"/>
        <w:ind w:firstLine="0" w:firstLineChars="0"/>
        <w:rPr>
          <w:rFonts w:ascii="仿宋_GB2312" w:hAnsi="宋体"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（四）严格监督管理。</w:t>
      </w:r>
      <w:r>
        <w:rPr>
          <w:rFonts w:hint="eastAsia" w:ascii="仿宋_GB2312" w:hAnsi="宋体" w:eastAsia="仿宋_GB2312" w:cs="仿宋_GB2312"/>
          <w:kern w:val="0"/>
          <w:sz w:val="32"/>
          <w:szCs w:val="32"/>
        </w:rPr>
        <w:t>健全内部控制制度，以机具核验流程为主线，逐项工作、逐个环节查找风险点，制定防控措施。鼓励省级及以下农机化、财政部门探索开展补贴机具第三方独立抽查核验和信息化技术核验。</w:t>
      </w:r>
    </w:p>
    <w:p>
      <w:pPr>
        <w:pStyle w:val="20"/>
        <w:snapToGrid w:val="0"/>
        <w:spacing w:line="360" w:lineRule="auto"/>
        <w:ind w:firstLine="0" w:firstLineChars="0"/>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各省要组织县级农机化主管部门结合实际，参照本要点制定具体的工作规范，经县级农机购置补贴领导小组审核同意，报省级或市级农机化主管部门备案后公布实施。</w:t>
      </w:r>
    </w:p>
    <w:sectPr>
      <w:footerReference r:id="rId3" w:type="default"/>
      <w:type w:val="continuous"/>
      <w:pgSz w:w="11906" w:h="16838"/>
      <w:pgMar w:top="1474" w:right="1531" w:bottom="1304" w:left="153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uto" w:vAnchor="text" w:hAnchor="margin" w:xAlign="center" w:y="1"/>
      <w:rPr>
        <w:rStyle w:val="10"/>
        <w:rFonts w:cs="Times New Roman"/>
      </w:rPr>
    </w:pPr>
    <w:r>
      <w:rPr>
        <w:rStyle w:val="10"/>
      </w:rPr>
      <w:fldChar w:fldCharType="begin"/>
    </w:r>
    <w:r>
      <w:rPr>
        <w:rStyle w:val="10"/>
      </w:rPr>
      <w:instrText xml:space="preserve">PAGE  </w:instrText>
    </w:r>
    <w:r>
      <w:rPr>
        <w:rStyle w:val="10"/>
      </w:rPr>
      <w:fldChar w:fldCharType="separate"/>
    </w:r>
    <w:r>
      <w:rPr>
        <w:rStyle w:val="10"/>
      </w:rPr>
      <w:t>2</w:t>
    </w:r>
    <w:r>
      <w:rPr>
        <w:rStyle w:val="10"/>
      </w:rPr>
      <w:fldChar w:fldCharType="end"/>
    </w:r>
  </w:p>
  <w:p>
    <w:pPr>
      <w:pStyle w:val="4"/>
      <w:rPr>
        <w:rFonts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A6C"/>
    <w:rsid w:val="00002071"/>
    <w:rsid w:val="000020DB"/>
    <w:rsid w:val="00003519"/>
    <w:rsid w:val="00006B2E"/>
    <w:rsid w:val="000158BB"/>
    <w:rsid w:val="00024343"/>
    <w:rsid w:val="0002748C"/>
    <w:rsid w:val="00034EB6"/>
    <w:rsid w:val="00035BB8"/>
    <w:rsid w:val="000404C4"/>
    <w:rsid w:val="000475C4"/>
    <w:rsid w:val="00050F65"/>
    <w:rsid w:val="00055626"/>
    <w:rsid w:val="00055D44"/>
    <w:rsid w:val="00060EBA"/>
    <w:rsid w:val="00070D4C"/>
    <w:rsid w:val="00073605"/>
    <w:rsid w:val="0007462F"/>
    <w:rsid w:val="0008270A"/>
    <w:rsid w:val="00087C3A"/>
    <w:rsid w:val="000933E7"/>
    <w:rsid w:val="00095196"/>
    <w:rsid w:val="00096D3E"/>
    <w:rsid w:val="000A24A6"/>
    <w:rsid w:val="000A6FD4"/>
    <w:rsid w:val="000B3129"/>
    <w:rsid w:val="000B4731"/>
    <w:rsid w:val="000B4A6C"/>
    <w:rsid w:val="000B4F9E"/>
    <w:rsid w:val="000B5059"/>
    <w:rsid w:val="000B5FAE"/>
    <w:rsid w:val="000C20BA"/>
    <w:rsid w:val="000C6ADB"/>
    <w:rsid w:val="000C768F"/>
    <w:rsid w:val="000D33EB"/>
    <w:rsid w:val="000D5C14"/>
    <w:rsid w:val="000E0E9F"/>
    <w:rsid w:val="000E4354"/>
    <w:rsid w:val="000E768B"/>
    <w:rsid w:val="000F0529"/>
    <w:rsid w:val="000F6A4E"/>
    <w:rsid w:val="00101488"/>
    <w:rsid w:val="00101601"/>
    <w:rsid w:val="00103372"/>
    <w:rsid w:val="00104E68"/>
    <w:rsid w:val="00116E09"/>
    <w:rsid w:val="001226C6"/>
    <w:rsid w:val="001268CC"/>
    <w:rsid w:val="00135429"/>
    <w:rsid w:val="00136CBC"/>
    <w:rsid w:val="00136F75"/>
    <w:rsid w:val="001379D8"/>
    <w:rsid w:val="00140B84"/>
    <w:rsid w:val="00160AED"/>
    <w:rsid w:val="00164A16"/>
    <w:rsid w:val="00170171"/>
    <w:rsid w:val="00180B29"/>
    <w:rsid w:val="001B14C5"/>
    <w:rsid w:val="001B2186"/>
    <w:rsid w:val="001B4A85"/>
    <w:rsid w:val="001B6DF3"/>
    <w:rsid w:val="001C0FD3"/>
    <w:rsid w:val="001C1D38"/>
    <w:rsid w:val="001C3694"/>
    <w:rsid w:val="001C3A8E"/>
    <w:rsid w:val="001C7C01"/>
    <w:rsid w:val="001D6E58"/>
    <w:rsid w:val="001D6FEC"/>
    <w:rsid w:val="001E055F"/>
    <w:rsid w:val="001E5E9D"/>
    <w:rsid w:val="001F1F31"/>
    <w:rsid w:val="001F4802"/>
    <w:rsid w:val="001F74E9"/>
    <w:rsid w:val="002000FE"/>
    <w:rsid w:val="00204D15"/>
    <w:rsid w:val="002055F0"/>
    <w:rsid w:val="00214054"/>
    <w:rsid w:val="00215683"/>
    <w:rsid w:val="00216768"/>
    <w:rsid w:val="00221C67"/>
    <w:rsid w:val="00226682"/>
    <w:rsid w:val="00230A28"/>
    <w:rsid w:val="00232103"/>
    <w:rsid w:val="002350E5"/>
    <w:rsid w:val="00241A44"/>
    <w:rsid w:val="00241FA3"/>
    <w:rsid w:val="00245750"/>
    <w:rsid w:val="00250756"/>
    <w:rsid w:val="00251A9D"/>
    <w:rsid w:val="00252F5E"/>
    <w:rsid w:val="00263AC7"/>
    <w:rsid w:val="00264E70"/>
    <w:rsid w:val="00265F18"/>
    <w:rsid w:val="002720A4"/>
    <w:rsid w:val="00273021"/>
    <w:rsid w:val="00276487"/>
    <w:rsid w:val="00277E35"/>
    <w:rsid w:val="00280C12"/>
    <w:rsid w:val="002941D7"/>
    <w:rsid w:val="002A04D6"/>
    <w:rsid w:val="002A1AE9"/>
    <w:rsid w:val="002A36D1"/>
    <w:rsid w:val="002A5284"/>
    <w:rsid w:val="002B1B00"/>
    <w:rsid w:val="002B1EA8"/>
    <w:rsid w:val="002C4840"/>
    <w:rsid w:val="002D2776"/>
    <w:rsid w:val="002D3784"/>
    <w:rsid w:val="002D4D7A"/>
    <w:rsid w:val="002D7D3C"/>
    <w:rsid w:val="002E7806"/>
    <w:rsid w:val="002F0F1A"/>
    <w:rsid w:val="002F424D"/>
    <w:rsid w:val="002F49F1"/>
    <w:rsid w:val="002F65F6"/>
    <w:rsid w:val="003012A7"/>
    <w:rsid w:val="00303001"/>
    <w:rsid w:val="00304BEA"/>
    <w:rsid w:val="00305173"/>
    <w:rsid w:val="00307BE0"/>
    <w:rsid w:val="00312060"/>
    <w:rsid w:val="00312CFF"/>
    <w:rsid w:val="00313107"/>
    <w:rsid w:val="00322E11"/>
    <w:rsid w:val="00325513"/>
    <w:rsid w:val="0033731D"/>
    <w:rsid w:val="0035771F"/>
    <w:rsid w:val="00362B84"/>
    <w:rsid w:val="003667B8"/>
    <w:rsid w:val="003704B9"/>
    <w:rsid w:val="00372FCD"/>
    <w:rsid w:val="00375859"/>
    <w:rsid w:val="00376C2A"/>
    <w:rsid w:val="0039336A"/>
    <w:rsid w:val="00397CC4"/>
    <w:rsid w:val="003A1DF2"/>
    <w:rsid w:val="003B49F1"/>
    <w:rsid w:val="003B7503"/>
    <w:rsid w:val="003C071E"/>
    <w:rsid w:val="003D0329"/>
    <w:rsid w:val="003D2C83"/>
    <w:rsid w:val="003D45E2"/>
    <w:rsid w:val="003D629D"/>
    <w:rsid w:val="003E2E58"/>
    <w:rsid w:val="003E347C"/>
    <w:rsid w:val="003E4E17"/>
    <w:rsid w:val="003E6BAE"/>
    <w:rsid w:val="003F2B93"/>
    <w:rsid w:val="004009D6"/>
    <w:rsid w:val="00407465"/>
    <w:rsid w:val="00417927"/>
    <w:rsid w:val="00422BFB"/>
    <w:rsid w:val="00423902"/>
    <w:rsid w:val="00425194"/>
    <w:rsid w:val="0043032B"/>
    <w:rsid w:val="00431577"/>
    <w:rsid w:val="0043398A"/>
    <w:rsid w:val="00441E5A"/>
    <w:rsid w:val="004451D7"/>
    <w:rsid w:val="00447B7F"/>
    <w:rsid w:val="00447FE7"/>
    <w:rsid w:val="004559B1"/>
    <w:rsid w:val="00477BEB"/>
    <w:rsid w:val="004826A9"/>
    <w:rsid w:val="00482BCF"/>
    <w:rsid w:val="004858EB"/>
    <w:rsid w:val="004A1BE2"/>
    <w:rsid w:val="004A1E4F"/>
    <w:rsid w:val="004A4026"/>
    <w:rsid w:val="004A5309"/>
    <w:rsid w:val="004A7A4C"/>
    <w:rsid w:val="004A7F58"/>
    <w:rsid w:val="004B510C"/>
    <w:rsid w:val="004B528A"/>
    <w:rsid w:val="004C4BE1"/>
    <w:rsid w:val="004C5721"/>
    <w:rsid w:val="004C5B64"/>
    <w:rsid w:val="004C6295"/>
    <w:rsid w:val="004D48F8"/>
    <w:rsid w:val="004D6A7A"/>
    <w:rsid w:val="004E212C"/>
    <w:rsid w:val="004E2D89"/>
    <w:rsid w:val="004F008E"/>
    <w:rsid w:val="004F0269"/>
    <w:rsid w:val="004F6A98"/>
    <w:rsid w:val="005003F1"/>
    <w:rsid w:val="00500482"/>
    <w:rsid w:val="00500FEE"/>
    <w:rsid w:val="0050178E"/>
    <w:rsid w:val="00502412"/>
    <w:rsid w:val="00506179"/>
    <w:rsid w:val="00515927"/>
    <w:rsid w:val="00515CBF"/>
    <w:rsid w:val="00524D18"/>
    <w:rsid w:val="00526FF6"/>
    <w:rsid w:val="00532072"/>
    <w:rsid w:val="00532753"/>
    <w:rsid w:val="0053419F"/>
    <w:rsid w:val="00535183"/>
    <w:rsid w:val="00536E18"/>
    <w:rsid w:val="0055146C"/>
    <w:rsid w:val="00560FCD"/>
    <w:rsid w:val="0056695B"/>
    <w:rsid w:val="00571553"/>
    <w:rsid w:val="00571C1D"/>
    <w:rsid w:val="00572725"/>
    <w:rsid w:val="005833B9"/>
    <w:rsid w:val="00590B6C"/>
    <w:rsid w:val="005968EA"/>
    <w:rsid w:val="005975BA"/>
    <w:rsid w:val="005A2C48"/>
    <w:rsid w:val="005A4E4D"/>
    <w:rsid w:val="005A6DDF"/>
    <w:rsid w:val="005B7B74"/>
    <w:rsid w:val="005C2BE7"/>
    <w:rsid w:val="005C2D94"/>
    <w:rsid w:val="005C65A4"/>
    <w:rsid w:val="005D273F"/>
    <w:rsid w:val="005E5129"/>
    <w:rsid w:val="005E55DC"/>
    <w:rsid w:val="005E7E71"/>
    <w:rsid w:val="005F227C"/>
    <w:rsid w:val="00614619"/>
    <w:rsid w:val="00614712"/>
    <w:rsid w:val="006164A8"/>
    <w:rsid w:val="0061727F"/>
    <w:rsid w:val="00620B27"/>
    <w:rsid w:val="00623D48"/>
    <w:rsid w:val="00631823"/>
    <w:rsid w:val="0064098E"/>
    <w:rsid w:val="0064354A"/>
    <w:rsid w:val="0066719C"/>
    <w:rsid w:val="006779F5"/>
    <w:rsid w:val="00680A37"/>
    <w:rsid w:val="00691A19"/>
    <w:rsid w:val="00691B43"/>
    <w:rsid w:val="006A188B"/>
    <w:rsid w:val="006B446D"/>
    <w:rsid w:val="006B4F7B"/>
    <w:rsid w:val="006B5011"/>
    <w:rsid w:val="006B69E8"/>
    <w:rsid w:val="006C041E"/>
    <w:rsid w:val="006C4B84"/>
    <w:rsid w:val="006C5C4A"/>
    <w:rsid w:val="006D1EAC"/>
    <w:rsid w:val="006D4611"/>
    <w:rsid w:val="006D6A5E"/>
    <w:rsid w:val="006D6D14"/>
    <w:rsid w:val="006E05F2"/>
    <w:rsid w:val="006E08C7"/>
    <w:rsid w:val="006E20BF"/>
    <w:rsid w:val="006E262B"/>
    <w:rsid w:val="006F4FDF"/>
    <w:rsid w:val="006F69C4"/>
    <w:rsid w:val="0070501B"/>
    <w:rsid w:val="007162A2"/>
    <w:rsid w:val="00717E85"/>
    <w:rsid w:val="00722EF7"/>
    <w:rsid w:val="007236D2"/>
    <w:rsid w:val="0072381B"/>
    <w:rsid w:val="00724FE9"/>
    <w:rsid w:val="0072505E"/>
    <w:rsid w:val="007328F0"/>
    <w:rsid w:val="00732C5A"/>
    <w:rsid w:val="007358AD"/>
    <w:rsid w:val="00740B03"/>
    <w:rsid w:val="00747AE9"/>
    <w:rsid w:val="00754812"/>
    <w:rsid w:val="007549B4"/>
    <w:rsid w:val="00762EED"/>
    <w:rsid w:val="007643B2"/>
    <w:rsid w:val="00767DF4"/>
    <w:rsid w:val="00770474"/>
    <w:rsid w:val="007716FA"/>
    <w:rsid w:val="0077187A"/>
    <w:rsid w:val="0077391F"/>
    <w:rsid w:val="00790A93"/>
    <w:rsid w:val="00791A4A"/>
    <w:rsid w:val="0079476E"/>
    <w:rsid w:val="007A32A2"/>
    <w:rsid w:val="007B23E6"/>
    <w:rsid w:val="007B2B21"/>
    <w:rsid w:val="007B5E11"/>
    <w:rsid w:val="007B76CD"/>
    <w:rsid w:val="007C401E"/>
    <w:rsid w:val="007D47FD"/>
    <w:rsid w:val="007D63DD"/>
    <w:rsid w:val="007E0E83"/>
    <w:rsid w:val="007E100F"/>
    <w:rsid w:val="007E5480"/>
    <w:rsid w:val="007E569A"/>
    <w:rsid w:val="007F5838"/>
    <w:rsid w:val="00804207"/>
    <w:rsid w:val="00804568"/>
    <w:rsid w:val="00804BE2"/>
    <w:rsid w:val="0081251B"/>
    <w:rsid w:val="008133D7"/>
    <w:rsid w:val="00814011"/>
    <w:rsid w:val="00851A74"/>
    <w:rsid w:val="00853090"/>
    <w:rsid w:val="0085441E"/>
    <w:rsid w:val="00861743"/>
    <w:rsid w:val="00863035"/>
    <w:rsid w:val="0086368D"/>
    <w:rsid w:val="008670BA"/>
    <w:rsid w:val="008714FB"/>
    <w:rsid w:val="00872CFC"/>
    <w:rsid w:val="00874248"/>
    <w:rsid w:val="00882F6F"/>
    <w:rsid w:val="00884BE4"/>
    <w:rsid w:val="0089363D"/>
    <w:rsid w:val="00894C37"/>
    <w:rsid w:val="0089781A"/>
    <w:rsid w:val="008A00F2"/>
    <w:rsid w:val="008C057F"/>
    <w:rsid w:val="008C6D28"/>
    <w:rsid w:val="008D356A"/>
    <w:rsid w:val="008D56EC"/>
    <w:rsid w:val="009003BD"/>
    <w:rsid w:val="00901855"/>
    <w:rsid w:val="00904A5F"/>
    <w:rsid w:val="00910BE0"/>
    <w:rsid w:val="0091405C"/>
    <w:rsid w:val="00915245"/>
    <w:rsid w:val="00921CF4"/>
    <w:rsid w:val="00925E8C"/>
    <w:rsid w:val="00926375"/>
    <w:rsid w:val="009277ED"/>
    <w:rsid w:val="00943C53"/>
    <w:rsid w:val="00944413"/>
    <w:rsid w:val="009464BD"/>
    <w:rsid w:val="0094719E"/>
    <w:rsid w:val="00960EFA"/>
    <w:rsid w:val="009659C4"/>
    <w:rsid w:val="00966B45"/>
    <w:rsid w:val="00972887"/>
    <w:rsid w:val="00973C3B"/>
    <w:rsid w:val="009808D5"/>
    <w:rsid w:val="0098403F"/>
    <w:rsid w:val="00995D3B"/>
    <w:rsid w:val="009A1DAC"/>
    <w:rsid w:val="009B4C46"/>
    <w:rsid w:val="009B675D"/>
    <w:rsid w:val="009C0FAC"/>
    <w:rsid w:val="009D4EE5"/>
    <w:rsid w:val="009D7094"/>
    <w:rsid w:val="009E09F0"/>
    <w:rsid w:val="009E5CFD"/>
    <w:rsid w:val="009E5E48"/>
    <w:rsid w:val="009F4836"/>
    <w:rsid w:val="009F684C"/>
    <w:rsid w:val="00A14650"/>
    <w:rsid w:val="00A16F0A"/>
    <w:rsid w:val="00A301AE"/>
    <w:rsid w:val="00A30DCE"/>
    <w:rsid w:val="00A358E8"/>
    <w:rsid w:val="00A375C7"/>
    <w:rsid w:val="00A40E66"/>
    <w:rsid w:val="00A41B2E"/>
    <w:rsid w:val="00A43949"/>
    <w:rsid w:val="00A52186"/>
    <w:rsid w:val="00A52B44"/>
    <w:rsid w:val="00A60F56"/>
    <w:rsid w:val="00A64347"/>
    <w:rsid w:val="00A74753"/>
    <w:rsid w:val="00A75152"/>
    <w:rsid w:val="00A75501"/>
    <w:rsid w:val="00A875F9"/>
    <w:rsid w:val="00A966C0"/>
    <w:rsid w:val="00AA0532"/>
    <w:rsid w:val="00AA15B5"/>
    <w:rsid w:val="00AA69E1"/>
    <w:rsid w:val="00AB2153"/>
    <w:rsid w:val="00AC3408"/>
    <w:rsid w:val="00AC4F8C"/>
    <w:rsid w:val="00AC6926"/>
    <w:rsid w:val="00AD0857"/>
    <w:rsid w:val="00AE133A"/>
    <w:rsid w:val="00AE4804"/>
    <w:rsid w:val="00AE5A7F"/>
    <w:rsid w:val="00AF35E6"/>
    <w:rsid w:val="00AF5D27"/>
    <w:rsid w:val="00AF7887"/>
    <w:rsid w:val="00B05E7C"/>
    <w:rsid w:val="00B067DD"/>
    <w:rsid w:val="00B15700"/>
    <w:rsid w:val="00B21570"/>
    <w:rsid w:val="00B23842"/>
    <w:rsid w:val="00B256D2"/>
    <w:rsid w:val="00B26565"/>
    <w:rsid w:val="00B266A3"/>
    <w:rsid w:val="00B405D7"/>
    <w:rsid w:val="00B41DAD"/>
    <w:rsid w:val="00B42151"/>
    <w:rsid w:val="00B45C51"/>
    <w:rsid w:val="00B479E5"/>
    <w:rsid w:val="00B47F22"/>
    <w:rsid w:val="00B5194B"/>
    <w:rsid w:val="00B55477"/>
    <w:rsid w:val="00B573A9"/>
    <w:rsid w:val="00B5776A"/>
    <w:rsid w:val="00B760A6"/>
    <w:rsid w:val="00B83316"/>
    <w:rsid w:val="00B94417"/>
    <w:rsid w:val="00B96BB6"/>
    <w:rsid w:val="00BA2CAB"/>
    <w:rsid w:val="00BA57C8"/>
    <w:rsid w:val="00BB31EC"/>
    <w:rsid w:val="00BB3EC0"/>
    <w:rsid w:val="00BC0625"/>
    <w:rsid w:val="00BC6FF2"/>
    <w:rsid w:val="00BD1CEF"/>
    <w:rsid w:val="00BD62CD"/>
    <w:rsid w:val="00BD7730"/>
    <w:rsid w:val="00BE1C2C"/>
    <w:rsid w:val="00BF1FD9"/>
    <w:rsid w:val="00C0093A"/>
    <w:rsid w:val="00C0777E"/>
    <w:rsid w:val="00C10C8B"/>
    <w:rsid w:val="00C12BC1"/>
    <w:rsid w:val="00C2273B"/>
    <w:rsid w:val="00C25CA2"/>
    <w:rsid w:val="00C26DB7"/>
    <w:rsid w:val="00C2701A"/>
    <w:rsid w:val="00C348F1"/>
    <w:rsid w:val="00C34DBF"/>
    <w:rsid w:val="00C370AD"/>
    <w:rsid w:val="00C40B67"/>
    <w:rsid w:val="00C41F5E"/>
    <w:rsid w:val="00C4455C"/>
    <w:rsid w:val="00C45288"/>
    <w:rsid w:val="00C45669"/>
    <w:rsid w:val="00C51209"/>
    <w:rsid w:val="00C52C52"/>
    <w:rsid w:val="00C554B7"/>
    <w:rsid w:val="00C5687F"/>
    <w:rsid w:val="00C56BA4"/>
    <w:rsid w:val="00C56E7D"/>
    <w:rsid w:val="00C57C17"/>
    <w:rsid w:val="00C6176D"/>
    <w:rsid w:val="00C6274E"/>
    <w:rsid w:val="00C635B4"/>
    <w:rsid w:val="00C647AD"/>
    <w:rsid w:val="00C72D98"/>
    <w:rsid w:val="00C745B5"/>
    <w:rsid w:val="00C75BE4"/>
    <w:rsid w:val="00C76318"/>
    <w:rsid w:val="00C80419"/>
    <w:rsid w:val="00C8055B"/>
    <w:rsid w:val="00C80D5B"/>
    <w:rsid w:val="00C9564A"/>
    <w:rsid w:val="00C95DE7"/>
    <w:rsid w:val="00C97BDD"/>
    <w:rsid w:val="00CA3B6D"/>
    <w:rsid w:val="00CB177A"/>
    <w:rsid w:val="00CB3946"/>
    <w:rsid w:val="00CB4432"/>
    <w:rsid w:val="00CB663D"/>
    <w:rsid w:val="00CC53AC"/>
    <w:rsid w:val="00CD5DE2"/>
    <w:rsid w:val="00CE5687"/>
    <w:rsid w:val="00CF2C2F"/>
    <w:rsid w:val="00D020E3"/>
    <w:rsid w:val="00D03C35"/>
    <w:rsid w:val="00D07481"/>
    <w:rsid w:val="00D17B2D"/>
    <w:rsid w:val="00D209D3"/>
    <w:rsid w:val="00D22AF7"/>
    <w:rsid w:val="00D262F2"/>
    <w:rsid w:val="00D26316"/>
    <w:rsid w:val="00D33F7B"/>
    <w:rsid w:val="00D37505"/>
    <w:rsid w:val="00D43BBD"/>
    <w:rsid w:val="00D440F6"/>
    <w:rsid w:val="00D6324E"/>
    <w:rsid w:val="00D65DE7"/>
    <w:rsid w:val="00D70471"/>
    <w:rsid w:val="00D70D30"/>
    <w:rsid w:val="00D769B5"/>
    <w:rsid w:val="00D81AEB"/>
    <w:rsid w:val="00D914FB"/>
    <w:rsid w:val="00DA3492"/>
    <w:rsid w:val="00DA6623"/>
    <w:rsid w:val="00DB458B"/>
    <w:rsid w:val="00DC1FFB"/>
    <w:rsid w:val="00DE2DD0"/>
    <w:rsid w:val="00DF073E"/>
    <w:rsid w:val="00DF251B"/>
    <w:rsid w:val="00DF5055"/>
    <w:rsid w:val="00DF5166"/>
    <w:rsid w:val="00DF62C1"/>
    <w:rsid w:val="00DF649B"/>
    <w:rsid w:val="00E07A08"/>
    <w:rsid w:val="00E12443"/>
    <w:rsid w:val="00E132CC"/>
    <w:rsid w:val="00E15C0C"/>
    <w:rsid w:val="00E1717B"/>
    <w:rsid w:val="00E229FA"/>
    <w:rsid w:val="00E25E27"/>
    <w:rsid w:val="00E36674"/>
    <w:rsid w:val="00E423D4"/>
    <w:rsid w:val="00E530C0"/>
    <w:rsid w:val="00E535E2"/>
    <w:rsid w:val="00E54CE8"/>
    <w:rsid w:val="00E5525E"/>
    <w:rsid w:val="00E55F5A"/>
    <w:rsid w:val="00E563DD"/>
    <w:rsid w:val="00E611E5"/>
    <w:rsid w:val="00E625A8"/>
    <w:rsid w:val="00E636F6"/>
    <w:rsid w:val="00E64110"/>
    <w:rsid w:val="00E67E26"/>
    <w:rsid w:val="00E72822"/>
    <w:rsid w:val="00E750B8"/>
    <w:rsid w:val="00E82153"/>
    <w:rsid w:val="00E82364"/>
    <w:rsid w:val="00E8296A"/>
    <w:rsid w:val="00E837BB"/>
    <w:rsid w:val="00E85A5F"/>
    <w:rsid w:val="00EA59CE"/>
    <w:rsid w:val="00EB16CF"/>
    <w:rsid w:val="00EB3D1C"/>
    <w:rsid w:val="00EB4606"/>
    <w:rsid w:val="00EC2EB8"/>
    <w:rsid w:val="00EC542A"/>
    <w:rsid w:val="00EE25EE"/>
    <w:rsid w:val="00EF3AD1"/>
    <w:rsid w:val="00EF5A57"/>
    <w:rsid w:val="00F02F33"/>
    <w:rsid w:val="00F13B62"/>
    <w:rsid w:val="00F16F49"/>
    <w:rsid w:val="00F178E5"/>
    <w:rsid w:val="00F278BB"/>
    <w:rsid w:val="00F37402"/>
    <w:rsid w:val="00F4730C"/>
    <w:rsid w:val="00F50B8F"/>
    <w:rsid w:val="00F54E17"/>
    <w:rsid w:val="00F573A0"/>
    <w:rsid w:val="00F57FAA"/>
    <w:rsid w:val="00F72FF6"/>
    <w:rsid w:val="00F742CA"/>
    <w:rsid w:val="00F767C1"/>
    <w:rsid w:val="00F82974"/>
    <w:rsid w:val="00F8525F"/>
    <w:rsid w:val="00F94641"/>
    <w:rsid w:val="00F94853"/>
    <w:rsid w:val="00FA2B82"/>
    <w:rsid w:val="00FA6493"/>
    <w:rsid w:val="00FA65B3"/>
    <w:rsid w:val="00FC1823"/>
    <w:rsid w:val="00FC3FE2"/>
    <w:rsid w:val="00FD0072"/>
    <w:rsid w:val="00FD2E8F"/>
    <w:rsid w:val="00FD6FA1"/>
    <w:rsid w:val="00FF3C30"/>
    <w:rsid w:val="11492D8E"/>
    <w:rsid w:val="1F5C04BB"/>
    <w:rsid w:val="21631ED8"/>
    <w:rsid w:val="31547FBA"/>
    <w:rsid w:val="483C2FB5"/>
    <w:rsid w:val="554D2211"/>
    <w:rsid w:val="57594886"/>
    <w:rsid w:val="57D85BB3"/>
    <w:rsid w:val="5B9B5794"/>
    <w:rsid w:val="6D263D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semiHidden/>
    <w:qFormat/>
    <w:uiPriority w:val="99"/>
    <w:pPr>
      <w:jc w:val="left"/>
    </w:pPr>
  </w:style>
  <w:style w:type="paragraph" w:styleId="3">
    <w:name w:val="Balloon Text"/>
    <w:basedOn w:val="1"/>
    <w:link w:val="14"/>
    <w:semiHidden/>
    <w:qFormat/>
    <w:uiPriority w:val="99"/>
    <w:rPr>
      <w:sz w:val="18"/>
      <w:szCs w:val="18"/>
    </w:rPr>
  </w:style>
  <w:style w:type="paragraph" w:styleId="4">
    <w:name w:val="footer"/>
    <w:basedOn w:val="1"/>
    <w:link w:val="15"/>
    <w:qFormat/>
    <w:uiPriority w:val="99"/>
    <w:pPr>
      <w:tabs>
        <w:tab w:val="center" w:pos="4153"/>
        <w:tab w:val="right" w:pos="8306"/>
      </w:tabs>
      <w:snapToGrid w:val="0"/>
      <w:jc w:val="left"/>
    </w:pPr>
    <w:rPr>
      <w:sz w:val="18"/>
      <w:szCs w:val="18"/>
    </w:rPr>
  </w:style>
  <w:style w:type="paragraph" w:styleId="5">
    <w:name w:val="header"/>
    <w:basedOn w:val="1"/>
    <w:link w:val="16"/>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paragraph" w:styleId="7">
    <w:name w:val="annotation subject"/>
    <w:basedOn w:val="2"/>
    <w:next w:val="2"/>
    <w:link w:val="13"/>
    <w:semiHidden/>
    <w:qFormat/>
    <w:uiPriority w:val="99"/>
    <w:rPr>
      <w:b/>
      <w:bCs/>
    </w:rPr>
  </w:style>
  <w:style w:type="character" w:styleId="10">
    <w:name w:val="page number"/>
    <w:basedOn w:val="9"/>
    <w:qFormat/>
    <w:uiPriority w:val="99"/>
  </w:style>
  <w:style w:type="character" w:styleId="11">
    <w:name w:val="annotation reference"/>
    <w:basedOn w:val="9"/>
    <w:semiHidden/>
    <w:qFormat/>
    <w:uiPriority w:val="99"/>
    <w:rPr>
      <w:sz w:val="21"/>
      <w:szCs w:val="21"/>
    </w:rPr>
  </w:style>
  <w:style w:type="character" w:customStyle="1" w:styleId="12">
    <w:name w:val="批注文字 Char"/>
    <w:basedOn w:val="9"/>
    <w:link w:val="2"/>
    <w:semiHidden/>
    <w:qFormat/>
    <w:locked/>
    <w:uiPriority w:val="99"/>
  </w:style>
  <w:style w:type="character" w:customStyle="1" w:styleId="13">
    <w:name w:val="批注主题 Char"/>
    <w:basedOn w:val="12"/>
    <w:link w:val="7"/>
    <w:semiHidden/>
    <w:qFormat/>
    <w:locked/>
    <w:uiPriority w:val="99"/>
    <w:rPr>
      <w:b/>
      <w:bCs/>
    </w:rPr>
  </w:style>
  <w:style w:type="character" w:customStyle="1" w:styleId="14">
    <w:name w:val="批注框文本 Char"/>
    <w:basedOn w:val="9"/>
    <w:link w:val="3"/>
    <w:semiHidden/>
    <w:qFormat/>
    <w:locked/>
    <w:uiPriority w:val="99"/>
    <w:rPr>
      <w:sz w:val="18"/>
      <w:szCs w:val="18"/>
    </w:rPr>
  </w:style>
  <w:style w:type="character" w:customStyle="1" w:styleId="15">
    <w:name w:val="页脚 Char"/>
    <w:basedOn w:val="9"/>
    <w:link w:val="4"/>
    <w:qFormat/>
    <w:locked/>
    <w:uiPriority w:val="99"/>
    <w:rPr>
      <w:sz w:val="18"/>
      <w:szCs w:val="18"/>
    </w:rPr>
  </w:style>
  <w:style w:type="character" w:customStyle="1" w:styleId="16">
    <w:name w:val="页眉 Char"/>
    <w:basedOn w:val="9"/>
    <w:link w:val="5"/>
    <w:qFormat/>
    <w:locked/>
    <w:uiPriority w:val="99"/>
    <w:rPr>
      <w:sz w:val="18"/>
      <w:szCs w:val="18"/>
    </w:rPr>
  </w:style>
  <w:style w:type="paragraph" w:customStyle="1" w:styleId="17">
    <w:name w:val="Char"/>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18">
    <w:name w:val="Char1"/>
    <w:basedOn w:val="1"/>
    <w:qFormat/>
    <w:uiPriority w:val="99"/>
    <w:pPr>
      <w:widowControl/>
      <w:spacing w:after="160" w:line="240" w:lineRule="exact"/>
      <w:jc w:val="left"/>
    </w:pPr>
    <w:rPr>
      <w:rFonts w:ascii="Arial" w:hAnsi="Arial" w:cs="Arial"/>
      <w:b/>
      <w:bCs/>
      <w:kern w:val="0"/>
      <w:sz w:val="24"/>
      <w:szCs w:val="24"/>
      <w:lang w:eastAsia="en-US"/>
    </w:rPr>
  </w:style>
  <w:style w:type="paragraph" w:styleId="19">
    <w:name w:val="No Spacing"/>
    <w:qFormat/>
    <w:uiPriority w:val="99"/>
    <w:pPr>
      <w:widowControl w:val="0"/>
      <w:jc w:val="both"/>
    </w:pPr>
    <w:rPr>
      <w:rFonts w:ascii="Times New Roman" w:hAnsi="Times New Roman" w:eastAsia="仿宋_GB2312" w:cs="Times New Roman"/>
      <w:kern w:val="2"/>
      <w:sz w:val="32"/>
      <w:szCs w:val="32"/>
      <w:lang w:val="en-US" w:eastAsia="zh-CN" w:bidi="ar-SA"/>
    </w:rPr>
  </w:style>
  <w:style w:type="paragraph" w:styleId="20">
    <w:name w:val="List Paragraph"/>
    <w:basedOn w:val="1"/>
    <w:qFormat/>
    <w:uiPriority w:val="99"/>
    <w:pPr>
      <w:ind w:firstLine="420" w:firstLineChars="200"/>
    </w:pPr>
  </w:style>
  <w:style w:type="paragraph" w:customStyle="1" w:styleId="21">
    <w:name w:val="修订1"/>
    <w:hidden/>
    <w:semiHidden/>
    <w:qFormat/>
    <w:uiPriority w:val="99"/>
    <w:rPr>
      <w:rFonts w:ascii="Calibri" w:hAnsi="Calibri" w:eastAsia="宋体" w:cs="Calibri"/>
      <w:kern w:val="2"/>
      <w:sz w:val="21"/>
      <w:szCs w:val="21"/>
      <w:lang w:val="en-US" w:eastAsia="zh-CN" w:bidi="ar-SA"/>
    </w:rPr>
  </w:style>
  <w:style w:type="paragraph" w:customStyle="1" w:styleId="22">
    <w:name w:val="列出段落1"/>
    <w:basedOn w:val="1"/>
    <w:qFormat/>
    <w:uiPriority w:val="99"/>
    <w:pPr>
      <w:ind w:firstLine="420" w:firstLineChars="200"/>
    </w:pPr>
  </w:style>
  <w:style w:type="paragraph" w:customStyle="1" w:styleId="23">
    <w:name w:val="Char Char3 Char Char Char Char"/>
    <w:basedOn w:val="1"/>
    <w:qFormat/>
    <w:uiPriority w:val="99"/>
    <w:pPr>
      <w:widowControl/>
      <w:spacing w:after="160" w:line="240" w:lineRule="exact"/>
      <w:jc w:val="left"/>
    </w:pPr>
    <w:rPr>
      <w:rFonts w:ascii="Arial" w:hAnsi="Arial" w:cs="Arial"/>
      <w:b/>
      <w:bCs/>
      <w:kern w:val="0"/>
      <w:sz w:val="24"/>
      <w:szCs w:val="24"/>
      <w:lang w:eastAsia="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5</Pages>
  <Words>349</Words>
  <Characters>1990</Characters>
  <Lines>16</Lines>
  <Paragraphs>4</Paragraphs>
  <TotalTime>1</TotalTime>
  <ScaleCrop>false</ScaleCrop>
  <LinksUpToDate>false</LinksUpToDate>
  <CharactersWithSpaces>2335</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2023-09-19T01:06:00Z</dcterms:created>
  <dc:creator>meng su</dc:creator>
  <cp:lastModifiedBy>希望在明天</cp:lastModifiedBy>
  <cp:lastPrinted>2019-03-11T06:06:00Z</cp:lastPrinted>
  <dcterms:modified xsi:type="dcterms:W3CDTF">2025-04-27T03:41:05Z</dcterms:modified>
  <dc:title>农机购置补贴机具核验工作要点</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B6FB32CEEF0D4F6E849830D3BDC572DE</vt:lpwstr>
  </property>
</Properties>
</file>