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jc w:val="left"/>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附件</w:t>
      </w:r>
      <w:r>
        <w:rPr>
          <w:rFonts w:hint="eastAsia" w:ascii="仿宋_GB2312" w:hAnsi="仿宋_GB2312" w:eastAsia="仿宋_GB2312" w:cs="仿宋_GB2312"/>
          <w:b w:val="0"/>
          <w:bCs w:val="0"/>
          <w:sz w:val="32"/>
          <w:szCs w:val="32"/>
          <w:lang w:val="en-US" w:eastAsia="zh-CN"/>
        </w:rPr>
        <w:t>3：</w:t>
      </w:r>
    </w:p>
    <w:p>
      <w:pPr>
        <w:spacing w:line="579" w:lineRule="exact"/>
        <w:jc w:val="center"/>
        <w:rPr>
          <w:rFonts w:hint="eastAsia" w:ascii="方正小标宋简体" w:hAnsi="方正小标宋简体" w:eastAsia="方正小标宋简体" w:cs="方正小标宋简体"/>
          <w:b w:val="0"/>
          <w:bCs w:val="0"/>
          <w:color w:val="auto"/>
          <w:sz w:val="44"/>
          <w:szCs w:val="44"/>
          <w:lang w:eastAsia="zh-CN"/>
        </w:rPr>
      </w:pPr>
      <w:bookmarkStart w:id="0" w:name="OLE_LINK1"/>
      <w:r>
        <w:rPr>
          <w:rFonts w:hint="eastAsia" w:ascii="方正小标宋简体" w:hAnsi="方正小标宋简体" w:eastAsia="方正小标宋简体" w:cs="方正小标宋简体"/>
          <w:b w:val="0"/>
          <w:bCs w:val="0"/>
          <w:color w:val="auto"/>
          <w:sz w:val="44"/>
          <w:szCs w:val="44"/>
          <w:lang w:eastAsia="zh-CN"/>
        </w:rPr>
        <w:t>斗门区农机购置补贴机具核验流程</w:t>
      </w:r>
    </w:p>
    <w:bookmarkEnd w:id="0"/>
    <w:p>
      <w:pPr>
        <w:keepNext w:val="0"/>
        <w:keepLines w:val="0"/>
        <w:pageBreakBefore w:val="0"/>
        <w:widowControl w:val="0"/>
        <w:kinsoku/>
        <w:wordWrap/>
        <w:overflowPunct/>
        <w:topLinePunct w:val="0"/>
        <w:autoSpaceDE/>
        <w:autoSpaceDN/>
        <w:bidi w:val="0"/>
        <w:adjustRightInd/>
        <w:snapToGrid/>
        <w:spacing w:line="240" w:lineRule="atLeast"/>
        <w:ind w:firstLine="200" w:firstLineChars="200"/>
        <w:textAlignment w:val="auto"/>
        <w:rPr>
          <w:rFonts w:hint="eastAsia" w:ascii="仿宋_GB2312" w:hAnsi="仿宋_GB2312" w:eastAsia="仿宋_GB2312" w:cs="仿宋_GB2312"/>
          <w:b w:val="0"/>
          <w:bCs w:val="0"/>
          <w:color w:val="auto"/>
          <w:sz w:val="10"/>
          <w:szCs w:val="10"/>
          <w:lang w:eastAsia="zh-CN"/>
        </w:rPr>
      </w:pPr>
    </w:p>
    <w:p>
      <w:pPr>
        <w:spacing w:line="579" w:lineRule="exact"/>
        <w:ind w:firstLine="640" w:firstLineChars="200"/>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申请购机补贴农户（企业）要按照如下要求积极配合核查组做好核查工作。</w:t>
      </w:r>
    </w:p>
    <w:p>
      <w:pPr>
        <w:spacing w:line="579" w:lineRule="exact"/>
        <w:ind w:firstLine="640" w:firstLineChars="200"/>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1、安排一名联系人负责配合核查组核查工作，要求熟悉购机情况，进货后存放地点、调配、使用情况，随时配合核查组做好核查工作；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2、</w:t>
      </w:r>
      <w:r>
        <w:rPr>
          <w:rFonts w:hint="eastAsia" w:ascii="仿宋_GB2312" w:hAnsi="仿宋_GB2312" w:eastAsia="仿宋_GB2312" w:cs="仿宋_GB2312"/>
          <w:b w:val="0"/>
          <w:bCs w:val="0"/>
          <w:color w:val="auto"/>
          <w:sz w:val="32"/>
          <w:szCs w:val="32"/>
          <w:lang w:val="en-US" w:eastAsia="zh-CN"/>
        </w:rPr>
        <w:t>农户一次性购买且进货30台以上（包含30台），送货时经销商必须提前至少一天通知核查人员</w:t>
      </w:r>
      <w:r>
        <w:rPr>
          <w:rFonts w:hint="eastAsia" w:ascii="仿宋_GB2312" w:hAnsi="仿宋_GB2312" w:eastAsia="仿宋_GB2312" w:cs="仿宋_GB2312"/>
          <w:b w:val="0"/>
          <w:bCs w:val="0"/>
          <w:color w:val="auto"/>
          <w:sz w:val="32"/>
          <w:szCs w:val="32"/>
        </w:rPr>
        <w:t>（农户名、地点、数量、联系人姓名、电话）</w:t>
      </w:r>
      <w:r>
        <w:rPr>
          <w:rFonts w:hint="eastAsia" w:ascii="仿宋_GB2312" w:hAnsi="仿宋_GB2312" w:eastAsia="仿宋_GB2312" w:cs="仿宋_GB2312"/>
          <w:b w:val="0"/>
          <w:bCs w:val="0"/>
          <w:color w:val="auto"/>
          <w:sz w:val="32"/>
          <w:szCs w:val="32"/>
          <w:lang w:val="en-US" w:eastAsia="zh-CN"/>
        </w:rPr>
        <w:t>，且送货时核查人员必须到达现场监督卸货并进行拍照作为佐证资料。核查人员在卸货现场需抽样检查开箱核对机器的编码是否与包装箱的编码一致</w:t>
      </w:r>
      <w:r>
        <w:rPr>
          <w:rFonts w:hint="eastAsia" w:ascii="仿宋_GB2312" w:hAnsi="仿宋_GB2312" w:eastAsia="仿宋_GB2312" w:cs="仿宋_GB2312"/>
          <w:b w:val="0"/>
          <w:bCs w:val="0"/>
          <w:color w:val="auto"/>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3、进货时，核对外包装标记进货日期，如经销商未标记则须重新标记进货日期；</w:t>
      </w:r>
    </w:p>
    <w:p>
      <w:pPr>
        <w:spacing w:line="579" w:lineRule="exact"/>
        <w:ind w:firstLine="640" w:firstLineChars="200"/>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rPr>
        <w:t>4、增氧机下水前，拆去外包装，在增氧机露出水面部分醒目位置标记进货月份。拆出的外包装箱要至少存放一个月或待核查完成后才能处理。</w:t>
      </w:r>
      <w:r>
        <w:rPr>
          <w:rFonts w:hint="eastAsia" w:ascii="仿宋_GB2312" w:hAnsi="仿宋_GB2312" w:eastAsia="仿宋_GB2312" w:cs="仿宋_GB2312"/>
          <w:b w:val="0"/>
          <w:bCs w:val="0"/>
          <w:color w:val="auto"/>
          <w:sz w:val="32"/>
          <w:szCs w:val="32"/>
          <w:lang w:val="en-US" w:eastAsia="zh-CN"/>
        </w:rPr>
        <w:t>（为确农户申请补贴利益以及更有效的开展核查工作，已向各经销商提醒每次送机器到农户时，都要进行人机合照，不管数量多少，先拍照存底留作资料用。）</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20" w:beforeAutospacing="0" w:after="0" w:afterAutospacing="0" w:line="580" w:lineRule="exact"/>
        <w:ind w:left="0" w:leftChars="0" w:right="0" w:rightChars="0" w:firstLine="640" w:firstLineChars="200"/>
        <w:jc w:val="left"/>
        <w:textAlignment w:val="auto"/>
        <w:outlineLvl w:val="9"/>
        <w:rPr>
          <w:rFonts w:hint="eastAsia" w:ascii="仿宋_GB2312" w:hAnsi="仿宋_GB2312" w:eastAsia="仿宋_GB2312" w:cs="仿宋_GB2312"/>
          <w:b w:val="0"/>
          <w:bCs w:val="0"/>
          <w:i w:val="0"/>
          <w:iCs w:val="0"/>
          <w:color w:val="auto"/>
          <w:kern w:val="0"/>
          <w:sz w:val="32"/>
          <w:szCs w:val="32"/>
          <w:highlight w:val="none"/>
          <w:u w:val="single"/>
        </w:rPr>
      </w:pPr>
      <w:r>
        <w:rPr>
          <w:rFonts w:hint="eastAsia" w:ascii="仿宋_GB2312" w:hAnsi="仿宋_GB2312" w:eastAsia="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kern w:val="28"/>
          <w:sz w:val="32"/>
          <w:szCs w:val="32"/>
          <w:lang w:eastAsia="zh-CN"/>
        </w:rPr>
        <w:t>机具校验时间</w:t>
      </w:r>
      <w:r>
        <w:rPr>
          <w:rFonts w:hint="eastAsia" w:ascii="仿宋_GB2312" w:hAnsi="仿宋_GB2312" w:eastAsia="仿宋_GB2312" w:cs="仿宋_GB2312"/>
          <w:b w:val="0"/>
          <w:bCs w:val="0"/>
          <w:color w:val="auto"/>
          <w:sz w:val="32"/>
          <w:szCs w:val="32"/>
          <w:lang w:val="en-US" w:eastAsia="zh-CN"/>
        </w:rPr>
        <w:t>自受理农机购置补贴申请之日起13个工作日内完成相关核验工作（不含公示时间）</w:t>
      </w:r>
      <w:r>
        <w:rPr>
          <w:rFonts w:hint="eastAsia" w:ascii="仿宋_GB2312" w:hAnsi="仿宋_GB2312" w:eastAsia="仿宋_GB2312" w:cs="仿宋_GB2312"/>
          <w:b w:val="0"/>
          <w:bCs w:val="0"/>
          <w:color w:val="auto"/>
          <w:kern w:val="28"/>
          <w:sz w:val="32"/>
          <w:szCs w:val="32"/>
          <w:lang w:val="en-US" w:eastAsia="zh-CN"/>
        </w:rPr>
        <w:t>。</w:t>
      </w:r>
      <w:r>
        <w:rPr>
          <w:rFonts w:hint="eastAsia" w:ascii="仿宋_GB2312" w:hAnsi="仿宋_GB2312" w:eastAsia="仿宋_GB2312" w:cs="仿宋_GB2312"/>
          <w:b/>
          <w:bCs/>
          <w:sz w:val="32"/>
          <w:szCs w:val="32"/>
          <w:lang w:eastAsia="zh-CN"/>
        </w:rPr>
        <w:t>重点机具核验。</w:t>
      </w:r>
      <w:r>
        <w:rPr>
          <w:rFonts w:hint="eastAsia" w:ascii="仿宋_GB2312" w:hAnsi="仿宋_GB2312" w:eastAsia="仿宋_GB2312" w:cs="仿宋_GB2312"/>
          <w:b w:val="0"/>
          <w:bCs w:val="0"/>
          <w:sz w:val="32"/>
          <w:szCs w:val="32"/>
        </w:rPr>
        <w:t>加强对单人多台套、短期内大批量、同人连年购置同类机具、区域适应性差的机具购置等异常情形的核验。</w:t>
      </w:r>
      <w:r>
        <w:rPr>
          <w:rFonts w:hint="eastAsia" w:ascii="仿宋_GB2312" w:hAnsi="仿宋_GB2312" w:eastAsia="仿宋_GB2312" w:cs="仿宋_GB2312"/>
          <w:b w:val="0"/>
          <w:bCs w:val="0"/>
          <w:sz w:val="32"/>
          <w:szCs w:val="32"/>
          <w:lang w:eastAsia="zh-CN"/>
        </w:rPr>
        <w:t>根据</w:t>
      </w:r>
      <w:r>
        <w:rPr>
          <w:rFonts w:hint="eastAsia" w:ascii="仿宋_GB2312" w:hAnsi="仿宋_GB2312" w:eastAsia="仿宋_GB2312" w:cs="仿宋_GB2312"/>
          <w:b w:val="0"/>
          <w:bCs w:val="0"/>
          <w:sz w:val="32"/>
          <w:szCs w:val="32"/>
        </w:rPr>
        <w:t>粤农函〔2017〕1369号</w:t>
      </w:r>
      <w:r>
        <w:rPr>
          <w:rFonts w:hint="eastAsia" w:ascii="仿宋_GB2312" w:hAnsi="仿宋_GB2312" w:eastAsia="仿宋_GB2312" w:cs="仿宋_GB2312"/>
          <w:b w:val="0"/>
          <w:bCs w:val="0"/>
          <w:sz w:val="32"/>
          <w:szCs w:val="32"/>
          <w:lang w:eastAsia="zh-CN"/>
        </w:rPr>
        <w:t>等相关规定，对拖拉机、联合收割机等纳入牌证管理的机具和单机（或同一主体购买多台累计）补贴额在</w:t>
      </w:r>
      <w:r>
        <w:rPr>
          <w:rFonts w:hint="eastAsia" w:ascii="仿宋_GB2312" w:hAnsi="仿宋_GB2312" w:eastAsia="仿宋_GB2312" w:cs="仿宋_GB2312"/>
          <w:b w:val="0"/>
          <w:bCs w:val="0"/>
          <w:sz w:val="32"/>
          <w:szCs w:val="32"/>
          <w:lang w:val="en-US" w:eastAsia="zh-CN"/>
        </w:rPr>
        <w:t>5000元及以上机具需“见人见机见票”进行现场核实。安装类机具需提供竣工确认书（由厂家出具）。</w:t>
      </w:r>
      <w:r>
        <w:rPr>
          <w:rFonts w:hint="eastAsia" w:ascii="仿宋_GB2312" w:hAnsi="仿宋_GB2312" w:eastAsia="仿宋_GB2312" w:cs="仿宋_GB2312"/>
          <w:b/>
          <w:bCs/>
          <w:i w:val="0"/>
          <w:iCs w:val="0"/>
          <w:color w:val="auto"/>
          <w:kern w:val="0"/>
          <w:sz w:val="32"/>
          <w:szCs w:val="32"/>
          <w:highlight w:val="none"/>
          <w:u w:val="none" w:color="auto"/>
        </w:rPr>
        <w:t>非重点机具核验。</w:t>
      </w:r>
      <w:r>
        <w:rPr>
          <w:rFonts w:hint="eastAsia" w:ascii="仿宋_GB2312" w:hAnsi="仿宋_GB2312" w:eastAsia="仿宋_GB2312" w:cs="仿宋_GB2312"/>
          <w:b w:val="0"/>
          <w:bCs w:val="0"/>
          <w:color w:val="000000"/>
          <w:spacing w:val="-6"/>
          <w:kern w:val="0"/>
          <w:sz w:val="32"/>
          <w:szCs w:val="32"/>
          <w:lang w:val="en-US" w:eastAsia="zh-CN" w:bidi="ar"/>
        </w:rPr>
        <w:t>对于购买多台机具补贴金额累计在5000元及以上的同一主体，对于</w:t>
      </w:r>
      <w:r>
        <w:rPr>
          <w:rFonts w:hint="eastAsia" w:ascii="仿宋_GB2312" w:hAnsi="仿宋_GB2312" w:eastAsia="仿宋_GB2312" w:cs="仿宋_GB2312"/>
          <w:b w:val="0"/>
          <w:bCs w:val="0"/>
          <w:i w:val="0"/>
          <w:iCs w:val="0"/>
          <w:color w:val="auto"/>
          <w:kern w:val="0"/>
          <w:sz w:val="32"/>
          <w:szCs w:val="32"/>
          <w:highlight w:val="none"/>
          <w:u w:val="none" w:color="auto"/>
        </w:rPr>
        <w:t>补贴额较低、风险可控度高的机具可采取</w:t>
      </w:r>
      <w:r>
        <w:rPr>
          <w:rFonts w:hint="eastAsia" w:ascii="仿宋_GB2312" w:hAnsi="仿宋_GB2312" w:eastAsia="仿宋_GB2312" w:cs="仿宋_GB2312"/>
          <w:b w:val="0"/>
          <w:bCs w:val="0"/>
          <w:color w:val="auto"/>
          <w:kern w:val="0"/>
          <w:sz w:val="32"/>
          <w:szCs w:val="32"/>
          <w:highlight w:val="none"/>
          <w:u w:val="none" w:color="auto"/>
          <w:lang w:val="en-US" w:eastAsia="zh-CN" w:bidi="ar"/>
        </w:rPr>
        <w:t>随机抽查核验</w:t>
      </w:r>
      <w:r>
        <w:rPr>
          <w:rFonts w:hint="eastAsia" w:ascii="仿宋_GB2312" w:hAnsi="仿宋_GB2312" w:eastAsia="仿宋_GB2312" w:cs="仿宋_GB2312"/>
          <w:b w:val="0"/>
          <w:bCs w:val="0"/>
          <w:i w:val="0"/>
          <w:iCs w:val="0"/>
          <w:color w:val="auto"/>
          <w:kern w:val="0"/>
          <w:sz w:val="32"/>
          <w:szCs w:val="32"/>
          <w:highlight w:val="none"/>
          <w:u w:val="none" w:color="auto"/>
        </w:rPr>
        <w:t>方式进行</w:t>
      </w:r>
      <w:r>
        <w:rPr>
          <w:rFonts w:hint="eastAsia" w:ascii="仿宋_GB2312" w:hAnsi="仿宋_GB2312" w:eastAsia="仿宋_GB2312" w:cs="仿宋_GB2312"/>
          <w:b w:val="0"/>
          <w:bCs w:val="0"/>
          <w:i w:val="0"/>
          <w:iCs w:val="0"/>
          <w:color w:val="auto"/>
          <w:kern w:val="0"/>
          <w:sz w:val="32"/>
          <w:szCs w:val="32"/>
          <w:highlight w:val="none"/>
          <w:u w:val="none" w:color="auto"/>
          <w:lang w:eastAsia="zh-CN"/>
        </w:rPr>
        <w:t>，非要求核验机具的抽查比例不少于</w:t>
      </w:r>
      <w:r>
        <w:rPr>
          <w:rFonts w:hint="eastAsia" w:ascii="仿宋_GB2312" w:hAnsi="仿宋_GB2312" w:eastAsia="仿宋_GB2312" w:cs="仿宋_GB2312"/>
          <w:b w:val="0"/>
          <w:bCs w:val="0"/>
          <w:i w:val="0"/>
          <w:iCs w:val="0"/>
          <w:color w:val="auto"/>
          <w:kern w:val="0"/>
          <w:sz w:val="32"/>
          <w:szCs w:val="32"/>
          <w:highlight w:val="none"/>
          <w:u w:val="none" w:color="auto"/>
          <w:lang w:val="en-US" w:eastAsia="zh-CN"/>
        </w:rPr>
        <w:t>30</w:t>
      </w:r>
      <w:r>
        <w:rPr>
          <w:rFonts w:hint="eastAsia" w:ascii="仿宋_GB2312" w:hAnsi="仿宋_GB2312" w:eastAsia="仿宋_GB2312" w:cs="仿宋_GB2312"/>
          <w:b w:val="0"/>
          <w:bCs w:val="0"/>
          <w:i w:val="0"/>
          <w:iCs w:val="0"/>
          <w:color w:val="auto"/>
          <w:kern w:val="0"/>
          <w:sz w:val="32"/>
          <w:szCs w:val="32"/>
          <w:highlight w:val="none"/>
          <w:u w:val="none" w:color="auto"/>
          <w:lang w:eastAsia="zh-CN"/>
        </w:rPr>
        <w:t>%</w:t>
      </w:r>
      <w:r>
        <w:rPr>
          <w:rFonts w:hint="eastAsia" w:ascii="仿宋_GB2312" w:hAnsi="仿宋_GB2312" w:eastAsia="仿宋_GB2312" w:cs="仿宋_GB2312"/>
          <w:b w:val="0"/>
          <w:bCs w:val="0"/>
          <w:i w:val="0"/>
          <w:iCs w:val="0"/>
          <w:color w:val="auto"/>
          <w:kern w:val="0"/>
          <w:sz w:val="32"/>
          <w:szCs w:val="32"/>
          <w:highlight w:val="none"/>
          <w:u w:val="none" w:color="auto"/>
        </w:rPr>
        <w:t>，抽核内容同重点机具。</w:t>
      </w:r>
    </w:p>
    <w:p>
      <w:pPr>
        <w:keepNext w:val="0"/>
        <w:keepLines w:val="0"/>
        <w:pageBreakBefore w:val="0"/>
        <w:kinsoku/>
        <w:wordWrap/>
        <w:overflowPunct/>
        <w:topLinePunct w:val="0"/>
        <w:autoSpaceDE/>
        <w:autoSpaceDN/>
        <w:bidi w:val="0"/>
        <w:adjustRightInd/>
        <w:spacing w:line="560" w:lineRule="exact"/>
        <w:ind w:left="0" w:leftChars="0" w:right="0" w:rightChars="0" w:firstLine="640" w:firstLineChars="200"/>
        <w:textAlignment w:val="auto"/>
        <w:outlineLvl w:val="9"/>
        <w:rPr>
          <w:rFonts w:hint="default" w:ascii="仿宋_GB2312" w:hAnsi="仿宋_GB2312" w:eastAsia="仿宋_GB2312" w:cs="仿宋_GB2312"/>
          <w:b w:val="0"/>
          <w:bCs w:val="0"/>
          <w:color w:val="0000FF"/>
          <w:sz w:val="32"/>
          <w:szCs w:val="32"/>
          <w:lang w:val="en-US" w:eastAsia="zh-CN"/>
        </w:rPr>
      </w:pPr>
      <w:r>
        <w:rPr>
          <w:rFonts w:hint="eastAsia" w:ascii="仿宋_GB2312" w:hAnsi="仿宋_GB2312" w:eastAsia="仿宋_GB2312" w:cs="仿宋_GB2312"/>
          <w:color w:val="auto"/>
          <w:sz w:val="32"/>
          <w:szCs w:val="32"/>
        </w:rPr>
        <w:t>未通过核验的，将所发现的问题一次性告知购机者，并说</w:t>
      </w:r>
      <w:r>
        <w:rPr>
          <w:rFonts w:hint="eastAsia" w:ascii="仿宋_GB2312" w:hAnsi="仿宋_GB2312" w:eastAsia="仿宋_GB2312" w:cs="仿宋_GB2312"/>
          <w:sz w:val="32"/>
          <w:szCs w:val="32"/>
        </w:rPr>
        <w:t>明完善方法。</w:t>
      </w:r>
    </w:p>
    <w:p>
      <w:pPr>
        <w:spacing w:line="579" w:lineRule="exact"/>
        <w:ind w:firstLine="643" w:firstLineChars="200"/>
        <w:rPr>
          <w:rFonts w:hint="eastAsia"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凡是不配合做好核查工作或者经核查机具与编码不符的，则不予发放该批购机补贴。发现故意弄虚作假、非法骗取财政补贴款的依法追究法律责任。</w:t>
      </w:r>
    </w:p>
    <w:p>
      <w:pPr>
        <w:spacing w:line="579" w:lineRule="exact"/>
        <w:ind w:firstLine="643" w:firstLineChars="200"/>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rPr>
        <w:t>核查组设在井岸镇工业大道240号濠门实业有限公司内</w:t>
      </w:r>
      <w:r>
        <w:rPr>
          <w:rFonts w:hint="eastAsia" w:ascii="仿宋_GB2312" w:hAnsi="仿宋_GB2312" w:eastAsia="仿宋_GB2312" w:cs="仿宋_GB2312"/>
          <w:b/>
          <w:bCs/>
          <w:color w:val="auto"/>
          <w:sz w:val="32"/>
          <w:szCs w:val="32"/>
          <w:lang w:eastAsia="zh-CN"/>
        </w:rPr>
        <w:t>（珠海市斗门区禾汇商贸有限公司  ）</w:t>
      </w:r>
      <w:r>
        <w:rPr>
          <w:rFonts w:hint="eastAsia" w:ascii="仿宋_GB2312" w:hAnsi="仿宋_GB2312" w:eastAsia="仿宋_GB2312" w:cs="仿宋_GB2312"/>
          <w:b/>
          <w:bCs/>
          <w:color w:val="auto"/>
          <w:sz w:val="32"/>
          <w:szCs w:val="32"/>
          <w:lang w:val="en-US" w:eastAsia="zh-CN"/>
        </w:rPr>
        <w:t>。</w:t>
      </w:r>
    </w:p>
    <w:p>
      <w:pPr>
        <w:spacing w:line="579" w:lineRule="exact"/>
        <w:ind w:firstLine="643" w:firstLineChars="200"/>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电话：0756-5588860-800</w:t>
      </w:r>
      <w:bookmarkStart w:id="1" w:name="_GoBack"/>
      <w:bookmarkEnd w:id="1"/>
      <w:r>
        <w:rPr>
          <w:rFonts w:hint="eastAsia" w:ascii="仿宋_GB2312" w:hAnsi="仿宋_GB2312" w:eastAsia="仿宋_GB2312" w:cs="仿宋_GB2312"/>
          <w:b/>
          <w:bCs/>
          <w:color w:val="auto"/>
          <w:sz w:val="32"/>
          <w:szCs w:val="32"/>
          <w:lang w:val="en-US" w:eastAsia="zh-CN"/>
        </w:rPr>
        <w:t>2</w:t>
      </w:r>
    </w:p>
    <w:sectPr>
      <w:footerReference r:id="rId3" w:type="default"/>
      <w:pgSz w:w="11906" w:h="16838"/>
      <w:pgMar w:top="1134" w:right="1531" w:bottom="113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177756"/>
      <w:docPartObj>
        <w:docPartGallery w:val="autotext"/>
      </w:docPartObj>
    </w:sdtPr>
    <w:sdtContent>
      <w:p>
        <w:pPr>
          <w:pStyle w:val="4"/>
          <w:jc w:val="center"/>
        </w:pPr>
      </w:p>
      <w:p>
        <w:pPr>
          <w:pStyle w:val="4"/>
          <w:jc w:val="center"/>
        </w:pPr>
        <w:r>
          <w:fldChar w:fldCharType="begin"/>
        </w:r>
        <w:r>
          <w:instrText xml:space="preserve"> PAGE   \* MERGEFORMAT </w:instrText>
        </w:r>
        <w:r>
          <w:fldChar w:fldCharType="separate"/>
        </w:r>
        <w:r>
          <w:rPr>
            <w:lang w:val="zh-CN"/>
          </w:rPr>
          <w:t>2</w:t>
        </w:r>
        <w:r>
          <w:rPr>
            <w:lang w:val="zh-CN"/>
          </w:rP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9E5"/>
    <w:rsid w:val="000107B6"/>
    <w:rsid w:val="0003066C"/>
    <w:rsid w:val="00150C7C"/>
    <w:rsid w:val="001D1D38"/>
    <w:rsid w:val="00332A21"/>
    <w:rsid w:val="0033599A"/>
    <w:rsid w:val="00354363"/>
    <w:rsid w:val="0039541B"/>
    <w:rsid w:val="00450741"/>
    <w:rsid w:val="00460C0D"/>
    <w:rsid w:val="004A3A36"/>
    <w:rsid w:val="00544A35"/>
    <w:rsid w:val="00575436"/>
    <w:rsid w:val="006C5533"/>
    <w:rsid w:val="00806113"/>
    <w:rsid w:val="00814D16"/>
    <w:rsid w:val="0088538A"/>
    <w:rsid w:val="008D57C3"/>
    <w:rsid w:val="008F40F2"/>
    <w:rsid w:val="009437E0"/>
    <w:rsid w:val="009577D6"/>
    <w:rsid w:val="009C4F52"/>
    <w:rsid w:val="00A42B6B"/>
    <w:rsid w:val="00AF1D14"/>
    <w:rsid w:val="00BA2369"/>
    <w:rsid w:val="00C47B6D"/>
    <w:rsid w:val="00CA495E"/>
    <w:rsid w:val="00D752CF"/>
    <w:rsid w:val="00D75C9C"/>
    <w:rsid w:val="00E009E5"/>
    <w:rsid w:val="00E21A2A"/>
    <w:rsid w:val="00ED0E7D"/>
    <w:rsid w:val="00ED24C2"/>
    <w:rsid w:val="00F152D3"/>
    <w:rsid w:val="00F60E14"/>
    <w:rsid w:val="01CC1B91"/>
    <w:rsid w:val="034B4B67"/>
    <w:rsid w:val="05763009"/>
    <w:rsid w:val="19B84CDF"/>
    <w:rsid w:val="1BDF7CB3"/>
    <w:rsid w:val="206845B4"/>
    <w:rsid w:val="215E4AD6"/>
    <w:rsid w:val="256F5B0A"/>
    <w:rsid w:val="3E38396C"/>
    <w:rsid w:val="3FDF2C82"/>
    <w:rsid w:val="447F338A"/>
    <w:rsid w:val="495670C3"/>
    <w:rsid w:val="51B81CC7"/>
    <w:rsid w:val="5AEA79C0"/>
    <w:rsid w:val="5ECB41F0"/>
    <w:rsid w:val="69E14A21"/>
    <w:rsid w:val="71497C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line="560" w:lineRule="exact"/>
      <w:jc w:val="center"/>
      <w:outlineLvl w:val="0"/>
    </w:pPr>
    <w:rPr>
      <w:rFonts w:eastAsia="宋体"/>
      <w:b/>
      <w:bCs/>
      <w:sz w:val="44"/>
      <w:szCs w:val="44"/>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4"/>
    <w:semiHidden/>
    <w:unhideWhenUsed/>
    <w:qFormat/>
    <w:uiPriority w:val="99"/>
    <w:pPr>
      <w:ind w:left="100" w:leftChars="2500"/>
    </w:p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Body Text Indent 3"/>
    <w:basedOn w:val="1"/>
    <w:link w:val="15"/>
    <w:qFormat/>
    <w:uiPriority w:val="0"/>
    <w:pPr>
      <w:tabs>
        <w:tab w:val="left" w:pos="6615"/>
      </w:tabs>
      <w:spacing w:line="590" w:lineRule="exact"/>
      <w:ind w:firstLine="640" w:firstLineChars="200"/>
    </w:pPr>
    <w:rPr>
      <w:rFonts w:ascii="仿宋_GB2312" w:eastAsia="仿宋_GB2312"/>
      <w:sz w:val="32"/>
    </w:rPr>
  </w:style>
  <w:style w:type="paragraph" w:styleId="7">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default" w:ascii="Arial" w:hAnsi="Arial" w:eastAsia="微软雅黑" w:cs="Arial"/>
      <w:color w:val="333333"/>
      <w:kern w:val="0"/>
      <w:sz w:val="18"/>
      <w:szCs w:val="18"/>
      <w:lang w:val="en-US" w:eastAsia="zh-CN" w:bidi="ar"/>
    </w:rPr>
  </w:style>
  <w:style w:type="paragraph" w:styleId="10">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11">
    <w:name w:val="Subtle Emphasis"/>
    <w:basedOn w:val="9"/>
    <w:qFormat/>
    <w:uiPriority w:val="19"/>
    <w:rPr>
      <w:i/>
      <w:iCs/>
      <w:color w:val="808080" w:themeColor="text1" w:themeTint="80"/>
      <w14:textFill>
        <w14:solidFill>
          <w14:schemeClr w14:val="tx1">
            <w14:lumMod w14:val="50000"/>
            <w14:lumOff w14:val="50000"/>
          </w14:schemeClr>
        </w14:solidFill>
      </w14:textFill>
    </w:rPr>
  </w:style>
  <w:style w:type="character" w:customStyle="1" w:styleId="12">
    <w:name w:val="页眉 Char"/>
    <w:basedOn w:val="9"/>
    <w:link w:val="5"/>
    <w:semiHidden/>
    <w:qFormat/>
    <w:uiPriority w:val="99"/>
    <w:rPr>
      <w:rFonts w:ascii="Times New Roman" w:hAnsi="Times New Roman" w:eastAsia="宋体" w:cs="Times New Roman"/>
      <w:sz w:val="18"/>
      <w:szCs w:val="18"/>
    </w:rPr>
  </w:style>
  <w:style w:type="character" w:customStyle="1" w:styleId="13">
    <w:name w:val="页脚 Char"/>
    <w:basedOn w:val="9"/>
    <w:link w:val="4"/>
    <w:qFormat/>
    <w:uiPriority w:val="99"/>
    <w:rPr>
      <w:rFonts w:ascii="Times New Roman" w:hAnsi="Times New Roman" w:eastAsia="宋体" w:cs="Times New Roman"/>
      <w:sz w:val="18"/>
      <w:szCs w:val="18"/>
    </w:rPr>
  </w:style>
  <w:style w:type="character" w:customStyle="1" w:styleId="14">
    <w:name w:val="日期 Char"/>
    <w:basedOn w:val="9"/>
    <w:link w:val="3"/>
    <w:semiHidden/>
    <w:qFormat/>
    <w:uiPriority w:val="99"/>
    <w:rPr>
      <w:rFonts w:ascii="Times New Roman" w:hAnsi="Times New Roman" w:eastAsia="宋体" w:cs="Times New Roman"/>
      <w:szCs w:val="24"/>
    </w:rPr>
  </w:style>
  <w:style w:type="character" w:customStyle="1" w:styleId="15">
    <w:name w:val="正文文本缩进 3 Char"/>
    <w:basedOn w:val="9"/>
    <w:link w:val="6"/>
    <w:qFormat/>
    <w:uiPriority w:val="0"/>
    <w:rPr>
      <w:rFonts w:ascii="仿宋_GB2312" w:hAnsi="Times New Roman" w:eastAsia="仿宋_GB2312" w:cs="Times New Roman"/>
      <w:sz w:val="32"/>
      <w:szCs w:val="24"/>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871</Words>
  <Characters>4970</Characters>
  <Lines>41</Lines>
  <Paragraphs>11</Paragraphs>
  <TotalTime>3</TotalTime>
  <ScaleCrop>false</ScaleCrop>
  <LinksUpToDate>false</LinksUpToDate>
  <CharactersWithSpaces>5830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2019-09-27T08:26:00Z</dcterms:created>
  <dc:creator>赵晓筠</dc:creator>
  <cp:lastModifiedBy>Shadow</cp:lastModifiedBy>
  <cp:lastPrinted>2019-10-17T08:51:00Z</cp:lastPrinted>
  <dcterms:modified xsi:type="dcterms:W3CDTF">2025-04-28T09:34:39Z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2CF56BEA00EE4ABD85A8FA41D55A0BEE</vt:lpwstr>
  </property>
</Properties>
</file>